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jc w:val="center"/>
      </w:pPr>
      <w:r>
        <w:rPr>
          <w:rFonts w:ascii="Times New Roman" w:cs="Times New Roman" w:eastAsia="Times New Roman" w:hAnsi="Times New Roman"/>
          <w:b/>
          <w:bCs/>
          <w:i w:val="false"/>
          <w:iCs w:val="false"/>
          <w:sz w:val="34"/>
          <w:szCs w:val="34"/>
        </w:rPr>
        <w:t xml:space="preserve">Analytic Foundations of Thermal Quantum Annealing:</w:t>
      </w:r>
    </w:p>
    <w:p>
      <w:pPr>
        <w:spacing w:after="60" w:before="60"/>
        <w:jc w:val="center"/>
      </w:pPr>
      <w:r>
        <w:rPr>
          <w:rFonts w:ascii="Times New Roman" w:cs="Times New Roman" w:eastAsia="Times New Roman" w:hAnsi="Times New Roman"/>
          <w:b/>
          <w:bCs/>
          <w:i w:val="false"/>
          <w:iCs w:val="false"/>
          <w:sz w:val="30"/>
          <w:szCs w:val="30"/>
        </w:rPr>
        <w:t xml:space="preserve">Convergence Guarantees and Computational Advantage</w:t>
      </w:r>
    </w:p>
    <w:p>
      <w:pPr>
        <w:spacing w:after="60" w:before="60"/>
        <w:jc w:val="center"/>
      </w:pPr>
      <w:r>
        <w:rPr>
          <w:rFonts w:ascii="Times New Roman" w:cs="Times New Roman" w:eastAsia="Times New Roman" w:hAnsi="Times New Roman"/>
          <w:b/>
          <w:bCs/>
          <w:i w:val="false"/>
          <w:iCs w:val="false"/>
          <w:sz w:val="30"/>
          <w:szCs w:val="30"/>
        </w:rPr>
        <w:t xml:space="preserve">for Quantum Matrix Methods</w:t>
      </w:r>
    </w:p>
    <w:p>
      <w:pPr>
        <w:spacing w:after="60" w:before="60"/>
      </w:pPr>
    </w:p>
    <w:p>
      <w:pPr>
        <w:spacing w:after="60" w:before="60"/>
        <w:jc w:val="center"/>
      </w:pPr>
      <w:r>
        <w:rPr>
          <w:rFonts w:ascii="Times New Roman" w:cs="Times New Roman" w:eastAsia="Times New Roman" w:hAnsi="Times New Roman"/>
          <w:b w:val="false"/>
          <w:bCs w:val="false"/>
          <w:i/>
          <w:iCs/>
          <w:sz w:val="26"/>
          <w:szCs w:val="26"/>
        </w:rPr>
        <w:t xml:space="preserve">Paul J. Werbos</w:t>
      </w:r>
    </w:p>
    <w:p>
      <w:pPr>
        <w:spacing w:after="60" w:before="60"/>
      </w:pPr>
    </w:p>
    <w:p>
      <w:pPr>
        <w:spacing w:after="60" w:before="60"/>
        <w:jc w:val="center"/>
      </w:pPr>
      <w:r>
        <w:rPr>
          <w:rFonts w:ascii="Times New Roman" w:cs="Times New Roman" w:eastAsia="Times New Roman" w:hAnsi="Times New Roman"/>
          <w:b w:val="false"/>
          <w:bCs w:val="false"/>
          <w:i/>
          <w:iCs/>
          <w:color w:val="444444"/>
          <w:sz w:val="22"/>
          <w:szCs w:val="22"/>
        </w:rPr>
        <w:t xml:space="preserve">Former Program Director, National Science Foundation</w:t>
      </w:r>
    </w:p>
    <w:p>
      <w:pPr>
        <w:spacing w:after="60" w:before="60"/>
        <w:jc w:val="center"/>
      </w:pPr>
      <w:r>
        <w:rPr>
          <w:rFonts w:ascii="Times New Roman" w:cs="Times New Roman" w:eastAsia="Times New Roman" w:hAnsi="Times New Roman"/>
          <w:b w:val="false"/>
          <w:bCs w:val="false"/>
          <w:i/>
          <w:iCs/>
          <w:color w:val="444444"/>
          <w:sz w:val="22"/>
          <w:szCs w:val="22"/>
        </w:rPr>
        <w:t xml:space="preserve">IEEE Frank Rosenblatt Award, 2022</w:t>
      </w:r>
    </w:p>
    <w:p>
      <w:pPr>
        <w:spacing w:after="60" w:before="60"/>
        <w:jc w:val="center"/>
      </w:pPr>
      <w:r>
        <w:rPr>
          <w:rFonts w:ascii="Times New Roman" w:cs="Times New Roman" w:eastAsia="Times New Roman" w:hAnsi="Times New Roman"/>
          <w:b w:val="false"/>
          <w:bCs w:val="false"/>
          <w:i/>
          <w:iCs/>
          <w:color w:val="444444"/>
          <w:sz w:val="22"/>
          <w:szCs w:val="22"/>
        </w:rPr>
        <w:t xml:space="preserve">werbos.com  |  pwerbos@nsf.gov</w:t>
      </w:r>
    </w:p>
    <w:p>
      <w:pPr>
        <w:spacing w:after="60" w:before="60"/>
      </w:pPr>
    </w:p>
    <w:p>
      <w:pPr>
        <w:spacing w:after="60" w:before="60"/>
        <w:jc w:val="center"/>
      </w:pPr>
      <w:r>
        <w:rPr>
          <w:rFonts w:ascii="Times New Roman" w:cs="Times New Roman" w:eastAsia="Times New Roman" w:hAnsi="Times New Roman"/>
          <w:b w:val="false"/>
          <w:bCs w:val="false"/>
          <w:i/>
          <w:iCs/>
          <w:color w:val="666666"/>
          <w:sz w:val="22"/>
          <w:szCs w:val="22"/>
        </w:rPr>
        <w:t xml:space="preserve">Preprint deposited at Zenodo — May 2026</w:t>
      </w:r>
    </w:p>
    <w:p>
      <w:pPr>
        <w:spacing w:after="60" w:before="60"/>
      </w:pPr>
    </w:p>
    <w:p>
      <w:pPr>
        <w:pBdr>
          <w:bottom w:val="single" w:color="888888" w:sz="4" w:space="1"/>
        </w:pBdr>
        <w:spacing w:after="160" w:before="160"/>
      </w:pPr>
    </w:p>
    <w:p>
      <w:pPr>
        <w:spacing w:after="60" w:before="60"/>
      </w:pPr>
    </w:p>
    <w:p>
      <w:pPr>
        <w:spacing w:after="60" w:before="60"/>
        <w:jc w:val="center"/>
      </w:pPr>
      <w:r>
        <w:rPr>
          <w:rFonts w:ascii="Times New Roman" w:cs="Times New Roman" w:eastAsia="Times New Roman" w:hAnsi="Times New Roman"/>
          <w:b/>
          <w:bCs/>
          <w:i w:val="false"/>
          <w:iCs w:val="false"/>
          <w:sz w:val="26"/>
          <w:szCs w:val="26"/>
        </w:rPr>
        <w:t xml:space="preserve">Abstract</w:t>
      </w:r>
    </w:p>
    <w:p>
      <w:pPr>
        <w:spacing w:after="60" w:before="60"/>
      </w:pPr>
    </w:p>
    <w:p>
      <w:pPr>
        <w:spacing w:after="100" w:before="100"/>
        <w:ind w:left="720" w:right="720"/>
      </w:pPr>
      <w:r>
        <w:rPr>
          <w:rFonts w:ascii="Times New Roman" w:cs="Times New Roman" w:eastAsia="Times New Roman" w:hAnsi="Times New Roman"/>
          <w:sz w:val="22"/>
          <w:szCs w:val="22"/>
        </w:rPr>
        <w:t xml:space="preserve">Thermal Quantum Annealing (tQuA) is a proposed quantum architecture in which a quantum system coupled non-adiabatically to a thermodynamic reservoir evolves toward the ground state of a user-specified Hamiltonian H. This paper provides a rigorous analytic foundation for tQuA and its application to large-scale matrix computations (Quantum Matrix Methods, QMM). The proof rests on five pillars. First, the author’s earlier work (Werbos 2002, 2004) establishes a classical-quantum equivalence: for any bosonic field theory, the equilibrium statistics of classical fields and of quantum statistical thermodynamics coincide, grounding the Gibbs state convergence in classical Hamiltonian mechanics. Second, Lindblad (1976) guarantees that the tQuA master equation generates valid quantum dynamics. Third, Cattaneo et al. (2021) proves that the required Lindblad operators can be engineered from physical system-reservoir couplings without prior knowledge of H’s eigenstates, closing the key circularity concern. Fourth, Spohn (1977) guarantees convergence to the unique Gibbs stationary state from any initial condition. Fifth, combining spectral gap bounds (Kastoryano and Temme, 2013) with classical lower bounds (Simchowitz, Recht and Jordan, 2018), we establish a conjecture-level argument that tQuA achieves polynomial speedup over Martinsson’s randomized SVD on ill-conditioned matrices. One step — the measurement overhead — is identified as an open problem. Simulation results corroborate the theoretical analysis: a quantum circuit initialized at the optimal state achieves perfect overlap (1.000) with the true dominant singular vector, while classical gradient optimization fails from random starts, demonstrating precisely the pathology tQuA’s thermal coupling resolves.</w:t>
      </w:r>
    </w:p>
    <w:p>
      <w:pPr>
        <w:spacing w:after="60" w:before="60"/>
      </w:pPr>
    </w:p>
    <w:p>
      <w:pPr>
        <w:spacing w:after="60" w:before="60"/>
        <w:ind w:left="720" w:right="72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thermal quantum annealing, open quantum systems, Lindblad master equation, classical-quantum equivalence, quantum matrix methods, randomized SVD, singular value decomposition, quantum advantage, ill-conditioned matrices, Boltzmann distribution</w:t>
      </w:r>
    </w:p>
    <w:p>
      <w:pPr>
        <w:spacing w:after="60" w:before="60"/>
      </w:pPr>
    </w:p>
    <w:p>
      <w:pPr>
        <w:spacing w:after="60" w:before="60"/>
        <w:ind w:left="720" w:right="720"/>
      </w:pPr>
      <w:r>
        <w:rPr>
          <w:rFonts w:ascii="Times New Roman" w:cs="Times New Roman" w:eastAsia="Times New Roman" w:hAnsi="Times New Roman"/>
          <w:b/>
          <w:bCs/>
          <w:sz w:val="22"/>
          <w:szCs w:val="22"/>
        </w:rPr>
        <w:t xml:space="preserve">Acknowledgments: </w:t>
      </w:r>
      <w:r>
        <w:rPr>
          <w:rFonts w:ascii="Times New Roman" w:cs="Times New Roman" w:eastAsia="Times New Roman" w:hAnsi="Times New Roman"/>
          <w:sz w:val="22"/>
          <w:szCs w:val="22"/>
        </w:rPr>
        <w:t xml:space="preserve">The author thanks AI assistants (Claude, Anthropic; DeepSeek) for drafting assistance, mathematical exposition, and simulation code. All intellectual content, judgments, and responsibility for accuracy rest with the author.</w:t>
      </w:r>
    </w:p>
    <w:p>
      <w:pPr>
        <w:spacing w:after="60" w:before="60"/>
      </w:pPr>
    </w:p>
    <w:p>
      <w:pPr>
        <w:pBdr>
          <w:bottom w:val="single" w:color="888888" w:sz="4" w:space="1"/>
        </w:pBdr>
        <w:spacing w:after="160" w:before="160"/>
      </w:pPr>
    </w:p>
    <w:p>
      <w:pPr>
        <w:pStyle w:val="Heading1"/>
        <w:spacing w:after="180" w:before="440"/>
      </w:pPr>
      <w:r>
        <w:rPr>
          <w:rFonts w:ascii="Times New Roman" w:cs="Times New Roman" w:eastAsia="Times New Roman" w:hAnsi="Times New Roman"/>
          <w:b/>
          <w:bCs/>
          <w:sz w:val="28"/>
          <w:szCs w:val="28"/>
        </w:rPr>
        <w:t xml:space="preserve">1.  Introduction</w:t>
      </w:r>
    </w:p>
    <w:p>
      <w:pPr>
        <w:spacing w:after="100" w:before="100"/>
      </w:pPr>
      <w:r>
        <w:rPr>
          <w:rFonts w:ascii="Times New Roman" w:cs="Times New Roman" w:eastAsia="Times New Roman" w:hAnsi="Times New Roman"/>
          <w:sz w:val="24"/>
          <w:szCs w:val="24"/>
        </w:rPr>
        <w:t xml:space="preserve">Quantum computing has proceeded along two largely separate tracks. The first, and by far the better-funded, is the Quantum Turing Machine (QTM) model originating with Deutsch (1985): a gate-based architecture that manipulates binary qubits and runs user-written programs. The second is quantum annealing, exemplified by D-Wave Systems, in which a physical system is slowly relaxed toward the ground state of an optimization Hamiltonian.</w:t>
      </w:r>
    </w:p>
    <w:p>
      <w:pPr>
        <w:spacing w:after="100" w:before="100"/>
      </w:pPr>
      <w:r>
        <w:rPr>
          <w:rFonts w:ascii="Times New Roman" w:cs="Times New Roman" w:eastAsia="Times New Roman" w:hAnsi="Times New Roman"/>
          <w:sz w:val="24"/>
          <w:szCs w:val="24"/>
        </w:rPr>
        <w:t xml:space="preserve">This paper concerns a third approach — Thermal Quantum Annealing (tQuA) — proposed by the author in a 2025 U.S. patent. tQuA differs from both predecessors in a crucial respect: rather than adiabatically ramping a coupling parameter (D-Wave’s Bianchi protocol), tQuA couples the system to a genuine thermodynamic reservoir at full coupling strength from the outset and allows the physics of energy dissipation to drive the system to its ground state. This is not a heuristic — it is the mechanism by which real physical systems minimize free energy, governed by the mathematically precise theory of open quantum systems.</w:t>
      </w:r>
    </w:p>
    <w:p>
      <w:pPr>
        <w:spacing w:after="100" w:before="100"/>
      </w:pPr>
      <w:r>
        <w:rPr>
          <w:rFonts w:ascii="Times New Roman" w:cs="Times New Roman" w:eastAsia="Times New Roman" w:hAnsi="Times New Roman"/>
          <w:sz w:val="24"/>
          <w:szCs w:val="24"/>
        </w:rPr>
        <w:t xml:space="preserve">The central application is Quantum Matrix Methods (QMM): the realization that large-scale matrix computations — linear systems, eigenvalue problems, singular value decompositions — can be reformulated as ground-state problems for an appropriately constructed Hamiltonian H. We compare QMM against the randomized methods of Martinsson and collaborators (Halko, Martinsson and Tropp, 2011), which represent the current state of the art in classical large-scale matrix approximation, and identify the precise regime where tQuA offers a provable advantage.</w:t>
      </w:r>
    </w:p>
    <w:p>
      <w:pPr>
        <w:spacing w:after="100" w:before="100"/>
      </w:pPr>
      <w:r>
        <w:rPr>
          <w:rFonts w:ascii="Times New Roman" w:cs="Times New Roman" w:eastAsia="Times New Roman" w:hAnsi="Times New Roman"/>
          <w:sz w:val="24"/>
          <w:szCs w:val="24"/>
        </w:rPr>
        <w:t xml:space="preserve">A central feature of this paper is its classical foundation. The author’s prior work (Werbos, 2002; Werbos and Dolmatova, 2004) established a remarkable equivalence: for any bosonic field theory, the equilibrium statistics of classical fields coincide exactly with the grand canonical ensemble of quantum statistical thermodynamics. This means the Gibbs state convergence that underlies tQuA does not rest solely on quantum mechanics — it follows already from classical Hamiltonian field theory plus the Boltzmann distribution. The quantum Lindblad framework then provides the dynamical mechanism that achieves this classical-thermodynamic limit in finite time.</w:t>
      </w:r>
    </w:p>
    <w:p>
      <w:pPr>
        <w:pStyle w:val="Heading2"/>
        <w:spacing w:after="120" w:before="280"/>
      </w:pPr>
      <w:r>
        <w:rPr>
          <w:rFonts w:ascii="Times New Roman" w:cs="Times New Roman" w:eastAsia="Times New Roman" w:hAnsi="Times New Roman"/>
          <w:b/>
          <w:bCs/>
          <w:sz w:val="25"/>
          <w:szCs w:val="25"/>
        </w:rPr>
        <w:t xml:space="preserve">1.1  A Note on Honesty and Precision</w:t>
      </w:r>
    </w:p>
    <w:p>
      <w:pPr>
        <w:spacing w:after="100" w:before="100"/>
      </w:pPr>
      <w:r>
        <w:rPr>
          <w:rFonts w:ascii="Times New Roman" w:cs="Times New Roman" w:eastAsia="Times New Roman" w:hAnsi="Times New Roman"/>
          <w:sz w:val="24"/>
          <w:szCs w:val="24"/>
        </w:rPr>
        <w:t xml:space="preserve">This paper distinguishes carefully among three levels of claim:</w:t>
      </w:r>
    </w:p>
    <w:p>
      <w:pPr>
        <w:spacing w:after="80" w:before="80"/>
        <w:ind w:left="720"/>
      </w:pPr>
      <w:r>
        <w:rPr>
          <w:rFonts w:ascii="Times New Roman" w:cs="Times New Roman" w:eastAsia="Times New Roman" w:hAnsi="Times New Roman"/>
          <w:b/>
          <w:bCs/>
          <w:sz w:val="24"/>
          <w:szCs w:val="24"/>
        </w:rPr>
        <w:t xml:space="preserve">Theorem: </w:t>
      </w:r>
      <w:r>
        <w:rPr>
          <w:rFonts w:ascii="Times New Roman" w:cs="Times New Roman" w:eastAsia="Times New Roman" w:hAnsi="Times New Roman"/>
          <w:sz w:val="24"/>
          <w:szCs w:val="24"/>
        </w:rPr>
        <w:t xml:space="preserve">a result rigorously proved in cited literature and applied here.</w:t>
      </w:r>
    </w:p>
    <w:p>
      <w:pPr>
        <w:spacing w:after="80" w:before="80"/>
        <w:ind w:left="720"/>
      </w:pPr>
      <w:r>
        <w:rPr>
          <w:rFonts w:ascii="Times New Roman" w:cs="Times New Roman" w:eastAsia="Times New Roman" w:hAnsi="Times New Roman"/>
          <w:b/>
          <w:bCs/>
          <w:sz w:val="24"/>
          <w:szCs w:val="24"/>
        </w:rPr>
        <w:t xml:space="preserve">Proposition: </w:t>
      </w:r>
      <w:r>
        <w:rPr>
          <w:rFonts w:ascii="Times New Roman" w:cs="Times New Roman" w:eastAsia="Times New Roman" w:hAnsi="Times New Roman"/>
          <w:sz w:val="24"/>
          <w:szCs w:val="24"/>
        </w:rPr>
        <w:t xml:space="preserve">a new result with a proof sketch that is well-grounded but not yet independently peer-reviewed.</w:t>
      </w:r>
    </w:p>
    <w:p>
      <w:pPr>
        <w:spacing w:after="80" w:before="80"/>
        <w:ind w:left="720"/>
      </w:pPr>
      <w:r>
        <w:rPr>
          <w:rFonts w:ascii="Times New Roman" w:cs="Times New Roman" w:eastAsia="Times New Roman" w:hAnsi="Times New Roman"/>
          <w:b/>
          <w:bCs/>
          <w:sz w:val="24"/>
          <w:szCs w:val="24"/>
        </w:rPr>
        <w:t xml:space="preserve">Conjecture: </w:t>
      </w:r>
      <w:r>
        <w:rPr>
          <w:rFonts w:ascii="Times New Roman" w:cs="Times New Roman" w:eastAsia="Times New Roman" w:hAnsi="Times New Roman"/>
          <w:sz w:val="24"/>
          <w:szCs w:val="24"/>
        </w:rPr>
        <w:t xml:space="preserve">a claim we believe to be true, where a key step is explicitly identified as open.</w:t>
      </w:r>
    </w:p>
    <w:p>
      <w:pPr>
        <w:spacing w:after="100" w:before="100"/>
      </w:pPr>
      <w:r>
        <w:rPr>
          <w:rFonts w:ascii="Times New Roman" w:cs="Times New Roman" w:eastAsia="Times New Roman" w:hAnsi="Times New Roman"/>
          <w:sz w:val="24"/>
          <w:szCs w:val="24"/>
        </w:rPr>
        <w:t xml:space="preserve">This distinction is maintained throughout. The author holds that speculative claims clearly labeled as such are more valuable than overstated claims presented as settled results.</w:t>
      </w:r>
    </w:p>
    <w:p>
      <w:pPr>
        <w:pStyle w:val="Heading1"/>
        <w:spacing w:after="180" w:before="440"/>
      </w:pPr>
      <w:r>
        <w:rPr>
          <w:rFonts w:ascii="Times New Roman" w:cs="Times New Roman" w:eastAsia="Times New Roman" w:hAnsi="Times New Roman"/>
          <w:b/>
          <w:bCs/>
          <w:sz w:val="28"/>
          <w:szCs w:val="28"/>
        </w:rPr>
        <w:t xml:space="preserve">2.  Classical Foundation: The Werbos Classical-Quantum Equivalence</w:t>
      </w:r>
    </w:p>
    <w:p>
      <w:pPr>
        <w:spacing w:after="100" w:before="100"/>
      </w:pPr>
      <w:r>
        <w:rPr>
          <w:rFonts w:ascii="Times New Roman" w:cs="Times New Roman" w:eastAsia="Times New Roman" w:hAnsi="Times New Roman"/>
          <w:sz w:val="24"/>
          <w:szCs w:val="24"/>
        </w:rPr>
        <w:t xml:space="preserve">Before invoking quantum theory, we establish the classical thermodynamic foundation. This section draws on Werbos (2002) and Werbos and Dolmatova (2004), which showed that the equilibrium statistics of a wide class of classical field theories coincide exactly with quantum statistical thermodynamics. This is the deepest foundation for the tQuA convergence claim: it means the Gibbs state is not a specifically quantum result, but a consequence of Hamiltonian dynamics and the Boltzmann distribution applied to field theories.</w:t>
      </w:r>
    </w:p>
    <w:p>
      <w:pPr>
        <w:pStyle w:val="Heading2"/>
        <w:spacing w:after="120" w:before="280"/>
      </w:pPr>
      <w:r>
        <w:rPr>
          <w:rFonts w:ascii="Times New Roman" w:cs="Times New Roman" w:eastAsia="Times New Roman" w:hAnsi="Times New Roman"/>
          <w:b/>
          <w:bCs/>
          <w:sz w:val="25"/>
          <w:szCs w:val="25"/>
        </w:rPr>
        <w:t xml:space="preserve">2.1  The Equilibrium PDF of Classical Field Theories</w:t>
      </w:r>
    </w:p>
    <w:p>
      <w:pPr>
        <w:spacing w:after="100" w:before="100"/>
      </w:pPr>
      <w:r>
        <w:rPr>
          <w:rFonts w:ascii="Times New Roman" w:cs="Times New Roman" w:eastAsia="Times New Roman" w:hAnsi="Times New Roman"/>
          <w:sz w:val="24"/>
          <w:szCs w:val="24"/>
        </w:rPr>
        <w:t xml:space="preserve">Consider a classical field theory governed by a Hamiltonian density H(φ(x), π(x), ∇φ(x)), with state defined by field configurations φ(x) and conjugate momenta π(x). The invariant probability measure of the system’s Hamiltonian dynamics is:</w:t>
      </w:r>
    </w:p>
    <w:p>
      <w:pPr>
        <w:spacing w:after="160" w:before="160"/>
        <w:ind w:left="720" w:right="720"/>
        <w:jc w:val="center"/>
      </w:pPr>
      <w:r>
        <w:rPr>
          <w:rFonts w:ascii="Courier New" w:cs="Courier New" w:eastAsia="Courier New" w:hAnsi="Courier New"/>
          <w:sz w:val="21"/>
          <w:szCs w:val="21"/>
        </w:rPr>
        <w:t xml:space="preserve">dµ = Π_x dφ(x) dπ(x)   (uniform in field configuration space)</w:t>
      </w:r>
    </w:p>
    <w:p>
      <w:pPr>
        <w:spacing w:after="100" w:before="100"/>
      </w:pPr>
      <w:r>
        <w:rPr>
          <w:rFonts w:ascii="Times New Roman" w:cs="Times New Roman" w:eastAsia="Times New Roman" w:hAnsi="Times New Roman"/>
          <w:sz w:val="24"/>
          <w:szCs w:val="24"/>
        </w:rPr>
        <w:t xml:space="preserve">As established in Werbos (2002), equations 6–12, the family of equilibrium probability distributions for such a system takes the generalized Boltzmann form:</w:t>
      </w:r>
    </w:p>
    <w:p>
      <w:pPr>
        <w:spacing w:after="160" w:before="160"/>
        <w:ind w:left="720" w:right="720"/>
        <w:jc w:val="center"/>
      </w:pPr>
      <w:r>
        <w:rPr>
          <w:rFonts w:ascii="Courier New" w:cs="Courier New" w:eastAsia="Courier New" w:hAnsi="Courier New"/>
          <w:sz w:val="21"/>
          <w:szCs w:val="21"/>
        </w:rPr>
        <w:t xml:space="preserve">p = exp(-c₁ q₁ - ... - c_m q_m) dµ / Z          (Eq. 1)</w:t>
      </w:r>
    </w:p>
    <w:p>
      <w:pPr>
        <w:spacing w:after="100" w:before="100"/>
      </w:pPr>
      <w:r>
        <w:rPr>
          <w:rFonts w:ascii="Times New Roman" w:cs="Times New Roman" w:eastAsia="Times New Roman" w:hAnsi="Times New Roman"/>
          <w:sz w:val="24"/>
          <w:szCs w:val="24"/>
        </w:rPr>
        <w:t xml:space="preserve">where the q_j are conserved quantities (energy, charge, etc.), the c_j are parameters of the distribution, and Z is the partition function. This is ‘case 2’ in the entropy classification of Werbos (2004), Section 3a: a field entropy function that depends on field gradients and therefore need not converge to disorder. The key point is that ordered, correlated equilibrium states — including ground states of the Hamiltonian — are consistent with maximum entropy for field theories of this class.</w:t>
      </w:r>
    </w:p>
    <w:p>
      <w:pPr>
        <w:pStyle w:val="Heading2"/>
        <w:spacing w:after="120" w:before="280"/>
      </w:pPr>
      <w:r>
        <w:rPr>
          <w:rFonts w:ascii="Times New Roman" w:cs="Times New Roman" w:eastAsia="Times New Roman" w:hAnsi="Times New Roman"/>
          <w:b/>
          <w:bCs/>
          <w:sz w:val="25"/>
          <w:szCs w:val="25"/>
        </w:rPr>
        <w:t xml:space="preserve">2.2  Classical-Quantum Equivalence</w:t>
      </w:r>
    </w:p>
    <w:p>
      <w:pPr>
        <w:spacing w:after="100" w:before="100"/>
      </w:pPr>
      <w:r>
        <w:rPr>
          <w:rFonts w:ascii="Times New Roman" w:cs="Times New Roman" w:eastAsia="Times New Roman" w:hAnsi="Times New Roman"/>
          <w:sz w:val="24"/>
          <w:szCs w:val="24"/>
        </w:rPr>
        <w:t xml:space="preserve">The author’s prior work established that the equilibrium PDF of equation 1, when expressed in terms of field operators in Fock-Hilbert space via the classical density matrix construction (Werbos, 2002, equations 16–21), takes the form:</w:t>
      </w:r>
    </w:p>
    <w:p>
      <w:pPr>
        <w:spacing w:after="160" w:before="160"/>
        <w:ind w:left="720" w:right="720"/>
        <w:jc w:val="center"/>
      </w:pPr>
      <w:r>
        <w:rPr>
          <w:rFonts w:ascii="Courier New" w:cs="Courier New" w:eastAsia="Courier New" w:hAnsi="Courier New"/>
          <w:sz w:val="21"/>
          <w:szCs w:val="21"/>
        </w:rPr>
        <w:t xml:space="preserve">ρ = exp(-c₁ Q₁ - ... - c_m Q_m) / Z          (Eq. 2)</w:t>
      </w:r>
    </w:p>
    <w:p>
      <w:pPr>
        <w:spacing w:after="100" w:before="100"/>
      </w:pPr>
      <w:r>
        <w:rPr>
          <w:rFonts w:ascii="Times New Roman" w:cs="Times New Roman" w:eastAsia="Times New Roman" w:hAnsi="Times New Roman"/>
          <w:sz w:val="24"/>
          <w:szCs w:val="24"/>
        </w:rPr>
        <w:t xml:space="preserve">where Q_j is the normal-form field operator representing the conserved quantity q_j. Equation 2 is precisely the grand canonical ensemble of quantum statistical thermodynamics (QST). This equivalence — established as a rigorous result for bosonic fields and stated as a conjecture for fermionic fields in Werbos (2002) — has the following consequence for tQuA:</w:t>
      </w:r>
    </w:p>
    <w:p>
      <w:pPr>
        <w:spacing w:after="60" w:before="220"/>
      </w:pPr>
      <w:r>
        <w:rPr>
          <w:rFonts w:ascii="Times New Roman" w:cs="Times New Roman" w:eastAsia="Times New Roman" w:hAnsi="Times New Roman"/>
          <w:b/>
          <w:bCs/>
          <w:sz w:val="24"/>
          <w:szCs w:val="24"/>
        </w:rPr>
        <w:t xml:space="preserve">Theorem 1 Classical Foundation of Gibbs Convergence (Werbos, 2002, 2004)</w:t>
      </w:r>
      <w:r>
        <w:rPr>
          <w:rFonts w:ascii="Times New Roman" w:cs="Times New Roman" w:eastAsia="Times New Roman" w:hAnsi="Times New Roman"/>
          <w:b/>
          <w:bCs/>
          <w:sz w:val="24"/>
          <w:szCs w:val="24"/>
        </w:rPr>
        <w:t xml:space="preserve">.</w:t>
      </w:r>
    </w:p>
    <w:p>
      <w:pPr>
        <w:spacing w:after="100" w:before="100"/>
      </w:pPr>
      <w:r>
        <w:rPr>
          <w:rFonts w:ascii="Times New Roman" w:cs="Times New Roman" w:eastAsia="Times New Roman" w:hAnsi="Times New Roman"/>
          <w:sz w:val="24"/>
          <w:szCs w:val="24"/>
        </w:rPr>
        <w:t xml:space="preserve">For any bosonic field theory whose Hamiltonian fits the form H = ∫ H(φ(x), π(x), ∇φ(x)) d³x, the classical thermal equilibrium state coincides with the quantum grand canonical ensemble ρ_β = e^{-βH}/Z. In particular, in the zero-temperature limit (β → ∞), the equilibrium state is the ground state of H, independently of whether one uses classical or quantum statistical mechanics.</w:t>
      </w:r>
    </w:p>
    <w:p>
      <w:pPr>
        <w:spacing w:after="60" w:before="100"/>
      </w:pPr>
      <w:r>
        <w:rPr>
          <w:rFonts w:ascii="Times New Roman" w:cs="Times New Roman" w:eastAsia="Times New Roman" w:hAnsi="Times New Roman"/>
          <w:b/>
          <w:bCs/>
          <w:i/>
          <w:iCs/>
          <w:sz w:val="24"/>
          <w:szCs w:val="24"/>
        </w:rPr>
        <w:t xml:space="preserve">Proof.</w:t>
      </w:r>
    </w:p>
    <w:p>
      <w:pPr>
        <w:spacing w:after="100" w:before="100"/>
      </w:pPr>
      <w:r>
        <w:rPr>
          <w:rFonts w:ascii="Times New Roman" w:cs="Times New Roman" w:eastAsia="Times New Roman" w:hAnsi="Times New Roman"/>
          <w:sz w:val="24"/>
          <w:szCs w:val="24"/>
        </w:rPr>
        <w:t xml:space="preserve">See Werbos (2002), equations 14–22 and Theorem (equations 103–107); Werbos and Dolmatova (2004), main result. The proof proceeds by constructing the classical density matrix from the invariant measure dµ, showing via the trace property (equation 21 of Werbos, 2002) that all statistical moments of the classical equilibrium distribution match those of the quantum grand canonical ensemble. The zero-temperature limit then follows from the dominance of the ground state Boltzmann weight.</w:t>
      </w:r>
    </w:p>
    <w:p>
      <w:pPr>
        <w:spacing w:after="140" w:before="40"/>
        <w:jc w:val="right"/>
      </w:pPr>
      <w:r>
        <w:rPr>
          <w:rFonts w:ascii="Times New Roman" w:cs="Times New Roman" w:eastAsia="Times New Roman" w:hAnsi="Times New Roman"/>
          <w:sz w:val="24"/>
          <w:szCs w:val="24"/>
        </w:rPr>
        <w:t xml:space="preserve">∎</w:t>
      </w:r>
    </w:p>
    <w:p>
      <w:pPr>
        <w:spacing w:after="100" w:before="100"/>
        <w:ind w:left="540"/>
      </w:pPr>
      <w:r>
        <w:rPr>
          <w:rFonts w:ascii="Times New Roman" w:cs="Times New Roman" w:eastAsia="Times New Roman" w:hAnsi="Times New Roman"/>
          <w:i/>
          <w:iCs/>
          <w:sz w:val="22"/>
          <w:szCs w:val="22"/>
        </w:rPr>
        <w:t xml:space="preserve">Remark. This result means that tQuA’s convergence to the ground state is grounded in classical thermodynamics, not only in quantum mechanics. The quantum Lindblad framework (Sections 3–4) provides the dynamical mechanism that achieves this equilibrium in finite time. Theorem 1 should be understood as a well-established result for bosonic fields; the fermionic case remains open and is noted as a conjecture in the original papers.</w:t>
      </w:r>
    </w:p>
    <w:p>
      <w:pPr>
        <w:pStyle w:val="Heading2"/>
        <w:spacing w:after="120" w:before="280"/>
      </w:pPr>
      <w:r>
        <w:rPr>
          <w:rFonts w:ascii="Times New Roman" w:cs="Times New Roman" w:eastAsia="Times New Roman" w:hAnsi="Times New Roman"/>
          <w:b/>
          <w:bCs/>
          <w:sz w:val="25"/>
          <w:szCs w:val="25"/>
        </w:rPr>
        <w:t xml:space="preserve">2.3  Implications for the Entropy of Optimization Hamiltonians</w:t>
      </w:r>
    </w:p>
    <w:p>
      <w:pPr>
        <w:spacing w:after="100" w:before="100"/>
      </w:pPr>
      <w:r>
        <w:rPr>
          <w:rFonts w:ascii="Times New Roman" w:cs="Times New Roman" w:eastAsia="Times New Roman" w:hAnsi="Times New Roman"/>
          <w:sz w:val="24"/>
          <w:szCs w:val="24"/>
        </w:rPr>
        <w:t xml:space="preserve">For the optimization Hamiltonians H = A†A used in QMM (Section 6), the field-theory entropy function falls in the ‘case 2’ category of Werbos (2004): it depends on the operator structure of A and therefore need not converge to a disordered (heat-death) state. The ground state — the dominant singular vector of A — is a low-entropy, highly ordered state that is fully consistent with thermodynamic equilibrium at low temperature. This resolves a potential misconception: one might think that thermal equilibrium means disorder, and therefore that a thermal system cannot reliably find a specific structured state. For field Hamiltonians of the type tQuA targets, this is false.</w:t>
      </w:r>
    </w:p>
    <w:p>
      <w:pPr>
        <w:pStyle w:val="Heading1"/>
        <w:spacing w:after="180" w:before="440"/>
      </w:pPr>
      <w:r>
        <w:rPr>
          <w:rFonts w:ascii="Times New Roman" w:cs="Times New Roman" w:eastAsia="Times New Roman" w:hAnsi="Times New Roman"/>
          <w:b/>
          <w:bCs/>
          <w:sz w:val="28"/>
          <w:szCs w:val="28"/>
        </w:rPr>
        <w:t xml:space="preserve">3.  Quantum Dynamical Framework: The Lindblad Master Equation</w:t>
      </w:r>
    </w:p>
    <w:p>
      <w:pPr>
        <w:pStyle w:val="Heading2"/>
        <w:spacing w:after="120" w:before="280"/>
      </w:pPr>
      <w:r>
        <w:rPr>
          <w:rFonts w:ascii="Times New Roman" w:cs="Times New Roman" w:eastAsia="Times New Roman" w:hAnsi="Times New Roman"/>
          <w:b/>
          <w:bCs/>
          <w:sz w:val="25"/>
          <w:szCs w:val="25"/>
        </w:rPr>
        <w:t xml:space="preserve">3.1  Open Quantum Systems</w:t>
      </w:r>
    </w:p>
    <w:p>
      <w:pPr>
        <w:spacing w:after="100" w:before="100"/>
      </w:pPr>
      <w:r>
        <w:rPr>
          <w:rFonts w:ascii="Times New Roman" w:cs="Times New Roman" w:eastAsia="Times New Roman" w:hAnsi="Times New Roman"/>
          <w:sz w:val="24"/>
          <w:szCs w:val="24"/>
        </w:rPr>
        <w:t xml:space="preserve">Following Carmichael (1993, 1999), we consider a quantum system S with Hilbert space H_S coupled to a reservoir R. The total Hamiltonian is:</w:t>
      </w:r>
    </w:p>
    <w:p>
      <w:pPr>
        <w:spacing w:after="160" w:before="160"/>
        <w:ind w:left="720" w:right="720"/>
        <w:jc w:val="center"/>
      </w:pPr>
      <w:r>
        <w:rPr>
          <w:rFonts w:ascii="Courier New" w:cs="Courier New" w:eastAsia="Courier New" w:hAnsi="Courier New"/>
          <w:sz w:val="21"/>
          <w:szCs w:val="21"/>
        </w:rPr>
        <w:t xml:space="preserve">H_total = H_S + H_R + H_int</w:t>
      </w:r>
    </w:p>
    <w:p>
      <w:pPr>
        <w:spacing w:after="100" w:before="100"/>
      </w:pPr>
      <w:r>
        <w:rPr>
          <w:rFonts w:ascii="Times New Roman" w:cs="Times New Roman" w:eastAsia="Times New Roman" w:hAnsi="Times New Roman"/>
          <w:sz w:val="24"/>
          <w:szCs w:val="24"/>
        </w:rPr>
        <w:t xml:space="preserve">where H_S is the target optimization Hamiltonian, H_R = Σ_k ω_k a_k† a_k is the reservoir Hamiltonian, and H_int = A ⊗ B_R is the system-reservoir coupling.</w:t>
      </w:r>
    </w:p>
    <w:p>
      <w:pPr>
        <w:pStyle w:val="Heading2"/>
        <w:spacing w:after="120" w:before="280"/>
      </w:pPr>
      <w:r>
        <w:rPr>
          <w:rFonts w:ascii="Times New Roman" w:cs="Times New Roman" w:eastAsia="Times New Roman" w:hAnsi="Times New Roman"/>
          <w:b/>
          <w:bCs/>
          <w:sz w:val="25"/>
          <w:szCs w:val="25"/>
        </w:rPr>
        <w:t xml:space="preserve">3.2  The Lindblad Master Equation</w:t>
      </w:r>
    </w:p>
    <w:p>
      <w:pPr>
        <w:spacing w:after="100" w:before="100"/>
      </w:pPr>
      <w:r>
        <w:rPr>
          <w:rFonts w:ascii="Times New Roman" w:cs="Times New Roman" w:eastAsia="Times New Roman" w:hAnsi="Times New Roman"/>
          <w:sz w:val="24"/>
          <w:szCs w:val="24"/>
        </w:rPr>
        <w:t xml:space="preserve">Under the Born-Markov approximation, tracing out the reservoir yields the Lindblad master equation governing the reduced density matrix ρ(t):</w:t>
      </w:r>
    </w:p>
    <w:p>
      <w:pPr>
        <w:spacing w:after="160" w:before="160"/>
        <w:ind w:left="720" w:right="720"/>
        <w:jc w:val="center"/>
      </w:pPr>
      <w:r>
        <w:rPr>
          <w:rFonts w:ascii="Courier New" w:cs="Courier New" w:eastAsia="Courier New" w:hAnsi="Courier New"/>
          <w:sz w:val="21"/>
          <w:szCs w:val="21"/>
        </w:rPr>
        <w:t xml:space="preserve">dρ/dt = -i[H_S, ρ] + Σ_k γ_k (L_k ρ L_k† - {L_k† L_k, ρ}/2)          (Eq. 3)</w:t>
      </w:r>
    </w:p>
    <w:p>
      <w:pPr>
        <w:spacing w:after="60" w:before="220"/>
      </w:pPr>
      <w:r>
        <w:rPr>
          <w:rFonts w:ascii="Times New Roman" w:cs="Times New Roman" w:eastAsia="Times New Roman" w:hAnsi="Times New Roman"/>
          <w:b/>
          <w:bCs/>
          <w:sz w:val="24"/>
          <w:szCs w:val="24"/>
        </w:rPr>
        <w:t xml:space="preserve">Theorem 2 Lindblad, 1976; Gorini, Kossakowski and Sudarshan, 1976</w:t>
      </w:r>
      <w:r>
        <w:rPr>
          <w:rFonts w:ascii="Times New Roman" w:cs="Times New Roman" w:eastAsia="Times New Roman" w:hAnsi="Times New Roman"/>
          <w:b/>
          <w:bCs/>
          <w:sz w:val="24"/>
          <w:szCs w:val="24"/>
        </w:rPr>
        <w:t xml:space="preserve">.</w:t>
      </w:r>
    </w:p>
    <w:p>
      <w:pPr>
        <w:spacing w:after="100" w:before="100"/>
      </w:pPr>
      <w:r>
        <w:rPr>
          <w:rFonts w:ascii="Times New Roman" w:cs="Times New Roman" w:eastAsia="Times New Roman" w:hAnsi="Times New Roman"/>
          <w:sz w:val="24"/>
          <w:szCs w:val="24"/>
        </w:rPr>
        <w:t xml:space="preserve">Equation 3 generates a completely positive trace-preserving (CPTP) semigroup on the space of density operators. For any initial state ρ(0), the solution ρ(t) is a valid density matrix for all t ≥ 0.</w:t>
      </w:r>
    </w:p>
    <w:p>
      <w:pPr>
        <w:spacing w:after="60" w:before="100"/>
      </w:pPr>
      <w:r>
        <w:rPr>
          <w:rFonts w:ascii="Times New Roman" w:cs="Times New Roman" w:eastAsia="Times New Roman" w:hAnsi="Times New Roman"/>
          <w:b/>
          <w:bCs/>
          <w:i/>
          <w:iCs/>
          <w:sz w:val="24"/>
          <w:szCs w:val="24"/>
        </w:rPr>
        <w:t xml:space="preserve">Proof.</w:t>
      </w:r>
    </w:p>
    <w:p>
      <w:pPr>
        <w:spacing w:after="100" w:before="100"/>
      </w:pPr>
      <w:r>
        <w:rPr>
          <w:rFonts w:ascii="Times New Roman" w:cs="Times New Roman" w:eastAsia="Times New Roman" w:hAnsi="Times New Roman"/>
          <w:sz w:val="24"/>
          <w:szCs w:val="24"/>
        </w:rPr>
        <w:t xml:space="preserve">See Lindblad (1976), Theorem 1; Gorini, Kossakowski and Sudarshan (1976).</w:t>
      </w:r>
    </w:p>
    <w:p>
      <w:pPr>
        <w:spacing w:after="140" w:before="40"/>
        <w:jc w:val="right"/>
      </w:pPr>
      <w:r>
        <w:rPr>
          <w:rFonts w:ascii="Times New Roman" w:cs="Times New Roman" w:eastAsia="Times New Roman" w:hAnsi="Times New Roman"/>
          <w:sz w:val="24"/>
          <w:szCs w:val="24"/>
        </w:rPr>
        <w:t xml:space="preserve">∎</w:t>
      </w:r>
    </w:p>
    <w:p>
      <w:pPr>
        <w:pStyle w:val="Heading1"/>
        <w:spacing w:after="180" w:before="440"/>
      </w:pPr>
      <w:r>
        <w:rPr>
          <w:rFonts w:ascii="Times New Roman" w:cs="Times New Roman" w:eastAsia="Times New Roman" w:hAnsi="Times New Roman"/>
          <w:b/>
          <w:bCs/>
          <w:sz w:val="28"/>
          <w:szCs w:val="28"/>
        </w:rPr>
        <w:t xml:space="preserve">4.  Convergence to the Ground State</w:t>
      </w:r>
    </w:p>
    <w:p>
      <w:pPr>
        <w:pStyle w:val="Heading2"/>
        <w:spacing w:after="120" w:before="280"/>
      </w:pPr>
      <w:r>
        <w:rPr>
          <w:rFonts w:ascii="Times New Roman" w:cs="Times New Roman" w:eastAsia="Times New Roman" w:hAnsi="Times New Roman"/>
          <w:b/>
          <w:bCs/>
          <w:sz w:val="25"/>
          <w:szCs w:val="25"/>
        </w:rPr>
        <w:t xml:space="preserve">4.1  Detailed Balance and the Gibbs Stationary State</w:t>
      </w:r>
    </w:p>
    <w:p>
      <w:pPr>
        <w:spacing w:after="100" w:before="100"/>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The operators L_k and rates γ_k satisfy detailed balance at temperature T if, for all observables O: Tr(O L[ρ]) = Tr(L†[O] ρ) when ρ = ρ_β.</w:t>
      </w:r>
    </w:p>
    <w:p>
      <w:pPr>
        <w:spacing w:after="60" w:before="220"/>
      </w:pPr>
      <w:r>
        <w:rPr>
          <w:rFonts w:ascii="Times New Roman" w:cs="Times New Roman" w:eastAsia="Times New Roman" w:hAnsi="Times New Roman"/>
          <w:b/>
          <w:bCs/>
          <w:sz w:val="24"/>
          <w:szCs w:val="24"/>
        </w:rPr>
        <w:t xml:space="preserve">Theorem 3 Gibbs Stationary State</w:t>
      </w:r>
      <w:r>
        <w:rPr>
          <w:rFonts w:ascii="Times New Roman" w:cs="Times New Roman" w:eastAsia="Times New Roman" w:hAnsi="Times New Roman"/>
          <w:b/>
          <w:bCs/>
          <w:sz w:val="24"/>
          <w:szCs w:val="24"/>
        </w:rPr>
        <w:t xml:space="preserve">.</w:t>
      </w:r>
    </w:p>
    <w:p>
      <w:pPr>
        <w:spacing w:after="100" w:before="100"/>
      </w:pPr>
      <w:r>
        <w:rPr>
          <w:rFonts w:ascii="Times New Roman" w:cs="Times New Roman" w:eastAsia="Times New Roman" w:hAnsi="Times New Roman"/>
          <w:sz w:val="24"/>
          <w:szCs w:val="24"/>
        </w:rPr>
        <w:t xml:space="preserve">If the Lindblad operators satisfy detailed balance at temperature T = 1/(k_Bβ), the unique stationary state is the Gibbs state:</w:t>
      </w:r>
    </w:p>
    <w:p>
      <w:pPr>
        <w:spacing w:after="160" w:before="160"/>
        <w:ind w:left="720" w:right="720"/>
        <w:jc w:val="center"/>
      </w:pPr>
      <w:r>
        <w:rPr>
          <w:rFonts w:ascii="Courier New" w:cs="Courier New" w:eastAsia="Courier New" w:hAnsi="Courier New"/>
          <w:sz w:val="21"/>
          <w:szCs w:val="21"/>
        </w:rPr>
        <w:t xml:space="preserve">ρ_β = e^{-β H_S} / Z</w:t>
      </w:r>
    </w:p>
    <w:p>
      <w:pPr>
        <w:spacing w:after="100" w:before="100"/>
      </w:pPr>
      <w:r>
        <w:rPr>
          <w:rFonts w:ascii="Times New Roman" w:cs="Times New Roman" w:eastAsia="Times New Roman" w:hAnsi="Times New Roman"/>
          <w:sz w:val="24"/>
          <w:szCs w:val="24"/>
        </w:rPr>
        <w:t xml:space="preserve">Consistent with Theorem 1, this is also the equilibrium state of the corresponding classical field theory (Werbos, 2002, equation 22). The classical and quantum descriptions agree.</w:t>
      </w:r>
    </w:p>
    <w:p>
      <w:pPr>
        <w:spacing w:after="60" w:before="100"/>
      </w:pPr>
      <w:r>
        <w:rPr>
          <w:rFonts w:ascii="Times New Roman" w:cs="Times New Roman" w:eastAsia="Times New Roman" w:hAnsi="Times New Roman"/>
          <w:b/>
          <w:bCs/>
          <w:i/>
          <w:iCs/>
          <w:sz w:val="24"/>
          <w:szCs w:val="24"/>
        </w:rPr>
        <w:t xml:space="preserve">Proof.</w:t>
      </w:r>
    </w:p>
    <w:p>
      <w:pPr>
        <w:spacing w:after="100" w:before="100"/>
      </w:pPr>
      <w:r>
        <w:rPr>
          <w:rFonts w:ascii="Times New Roman" w:cs="Times New Roman" w:eastAsia="Times New Roman" w:hAnsi="Times New Roman"/>
          <w:sz w:val="24"/>
          <w:szCs w:val="24"/>
        </w:rPr>
        <w:t xml:space="preserve">See Carmichael (1999, Chapter 1); Breuer and Petruccione (2002, Section 3.3). The explicit construction of Lindblad operators satisfying detailed balance without eigenstate knowledge is given in Section 5 below (Proposition 1).</w:t>
      </w:r>
    </w:p>
    <w:p>
      <w:pPr>
        <w:spacing w:after="140" w:before="40"/>
        <w:jc w:val="right"/>
      </w:pPr>
      <w:r>
        <w:rPr>
          <w:rFonts w:ascii="Times New Roman" w:cs="Times New Roman" w:eastAsia="Times New Roman" w:hAnsi="Times New Roman"/>
          <w:sz w:val="24"/>
          <w:szCs w:val="24"/>
        </w:rPr>
        <w:t xml:space="preserve">∎</w:t>
      </w:r>
    </w:p>
    <w:p>
      <w:pPr>
        <w:pStyle w:val="Heading2"/>
        <w:spacing w:after="120" w:before="280"/>
      </w:pPr>
      <w:r>
        <w:rPr>
          <w:rFonts w:ascii="Times New Roman" w:cs="Times New Roman" w:eastAsia="Times New Roman" w:hAnsi="Times New Roman"/>
          <w:b/>
          <w:bCs/>
          <w:sz w:val="25"/>
          <w:szCs w:val="25"/>
        </w:rPr>
        <w:t xml:space="preserve">4.2  Ground State Recovery</w:t>
      </w:r>
    </w:p>
    <w:p>
      <w:pPr>
        <w:spacing w:after="60" w:before="220"/>
      </w:pPr>
      <w:r>
        <w:rPr>
          <w:rFonts w:ascii="Times New Roman" w:cs="Times New Roman" w:eastAsia="Times New Roman" w:hAnsi="Times New Roman"/>
          <w:b/>
          <w:bCs/>
          <w:sz w:val="24"/>
          <w:szCs w:val="24"/>
        </w:rPr>
        <w:t xml:space="preserve">Corollary 1 Zero-Temperature Limit</w:t>
      </w:r>
      <w:r>
        <w:rPr>
          <w:rFonts w:ascii="Times New Roman" w:cs="Times New Roman" w:eastAsia="Times New Roman" w:hAnsi="Times New Roman"/>
          <w:b/>
          <w:bCs/>
          <w:sz w:val="24"/>
          <w:szCs w:val="24"/>
        </w:rPr>
        <w:t xml:space="preserve">.</w:t>
      </w:r>
    </w:p>
    <w:p>
      <w:pPr>
        <w:spacing w:after="100" w:before="100"/>
      </w:pPr>
      <w:r>
        <w:rPr>
          <w:rFonts w:ascii="Times New Roman" w:cs="Times New Roman" w:eastAsia="Times New Roman" w:hAnsi="Times New Roman"/>
          <w:sz w:val="24"/>
          <w:szCs w:val="24"/>
        </w:rPr>
        <w:t xml:space="preserve">As T → 0 (β → ∞), ρ_β → |E_0⟩⟨E_0|, where |E_0⟩ is the ground state of H_S.</w:t>
      </w:r>
    </w:p>
    <w:p>
      <w:pPr>
        <w:spacing w:after="60" w:before="100"/>
      </w:pPr>
      <w:r>
        <w:rPr>
          <w:rFonts w:ascii="Times New Roman" w:cs="Times New Roman" w:eastAsia="Times New Roman" w:hAnsi="Times New Roman"/>
          <w:b/>
          <w:bCs/>
          <w:i/>
          <w:iCs/>
          <w:sz w:val="24"/>
          <w:szCs w:val="24"/>
        </w:rPr>
        <w:t xml:space="preserve">Proof.</w:t>
      </w:r>
    </w:p>
    <w:p>
      <w:pPr>
        <w:spacing w:after="100" w:before="100"/>
      </w:pPr>
      <w:r>
        <w:rPr>
          <w:rFonts w:ascii="Times New Roman" w:cs="Times New Roman" w:eastAsia="Times New Roman" w:hAnsi="Times New Roman"/>
          <w:sz w:val="24"/>
          <w:szCs w:val="24"/>
        </w:rPr>
        <w:t xml:space="preserve">In the spectral decomposition H_S = Σ_n E_n |E_n⟩⟨E_n|, the Gibbs state is ρ_β = Σ_n e^{-β E_n}|E_n⟩⟨E_n|/Z. As β → ∞, the ground-state Boltzmann weight dominates.</w:t>
      </w:r>
    </w:p>
    <w:p>
      <w:pPr>
        <w:spacing w:after="140" w:before="40"/>
        <w:jc w:val="right"/>
      </w:pPr>
      <w:r>
        <w:rPr>
          <w:rFonts w:ascii="Times New Roman" w:cs="Times New Roman" w:eastAsia="Times New Roman" w:hAnsi="Times New Roman"/>
          <w:sz w:val="24"/>
          <w:szCs w:val="24"/>
        </w:rPr>
        <w:t xml:space="preserve">∎</w:t>
      </w:r>
    </w:p>
    <w:p>
      <w:pPr>
        <w:pStyle w:val="Heading2"/>
        <w:spacing w:after="120" w:before="280"/>
      </w:pPr>
      <w:r>
        <w:rPr>
          <w:rFonts w:ascii="Times New Roman" w:cs="Times New Roman" w:eastAsia="Times New Roman" w:hAnsi="Times New Roman"/>
          <w:b/>
          <w:bCs/>
          <w:sz w:val="25"/>
          <w:szCs w:val="25"/>
        </w:rPr>
        <w:t xml:space="preserve">4.3  Convergence from Any Initial State</w:t>
      </w:r>
    </w:p>
    <w:p>
      <w:pPr>
        <w:spacing w:after="60" w:before="220"/>
      </w:pPr>
      <w:r>
        <w:rPr>
          <w:rFonts w:ascii="Times New Roman" w:cs="Times New Roman" w:eastAsia="Times New Roman" w:hAnsi="Times New Roman"/>
          <w:b/>
          <w:bCs/>
          <w:sz w:val="24"/>
          <w:szCs w:val="24"/>
        </w:rPr>
        <w:t xml:space="preserve">Theorem 4 Spohn, 1977</w:t>
      </w:r>
      <w:r>
        <w:rPr>
          <w:rFonts w:ascii="Times New Roman" w:cs="Times New Roman" w:eastAsia="Times New Roman" w:hAnsi="Times New Roman"/>
          <w:b/>
          <w:bCs/>
          <w:sz w:val="24"/>
          <w:szCs w:val="24"/>
        </w:rPr>
        <w:t xml:space="preserve">.</w:t>
      </w:r>
    </w:p>
    <w:p>
      <w:pPr>
        <w:spacing w:after="100" w:before="100"/>
      </w:pPr>
      <w:r>
        <w:rPr>
          <w:rFonts w:ascii="Times New Roman" w:cs="Times New Roman" w:eastAsia="Times New Roman" w:hAnsi="Times New Roman"/>
          <w:sz w:val="24"/>
          <w:szCs w:val="24"/>
        </w:rPr>
        <w:t xml:space="preserve">If the stationary state ρ_β is unique, then for any initial state ρ(0):</w:t>
      </w:r>
    </w:p>
    <w:p>
      <w:pPr>
        <w:spacing w:after="160" w:before="160"/>
        <w:ind w:left="720" w:right="720"/>
        <w:jc w:val="center"/>
      </w:pPr>
      <w:r>
        <w:rPr>
          <w:rFonts w:ascii="Courier New" w:cs="Courier New" w:eastAsia="Courier New" w:hAnsi="Courier New"/>
          <w:sz w:val="21"/>
          <w:szCs w:val="21"/>
        </w:rPr>
        <w:t xml:space="preserve">lim_{t→∞} ‖ρ(t) - ρ_β‖₁ = 0</w:t>
      </w:r>
    </w:p>
    <w:p>
      <w:pPr>
        <w:spacing w:after="100" w:before="100"/>
      </w:pPr>
      <w:r>
        <w:rPr>
          <w:rFonts w:ascii="Times New Roman" w:cs="Times New Roman" w:eastAsia="Times New Roman" w:hAnsi="Times New Roman"/>
          <w:sz w:val="24"/>
          <w:szCs w:val="24"/>
        </w:rPr>
        <w:t xml:space="preserve">The system converges to the Gibbs state — and hence to the ground state as T → 0 — from any starting point, without gradient information or adiabatic parameter variation.</w:t>
      </w:r>
    </w:p>
    <w:p>
      <w:pPr>
        <w:spacing w:after="60" w:before="100"/>
      </w:pPr>
      <w:r>
        <w:rPr>
          <w:rFonts w:ascii="Times New Roman" w:cs="Times New Roman" w:eastAsia="Times New Roman" w:hAnsi="Times New Roman"/>
          <w:b/>
          <w:bCs/>
          <w:i/>
          <w:iCs/>
          <w:sz w:val="24"/>
          <w:szCs w:val="24"/>
        </w:rPr>
        <w:t xml:space="preserve">Proof.</w:t>
      </w:r>
    </w:p>
    <w:p>
      <w:pPr>
        <w:spacing w:after="100" w:before="100"/>
      </w:pPr>
      <w:r>
        <w:rPr>
          <w:rFonts w:ascii="Times New Roman" w:cs="Times New Roman" w:eastAsia="Times New Roman" w:hAnsi="Times New Roman"/>
          <w:sz w:val="24"/>
          <w:szCs w:val="24"/>
        </w:rPr>
        <w:t xml:space="preserve">See Spohn (1977), Theorem 1. Uniqueness of ρ_β is guaranteed when the Lindblad operators and H_S act irreducibly on H_S, which holds generically.</w:t>
      </w:r>
    </w:p>
    <w:p>
      <w:pPr>
        <w:spacing w:after="140" w:before="40"/>
        <w:jc w:val="right"/>
      </w:pPr>
      <w:r>
        <w:rPr>
          <w:rFonts w:ascii="Times New Roman" w:cs="Times New Roman" w:eastAsia="Times New Roman" w:hAnsi="Times New Roman"/>
          <w:sz w:val="24"/>
          <w:szCs w:val="24"/>
        </w:rPr>
        <w:t xml:space="preserve">∎</w:t>
      </w:r>
    </w:p>
    <w:p>
      <w:pPr>
        <w:pStyle w:val="Heading1"/>
        <w:spacing w:after="180" w:before="440"/>
      </w:pPr>
      <w:r>
        <w:rPr>
          <w:rFonts w:ascii="Times New Roman" w:cs="Times New Roman" w:eastAsia="Times New Roman" w:hAnsi="Times New Roman"/>
          <w:b/>
          <w:bCs/>
          <w:sz w:val="28"/>
          <w:szCs w:val="28"/>
        </w:rPr>
        <w:t xml:space="preserve">5.  Engineering Lindblad Operators Without Eigenstate Knowledge</w:t>
      </w:r>
    </w:p>
    <w:p>
      <w:pPr>
        <w:pStyle w:val="Heading2"/>
        <w:spacing w:after="120" w:before="280"/>
      </w:pPr>
      <w:r>
        <w:rPr>
          <w:rFonts w:ascii="Times New Roman" w:cs="Times New Roman" w:eastAsia="Times New Roman" w:hAnsi="Times New Roman"/>
          <w:b/>
          <w:bCs/>
          <w:sz w:val="25"/>
          <w:szCs w:val="25"/>
        </w:rPr>
        <w:t xml:space="preserve">5.1  The Circularity Concern</w:t>
      </w:r>
    </w:p>
    <w:p>
      <w:pPr>
        <w:spacing w:after="100" w:before="100"/>
      </w:pPr>
      <w:r>
        <w:rPr>
          <w:rFonts w:ascii="Times New Roman" w:cs="Times New Roman" w:eastAsia="Times New Roman" w:hAnsi="Times New Roman"/>
          <w:sz w:val="24"/>
          <w:szCs w:val="24"/>
        </w:rPr>
        <w:t xml:space="preserve">The proof sketch for Theorem 3 invokes Lindblad operators ‘constructed from the eigenoperators of H_S with transition rates satisfying the KMS condition.’ Computing those eigenoperators for a large optimization Hamiltonian is exponentially hard, which appears to make the tQuA construction circular: to build the machine that finds the ground state, one would need to already know the ground state. This section resolves the concern.</w:t>
      </w:r>
    </w:p>
    <w:p>
      <w:pPr>
        <w:pStyle w:val="Heading2"/>
        <w:spacing w:after="120" w:before="280"/>
      </w:pPr>
      <w:r>
        <w:rPr>
          <w:rFonts w:ascii="Times New Roman" w:cs="Times New Roman" w:eastAsia="Times New Roman" w:hAnsi="Times New Roman"/>
          <w:b/>
          <w:bCs/>
          <w:sz w:val="25"/>
          <w:szCs w:val="25"/>
        </w:rPr>
        <w:t xml:space="preserve">5.2  The Weak-Coupling Construction</w:t>
      </w:r>
    </w:p>
    <w:p>
      <w:pPr>
        <w:spacing w:after="100" w:before="100"/>
      </w:pPr>
      <w:r>
        <w:rPr>
          <w:rFonts w:ascii="Times New Roman" w:cs="Times New Roman" w:eastAsia="Times New Roman" w:hAnsi="Times New Roman"/>
          <w:sz w:val="24"/>
          <w:szCs w:val="24"/>
        </w:rPr>
        <w:t xml:space="preserve">For H_int = A ⊗ B_R, under the Born-Markov and weak-coupling approximations, the Lindblad operators reduce to the physical coupling operator A itself:</w:t>
      </w:r>
    </w:p>
    <w:p>
      <w:pPr>
        <w:spacing w:after="160" w:before="160"/>
        <w:ind w:left="720" w:right="720"/>
        <w:jc w:val="center"/>
      </w:pPr>
      <w:r>
        <w:rPr>
          <w:rFonts w:ascii="Courier New" w:cs="Courier New" w:eastAsia="Courier New" w:hAnsi="Courier New"/>
          <w:sz w:val="21"/>
          <w:szCs w:val="21"/>
        </w:rPr>
        <w:t xml:space="preserve">L± ≈ A   (leading order in coupling strength)</w:t>
      </w:r>
    </w:p>
    <w:p>
      <w:pPr>
        <w:spacing w:after="100" w:before="100"/>
      </w:pPr>
      <w:r>
        <w:rPr>
          <w:rFonts w:ascii="Times New Roman" w:cs="Times New Roman" w:eastAsia="Times New Roman" w:hAnsi="Times New Roman"/>
          <w:sz w:val="24"/>
          <w:szCs w:val="24"/>
        </w:rPr>
        <w:t xml:space="preserve">with emission and absorption rates determined by the reservoir spectral density J(ω) and Bose-Einstein factor n_B(ω) = 1/(exp(βω) - 1):</w:t>
      </w:r>
    </w:p>
    <w:p>
      <w:pPr>
        <w:spacing w:after="160" w:before="160"/>
        <w:ind w:left="720" w:right="720"/>
        <w:jc w:val="center"/>
      </w:pPr>
      <w:r>
        <w:rPr>
          <w:rFonts w:ascii="Courier New" w:cs="Courier New" w:eastAsia="Courier New" w:hAnsi="Courier New"/>
          <w:sz w:val="21"/>
          <w:szCs w:val="21"/>
        </w:rPr>
        <w:t xml:space="preserve">γ_+(ω) = J(ω) [n_B(ω) + 1]     (emission)</w:t>
      </w:r>
    </w:p>
    <w:p>
      <w:pPr>
        <w:spacing w:after="160" w:before="160"/>
        <w:ind w:left="720" w:right="720"/>
        <w:jc w:val="center"/>
      </w:pPr>
      <w:r>
        <w:rPr>
          <w:rFonts w:ascii="Courier New" w:cs="Courier New" w:eastAsia="Courier New" w:hAnsi="Courier New"/>
          <w:sz w:val="21"/>
          <w:szCs w:val="21"/>
        </w:rPr>
        <w:t xml:space="preserve">γ_-(ω) = J(ω)  n_B(ω)           (absorption)</w:t>
      </w:r>
    </w:p>
    <w:p>
      <w:pPr>
        <w:spacing w:after="60" w:before="220"/>
      </w:pPr>
      <w:r>
        <w:rPr>
          <w:rFonts w:ascii="Times New Roman" w:cs="Times New Roman" w:eastAsia="Times New Roman" w:hAnsi="Times New Roman"/>
          <w:b/>
          <w:bCs/>
          <w:sz w:val="24"/>
          <w:szCs w:val="24"/>
        </w:rPr>
        <w:t xml:space="preserve">Proposition 1 Weak-Coupling Detailed Balance (Cattaneo et al., 2021, Prop. 2.1)</w:t>
      </w:r>
      <w:r>
        <w:rPr>
          <w:rFonts w:ascii="Times New Roman" w:cs="Times New Roman" w:eastAsia="Times New Roman" w:hAnsi="Times New Roman"/>
          <w:b/>
          <w:bCs/>
          <w:sz w:val="24"/>
          <w:szCs w:val="24"/>
        </w:rPr>
        <w:t xml:space="preserve">.</w:t>
      </w:r>
    </w:p>
    <w:p>
      <w:pPr>
        <w:spacing w:after="100" w:before="100"/>
      </w:pPr>
      <w:r>
        <w:rPr>
          <w:rFonts w:ascii="Times New Roman" w:cs="Times New Roman" w:eastAsia="Times New Roman" w:hAnsi="Times New Roman"/>
          <w:sz w:val="24"/>
          <w:szCs w:val="24"/>
        </w:rPr>
        <w:t xml:space="preserve">The weak-coupling Lindblad master equation with coupling operator A and Ohmic spectral density J(ω) = ηω e^{-ω/ω_c} satisfies detailed balance at temperature T and converges to ρ_β = e^{-β H_S}/Z, provided [A, H_S] ≠ 0.</w:t>
      </w:r>
    </w:p>
    <w:p>
      <w:pPr>
        <w:spacing w:after="60" w:before="100"/>
      </w:pPr>
      <w:r>
        <w:rPr>
          <w:rFonts w:ascii="Times New Roman" w:cs="Times New Roman" w:eastAsia="Times New Roman" w:hAnsi="Times New Roman"/>
          <w:b/>
          <w:bCs/>
          <w:i/>
          <w:iCs/>
          <w:sz w:val="24"/>
          <w:szCs w:val="24"/>
        </w:rPr>
        <w:t xml:space="preserve">Proof.</w:t>
      </w:r>
    </w:p>
    <w:p>
      <w:pPr>
        <w:spacing w:after="100" w:before="100"/>
      </w:pPr>
      <w:r>
        <w:rPr>
          <w:rFonts w:ascii="Times New Roman" w:cs="Times New Roman" w:eastAsia="Times New Roman" w:hAnsi="Times New Roman"/>
          <w:sz w:val="24"/>
          <w:szCs w:val="24"/>
        </w:rPr>
        <w:t xml:space="preserve">This is Proposition 2.1 of Cattaneo, Hartmann and Maniscalco (2021), single-bath case. The condition [A, H_S] ≠ 0 ensures irreducibility (uniqueness of stationary state). Ohmic spectral density is physically realizable in superconducting and neutral-atom platforms.</w:t>
      </w:r>
    </w:p>
    <w:p>
      <w:pPr>
        <w:spacing w:after="140" w:before="40"/>
        <w:jc w:val="right"/>
      </w:pPr>
      <w:r>
        <w:rPr>
          <w:rFonts w:ascii="Times New Roman" w:cs="Times New Roman" w:eastAsia="Times New Roman" w:hAnsi="Times New Roman"/>
          <w:sz w:val="24"/>
          <w:szCs w:val="24"/>
        </w:rPr>
        <w:t xml:space="preserve">∎</w:t>
      </w:r>
    </w:p>
    <w:p>
      <w:pPr>
        <w:pStyle w:val="Heading2"/>
        <w:spacing w:after="120" w:before="280"/>
      </w:pPr>
      <w:r>
        <w:rPr>
          <w:rFonts w:ascii="Times New Roman" w:cs="Times New Roman" w:eastAsia="Times New Roman" w:hAnsi="Times New Roman"/>
          <w:b/>
          <w:bCs/>
          <w:sz w:val="25"/>
          <w:szCs w:val="25"/>
        </w:rPr>
        <w:t xml:space="preserve">5.3  Why Eigenstate Knowledge Is Not Required</w:t>
      </w:r>
    </w:p>
    <w:p>
      <w:pPr>
        <w:spacing w:after="100" w:before="100"/>
      </w:pPr>
      <w:r>
        <w:rPr>
          <w:rFonts w:ascii="Times New Roman" w:cs="Times New Roman" w:eastAsia="Times New Roman" w:hAnsi="Times New Roman"/>
          <w:sz w:val="24"/>
          <w:szCs w:val="24"/>
        </w:rPr>
        <w:t xml:space="preserve">Proposition 1 shows that A and J(ω) are the only engineering inputs, neither of which requires knowledge of H_S’s eigenstates. For the tQuA hardware realization:</w:t>
      </w:r>
    </w:p>
    <w:p>
      <w:pPr>
        <w:spacing w:after="80" w:before="80"/>
        <w:ind w:left="720"/>
      </w:pPr>
      <w:r>
        <w:rPr>
          <w:rFonts w:ascii="Times New Roman" w:cs="Times New Roman" w:eastAsia="Times New Roman" w:hAnsi="Times New Roman"/>
          <w:sz w:val="24"/>
          <w:szCs w:val="24"/>
        </w:rPr>
        <w:t xml:space="preserve">A = Σ_i σ_i^x     (transverse-field coupling, standard in quantum hardware)</w:t>
      </w:r>
    </w:p>
    <w:p>
      <w:pPr>
        <w:spacing w:after="80" w:before="80"/>
        <w:ind w:left="720"/>
      </w:pPr>
      <w:r>
        <w:rPr>
          <w:rFonts w:ascii="Times New Roman" w:cs="Times New Roman" w:eastAsia="Times New Roman" w:hAnsi="Times New Roman"/>
          <w:sz w:val="24"/>
          <w:szCs w:val="24"/>
        </w:rPr>
        <w:t xml:space="preserve">J(ω) = ηω e^{-ω/ω_c}  (Ohmic bath, realized by resistive or phonon environments)</w:t>
      </w:r>
    </w:p>
    <w:p>
      <w:pPr>
        <w:spacing w:after="100" w:before="100"/>
      </w:pPr>
      <w:r>
        <w:rPr>
          <w:rFonts w:ascii="Times New Roman" w:cs="Times New Roman" w:eastAsia="Times New Roman" w:hAnsi="Times New Roman"/>
          <w:sz w:val="24"/>
          <w:szCs w:val="24"/>
        </w:rPr>
        <w:t xml:space="preserve">The condition [A, H_S] ≠ 0 is satisfied for any non-trivial optimization Hamiltonian. Just as a hot metal bar does not need to ‘know’ the location of its crystalline ground state in order to anneal toward it when coupled to a cold environment, the tQuA system does not need to know H_S’s eigenstates. The reservoir coupling does the work.</w:t>
      </w:r>
    </w:p>
    <w:p>
      <w:pPr>
        <w:pStyle w:val="Heading1"/>
        <w:spacing w:after="180" w:before="440"/>
      </w:pPr>
      <w:r>
        <w:rPr>
          <w:rFonts w:ascii="Times New Roman" w:cs="Times New Roman" w:eastAsia="Times New Roman" w:hAnsi="Times New Roman"/>
          <w:b/>
          <w:bCs/>
          <w:sz w:val="28"/>
          <w:szCs w:val="28"/>
        </w:rPr>
        <w:t xml:space="preserve">6.  Escape from Local Minima via Quantum Trajectories</w:t>
      </w:r>
    </w:p>
    <w:p>
      <w:pPr>
        <w:pStyle w:val="Heading2"/>
        <w:spacing w:after="120" w:before="280"/>
      </w:pPr>
      <w:r>
        <w:rPr>
          <w:rFonts w:ascii="Times New Roman" w:cs="Times New Roman" w:eastAsia="Times New Roman" w:hAnsi="Times New Roman"/>
          <w:b/>
          <w:bCs/>
          <w:sz w:val="25"/>
          <w:szCs w:val="25"/>
        </w:rPr>
        <w:t xml:space="preserve">6.1  Quantum Trajectory Formulation</w:t>
      </w:r>
    </w:p>
    <w:p>
      <w:pPr>
        <w:spacing w:after="100" w:before="100"/>
      </w:pPr>
      <w:r>
        <w:rPr>
          <w:rFonts w:ascii="Times New Roman" w:cs="Times New Roman" w:eastAsia="Times New Roman" w:hAnsi="Times New Roman"/>
          <w:sz w:val="24"/>
          <w:szCs w:val="24"/>
        </w:rPr>
        <w:t xml:space="preserve">Following Carmichael (1993, Lectures 7–10; 2008, Chapters 9–11), the master equation can be unraveled into an ensemble of quantum trajectories. Each trajectory is a stochastic evolution of a pure state |ψ(t)⟩ punctuated by quantum jumps:</w:t>
      </w:r>
    </w:p>
    <w:p>
      <w:pPr>
        <w:spacing w:after="160" w:before="160"/>
        <w:ind w:left="720" w:right="720"/>
        <w:jc w:val="center"/>
      </w:pPr>
      <w:r>
        <w:rPr>
          <w:rFonts w:ascii="Courier New" w:cs="Courier New" w:eastAsia="Courier New" w:hAnsi="Courier New"/>
          <w:sz w:val="21"/>
          <w:szCs w:val="21"/>
        </w:rPr>
        <w:t xml:space="preserve">d|ψ⟩ = (-iH_eff|ψ⟩ dt) + Σ_k dN_k (L_k|ψ⟩/‖L_k|ψ⟩‖ - |ψ⟩)</w:t>
      </w:r>
    </w:p>
    <w:p>
      <w:pPr>
        <w:spacing w:after="100" w:before="100"/>
      </w:pPr>
      <w:r>
        <w:rPr>
          <w:rFonts w:ascii="Times New Roman" w:cs="Times New Roman" w:eastAsia="Times New Roman" w:hAnsi="Times New Roman"/>
          <w:sz w:val="24"/>
          <w:szCs w:val="24"/>
        </w:rPr>
        <w:t xml:space="preserve">where dN_k are Poisson processes with rates γ_k ⟨L_k† L_k⟩. These jumps are the mechanism by which the system escapes local minima.</w:t>
      </w:r>
    </w:p>
    <w:p>
      <w:pPr>
        <w:pStyle w:val="Heading2"/>
        <w:spacing w:after="120" w:before="280"/>
      </w:pPr>
      <w:r>
        <w:rPr>
          <w:rFonts w:ascii="Times New Roman" w:cs="Times New Roman" w:eastAsia="Times New Roman" w:hAnsi="Times New Roman"/>
          <w:b/>
          <w:bCs/>
          <w:sz w:val="25"/>
          <w:szCs w:val="25"/>
        </w:rPr>
        <w:t xml:space="preserve">6.2  Positive Escape Rate for All T &gt; 0</w:t>
      </w:r>
    </w:p>
    <w:p>
      <w:pPr>
        <w:spacing w:after="60" w:before="220"/>
      </w:pPr>
      <w:r>
        <w:rPr>
          <w:rFonts w:ascii="Times New Roman" w:cs="Times New Roman" w:eastAsia="Times New Roman" w:hAnsi="Times New Roman"/>
          <w:b/>
          <w:bCs/>
          <w:sz w:val="24"/>
          <w:szCs w:val="24"/>
        </w:rPr>
        <w:t xml:space="preserve">Theorem 5 Positive Escape Rate</w:t>
      </w:r>
      <w:r>
        <w:rPr>
          <w:rFonts w:ascii="Times New Roman" w:cs="Times New Roman" w:eastAsia="Times New Roman" w:hAnsi="Times New Roman"/>
          <w:b/>
          <w:bCs/>
          <w:sz w:val="24"/>
          <w:szCs w:val="24"/>
        </w:rPr>
        <w:t xml:space="preserve">.</w:t>
      </w:r>
    </w:p>
    <w:p>
      <w:pPr>
        <w:spacing w:after="100" w:before="100"/>
      </w:pPr>
      <w:r>
        <w:rPr>
          <w:rFonts w:ascii="Times New Roman" w:cs="Times New Roman" w:eastAsia="Times New Roman" w:hAnsi="Times New Roman"/>
          <w:sz w:val="24"/>
          <w:szCs w:val="24"/>
        </w:rPr>
        <w:t xml:space="preserve">For any finite temperature T &gt; 0 and non-zero coupling γ &gt; 0, the transition rate from any state |i⟩ to any lower-energy state |j⟩ is strictly positive:</w:t>
      </w:r>
    </w:p>
    <w:p>
      <w:pPr>
        <w:spacing w:after="160" w:before="160"/>
        <w:ind w:left="720" w:right="720"/>
        <w:jc w:val="center"/>
      </w:pPr>
      <w:r>
        <w:rPr>
          <w:rFonts w:ascii="Courier New" w:cs="Courier New" w:eastAsia="Courier New" w:hAnsi="Courier New"/>
          <w:sz w:val="21"/>
          <w:szCs w:val="21"/>
        </w:rPr>
        <w:t xml:space="preserve">γ_{ij} = 2π |⟨j|H_int|i⟩|^2 J(E_i - E_j) n_B(E_i - E_j) &gt; 0</w:t>
      </w:r>
    </w:p>
    <w:p>
      <w:pPr>
        <w:spacing w:after="60" w:before="100"/>
      </w:pPr>
      <w:r>
        <w:rPr>
          <w:rFonts w:ascii="Times New Roman" w:cs="Times New Roman" w:eastAsia="Times New Roman" w:hAnsi="Times New Roman"/>
          <w:b/>
          <w:bCs/>
          <w:i/>
          <w:iCs/>
          <w:sz w:val="24"/>
          <w:szCs w:val="24"/>
        </w:rPr>
        <w:t xml:space="preserve">Proof.</w:t>
      </w:r>
    </w:p>
    <w:p>
      <w:pPr>
        <w:spacing w:after="100" w:before="100"/>
      </w:pPr>
      <w:r>
        <w:rPr>
          <w:rFonts w:ascii="Times New Roman" w:cs="Times New Roman" w:eastAsia="Times New Roman" w:hAnsi="Times New Roman"/>
          <w:sz w:val="24"/>
          <w:szCs w:val="24"/>
        </w:rPr>
        <w:t xml:space="preserve">For any T &gt; 0, n_B(ω) = 1/(exp(βω) - 1) &gt; 0 for all finite ω. For non-zero coupling, the matrix element ⟨j|H_int|i⟩ is generically non-zero. Hence γ_{ij} &gt; 0. See also Bertini et al. (2015) for the quantum large-deviations framework underlying this rate formula.</w:t>
      </w:r>
    </w:p>
    <w:p>
      <w:pPr>
        <w:spacing w:after="140" w:before="40"/>
        <w:jc w:val="right"/>
      </w:pPr>
      <w:r>
        <w:rPr>
          <w:rFonts w:ascii="Times New Roman" w:cs="Times New Roman" w:eastAsia="Times New Roman" w:hAnsi="Times New Roman"/>
          <w:sz w:val="24"/>
          <w:szCs w:val="24"/>
        </w:rPr>
        <w:t xml:space="preserve">∎</w:t>
      </w:r>
    </w:p>
    <w:p>
      <w:pPr>
        <w:spacing w:after="100" w:before="100"/>
        <w:ind w:left="540"/>
      </w:pPr>
      <w:r>
        <w:rPr>
          <w:rFonts w:ascii="Times New Roman" w:cs="Times New Roman" w:eastAsia="Times New Roman" w:hAnsi="Times New Roman"/>
          <w:i/>
          <w:iCs/>
          <w:sz w:val="22"/>
          <w:szCs w:val="22"/>
        </w:rPr>
        <w:t xml:space="preserve">Remark. This contrasts sharply with classical VQE, where the optimizer has γ_{ij} = 0 by construction: once trapped in a local minimum, no gradient signal points toward lower-energy states. tQuA’s thermal coupling guarantees strictly positive escape rates at any T &gt; 0.</w:t>
      </w:r>
    </w:p>
    <w:p>
      <w:pPr>
        <w:pStyle w:val="Heading1"/>
        <w:spacing w:after="180" w:before="440"/>
      </w:pPr>
      <w:r>
        <w:rPr>
          <w:rFonts w:ascii="Times New Roman" w:cs="Times New Roman" w:eastAsia="Times New Roman" w:hAnsi="Times New Roman"/>
          <w:b/>
          <w:bCs/>
          <w:sz w:val="28"/>
          <w:szCs w:val="28"/>
        </w:rPr>
        <w:t xml:space="preserve">7.  Contrast with Alternative Approaches</w:t>
      </w:r>
    </w:p>
    <w:p>
      <w:pPr>
        <w:spacing w:after="100" w:before="160"/>
      </w:pPr>
      <w:r>
        <w:rPr>
          <w:rFonts w:ascii="Times New Roman" w:cs="Times New Roman" w:eastAsia="Times New Roman" w:hAnsi="Times New Roman"/>
          <w:i/>
          <w:iCs/>
          <w:sz w:val="22"/>
          <w:szCs w:val="22"/>
        </w:rPr>
        <w:t xml:space="preserve">Table 1: Comparison of quantum optimization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060"/>
        <w:gridCol w:w="3100"/>
      </w:tblGrid>
      <w:tr>
        <w:tc>
          <w:tcPr>
            <w:tcW w:type="dxa" w:w="21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Property</w:t>
            </w:r>
          </w:p>
        </w:tc>
        <w:tc>
          <w:tcPr>
            <w:tcW w:type="dxa" w:w="21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Classical VQE</w:t>
            </w:r>
          </w:p>
        </w:tc>
        <w:tc>
          <w:tcPr>
            <w:tcW w:type="dxa" w:w="206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D-Wave (DQuA)</w:t>
            </w:r>
          </w:p>
        </w:tc>
        <w:tc>
          <w:tcPr>
            <w:tcW w:type="dxa" w:w="31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tQuA (This Work)</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Classical foundation</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0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Adiabatic theorem</w:t>
            </w:r>
          </w:p>
        </w:tc>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Werbos (2002, 2004): classical-quantum equiv.</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Convergence guarantee</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0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Requires adiabatic limit</w:t>
            </w:r>
          </w:p>
        </w:tc>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Theorem 4 (Spohn, 1977)</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Escape from local minima</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(γ = 0)</w:t>
            </w:r>
          </w:p>
        </w:tc>
        <w:tc>
          <w:tcPr>
            <w:tcW w:type="dxa" w:w="20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Weak; violates adiabatic condition</w:t>
            </w:r>
          </w:p>
        </w:tc>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Theorem 5: γ_{ij} &gt; 0 for all T &gt; 0</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Eigenstate knowledge needed?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w:t>
            </w:r>
          </w:p>
        </w:tc>
        <w:tc>
          <w:tcPr>
            <w:tcW w:type="dxa" w:w="20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w:t>
            </w:r>
          </w:p>
        </w:tc>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(Section 5, Proposition 1)</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Mathematical foundation</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Heuristic optimization</w:t>
            </w:r>
          </w:p>
        </w:tc>
        <w:tc>
          <w:tcPr>
            <w:tcW w:type="dxa" w:w="20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Born-Fock (1928)</w:t>
            </w:r>
          </w:p>
        </w:tc>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Werbos (2002); Lindblad (1976); Spohn (1977)</w:t>
            </w:r>
          </w:p>
        </w:tc>
      </w:tr>
    </w:tbl>
    <w:p>
      <w:pPr>
        <w:spacing w:after="60" w:before="60"/>
      </w:pPr>
    </w:p>
    <w:p>
      <w:pPr>
        <w:pStyle w:val="Heading1"/>
        <w:spacing w:after="180" w:before="440"/>
      </w:pPr>
      <w:r>
        <w:rPr>
          <w:rFonts w:ascii="Times New Roman" w:cs="Times New Roman" w:eastAsia="Times New Roman" w:hAnsi="Times New Roman"/>
          <w:b/>
          <w:bCs/>
          <w:sz w:val="28"/>
          <w:szCs w:val="28"/>
        </w:rPr>
        <w:t xml:space="preserve">8.  Application to Quantum Matrix Methods (QMM)</w:t>
      </w:r>
    </w:p>
    <w:p>
      <w:pPr>
        <w:spacing w:after="100" w:before="100"/>
      </w:pPr>
      <w:r>
        <w:rPr>
          <w:rFonts w:ascii="Times New Roman" w:cs="Times New Roman" w:eastAsia="Times New Roman" w:hAnsi="Times New Roman"/>
          <w:sz w:val="24"/>
          <w:szCs w:val="24"/>
        </w:rPr>
        <w:t xml:space="preserve">The key insight enabling QMM is that large-scale matrix computations can be reformulated as ground-state problems. For a matrix A ∈ C^{n×n}, define H = A†A. The ground state of H is the dominant right singular vector of A, with ground-state energy σ₁². Table 2 lists the main matrix operations that map to QMM: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60"/>
        <w:gridCol w:w="3100"/>
      </w:tblGrid>
      <w:tr>
        <w:tc>
          <w:tcPr>
            <w:tcW w:type="dxa" w:w="27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Operation</w:t>
            </w:r>
          </w:p>
        </w:tc>
        <w:tc>
          <w:tcPr>
            <w:tcW w:type="dxa" w:w="356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Quadratic form</w:t>
            </w:r>
          </w:p>
        </w:tc>
        <w:tc>
          <w:tcPr>
            <w:tcW w:type="dxa" w:w="31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Ground state gives</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Dominant singular vector</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x†(A†A)x, subject to ‖x‖ = 1</w:t>
            </w:r>
          </w:p>
        </w:tc>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Right singular vector v₁</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Smallest singular vector</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x†(A†A + λ I)x, shifted H</w:t>
            </w:r>
          </w:p>
        </w:tc>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Right singular vector v_n</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solve Ax = b (A Hermitian PD)</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½ x†Ax - Re(b†x)</w:t>
            </w:r>
          </w:p>
        </w:tc>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Solution x = A^{-1}b</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Rank-k approximation</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Sequential deflation of H_k = A_k† A_k</w:t>
            </w:r>
          </w:p>
        </w:tc>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k-term SVD approximation</w:t>
            </w:r>
          </w:p>
        </w:tc>
      </w:tr>
    </w:tbl>
    <w:p>
      <w:pPr>
        <w:spacing w:after="60" w:before="60"/>
      </w:pPr>
    </w:p>
    <w:p>
      <w:pPr>
        <w:spacing w:after="100" w:before="100"/>
      </w:pPr>
      <w:r>
        <w:rPr>
          <w:rFonts w:ascii="Times New Roman" w:cs="Times New Roman" w:eastAsia="Times New Roman" w:hAnsi="Times New Roman"/>
          <w:sz w:val="24"/>
          <w:szCs w:val="24"/>
        </w:rPr>
        <w:t xml:space="preserve">By Theorem 1, the ground state of H = A†A is the unique thermodynamic equilibrium at low temperature, both classically and quantum mechanically. By Theorem 4, tQuA converges to this state from any initial condition. The claimed parallelism is that a Q-qubit tQuA system simultaneously explores 2^Q candidate singular vectors in superposition, with the thermal dynamics driving probability toward the global minimum.</w:t>
      </w:r>
    </w:p>
    <w:p>
      <w:pPr>
        <w:pStyle w:val="Heading1"/>
        <w:spacing w:after="180" w:before="440"/>
      </w:pPr>
      <w:r>
        <w:rPr>
          <w:rFonts w:ascii="Times New Roman" w:cs="Times New Roman" w:eastAsia="Times New Roman" w:hAnsi="Times New Roman"/>
          <w:b/>
          <w:bCs/>
          <w:sz w:val="28"/>
          <w:szCs w:val="28"/>
        </w:rPr>
        <w:t xml:space="preserve">9.  Simulation Results</w:t>
      </w:r>
    </w:p>
    <w:p>
      <w:pPr>
        <w:pStyle w:val="Heading2"/>
        <w:spacing w:after="120" w:before="280"/>
      </w:pPr>
      <w:r>
        <w:rPr>
          <w:rFonts w:ascii="Times New Roman" w:cs="Times New Roman" w:eastAsia="Times New Roman" w:hAnsi="Times New Roman"/>
          <w:b/>
          <w:bCs/>
          <w:sz w:val="25"/>
          <w:szCs w:val="25"/>
        </w:rPr>
        <w:t xml:space="preserve">9.1  Setup</w:t>
      </w:r>
    </w:p>
    <w:p>
      <w:pPr>
        <w:spacing w:after="100" w:before="100"/>
      </w:pPr>
      <w:r>
        <w:rPr>
          <w:rFonts w:ascii="Times New Roman" w:cs="Times New Roman" w:eastAsia="Times New Roman" w:hAnsi="Times New Roman"/>
          <w:sz w:val="24"/>
          <w:szCs w:val="24"/>
        </w:rPr>
        <w:t xml:space="preserve">We implemented a small-scale simulation using PennyLane 0.44.1 in Google Colab (Python 3.12, CPU backend). The test matrix was A = σ₁ uv† with σ₁ = 3.0 and v = (1/4)(1,1,1,...,1) ∈ R^{16} (uniform superposition state). The optimization Hamiltonian was H = A†A = σ₁² vv† with ground-state energy 9.0. We used a 4-qubit hardware-efficient ansatz with 3 layers (24 parameters).</w:t>
      </w:r>
    </w:p>
    <w:p>
      <w:pPr>
        <w:pStyle w:val="Heading2"/>
        <w:spacing w:after="120" w:before="280"/>
      </w:pPr>
      <w:r>
        <w:rPr>
          <w:rFonts w:ascii="Times New Roman" w:cs="Times New Roman" w:eastAsia="Times New Roman" w:hAnsi="Times New Roman"/>
          <w:b/>
          <w:bCs/>
          <w:sz w:val="25"/>
          <w:szCs w:val="25"/>
        </w:rPr>
        <w:t xml:space="preserve">9.2  Results</w:t>
      </w:r>
    </w:p>
    <w:p>
      <w:pPr>
        <w:spacing w:after="100" w:before="100"/>
      </w:pPr>
      <w:r>
        <w:rPr>
          <w:rFonts w:ascii="Times New Roman" w:cs="Times New Roman" w:eastAsia="Times New Roman" w:hAnsi="Times New Roman"/>
          <w:sz w:val="24"/>
          <w:szCs w:val="24"/>
        </w:rPr>
        <w:t xml:space="preserve">Experiment 1 (Guided initialization): Circuit initialized at uniform superposition |+⟩^{⊗ 4} (the exact ground state):</w:t>
      </w:r>
    </w:p>
    <w:p>
      <w:pPr>
        <w:spacing w:after="160" w:before="160"/>
        <w:ind w:left="720" w:right="720"/>
        <w:jc w:val="center"/>
      </w:pPr>
      <w:r>
        <w:rPr>
          <w:rFonts w:ascii="Courier New" w:cs="Courier New" w:eastAsia="Courier New" w:hAnsi="Courier New"/>
          <w:sz w:val="21"/>
          <w:szCs w:val="21"/>
        </w:rPr>
        <w:t xml:space="preserve">Statevector norm:          1.000000</w:t>
      </w:r>
    </w:p>
    <w:p>
      <w:pPr>
        <w:spacing w:after="160" w:before="160"/>
        <w:ind w:left="720" w:right="720"/>
        <w:jc w:val="center"/>
      </w:pPr>
      <w:r>
        <w:rPr>
          <w:rFonts w:ascii="Courier New" w:cs="Courier New" w:eastAsia="Courier New" w:hAnsi="Courier New"/>
          <w:sz w:val="21"/>
          <w:szCs w:val="21"/>
        </w:rPr>
        <w:t xml:space="preserve">Overlap with true v:       1.000000  (perfect)</w:t>
      </w:r>
    </w:p>
    <w:p>
      <w:pPr>
        <w:spacing w:after="160" w:before="160"/>
        <w:ind w:left="720" w:right="720"/>
        <w:jc w:val="center"/>
      </w:pPr>
      <w:r>
        <w:rPr>
          <w:rFonts w:ascii="Courier New" w:cs="Courier New" w:eastAsia="Courier New" w:hAnsi="Courier New"/>
          <w:sz w:val="21"/>
          <w:szCs w:val="21"/>
        </w:rPr>
        <w:t xml:space="preserve">Extracted σ₁:             3.0000    (true: 3.0)</w:t>
      </w:r>
    </w:p>
    <w:p>
      <w:pPr>
        <w:spacing w:after="160" w:before="160"/>
        <w:ind w:left="720" w:right="720"/>
        <w:jc w:val="center"/>
      </w:pPr>
      <w:r>
        <w:rPr>
          <w:rFonts w:ascii="Courier New" w:cs="Courier New" w:eastAsia="Courier New" w:hAnsi="Courier New"/>
          <w:sz w:val="21"/>
          <w:szCs w:val="21"/>
        </w:rPr>
        <w:t xml:space="preserve">Absolute error:            0.000000</w:t>
      </w:r>
    </w:p>
    <w:p>
      <w:pPr>
        <w:spacing w:after="100" w:before="100"/>
      </w:pPr>
      <w:r>
        <w:rPr>
          <w:rFonts w:ascii="Times New Roman" w:cs="Times New Roman" w:eastAsia="Times New Roman" w:hAnsi="Times New Roman"/>
          <w:sz w:val="24"/>
          <w:szCs w:val="24"/>
        </w:rPr>
        <w:t xml:space="preserve">Experiment 2 (Random initialization): Five independent runs using COBYLA and Nelder-Mead optimizers (500 iterations each). All five converged to energies near 0.002, far from the target of 9.0.</w:t>
      </w:r>
    </w:p>
    <w:p>
      <w:pPr>
        <w:pStyle w:val="Heading2"/>
        <w:spacing w:after="120" w:before="280"/>
      </w:pPr>
      <w:r>
        <w:rPr>
          <w:rFonts w:ascii="Times New Roman" w:cs="Times New Roman" w:eastAsia="Times New Roman" w:hAnsi="Times New Roman"/>
          <w:b/>
          <w:bCs/>
          <w:sz w:val="25"/>
          <w:szCs w:val="25"/>
        </w:rPr>
        <w:t xml:space="preserve">9.3  Interpretation</w:t>
      </w:r>
    </w:p>
    <w:p>
      <w:pPr>
        <w:spacing w:after="100" w:before="100"/>
      </w:pPr>
      <w:r>
        <w:rPr>
          <w:rFonts w:ascii="Times New Roman" w:cs="Times New Roman" w:eastAsia="Times New Roman" w:hAnsi="Times New Roman"/>
          <w:sz w:val="24"/>
          <w:szCs w:val="24"/>
        </w:rPr>
        <w:t xml:space="preserve">The simulation is not a demonstration of quantum advantage — it is a demonstration of the classical pathology that tQuA is designed to overcome. The Hamiltonian H = σ₁² vv† has N-1 zero eigenvalues and one nonzero eigenvalue. The classical optimizer finds a zero-energy state immediately and has no gradient signal to escape (γ_{ij} = 0 by construction). Theorem 5 guarantees that a tQuA system at any T &gt; 0 has strictly positive escape rates from these zero-energy traps. The immediate next computational step is a QuTiP Lindblad simulation showing the density matrix relaxing from a random initial state to |v⟩⟨v|.</w:t>
      </w:r>
    </w:p>
    <w:p>
      <w:pPr>
        <w:pStyle w:val="Heading1"/>
        <w:spacing w:after="180" w:before="440"/>
      </w:pPr>
      <w:r>
        <w:rPr>
          <w:rFonts w:ascii="Times New Roman" w:cs="Times New Roman" w:eastAsia="Times New Roman" w:hAnsi="Times New Roman"/>
          <w:b/>
          <w:bCs/>
          <w:sz w:val="28"/>
          <w:szCs w:val="28"/>
        </w:rPr>
        <w:t xml:space="preserve">10.  Convergence Time and Computational Advantage</w:t>
      </w:r>
    </w:p>
    <w:p>
      <w:pPr>
        <w:pStyle w:val="Heading2"/>
        <w:spacing w:after="120" w:before="280"/>
      </w:pPr>
      <w:r>
        <w:rPr>
          <w:rFonts w:ascii="Times New Roman" w:cs="Times New Roman" w:eastAsia="Times New Roman" w:hAnsi="Times New Roman"/>
          <w:b/>
          <w:bCs/>
          <w:sz w:val="25"/>
          <w:szCs w:val="25"/>
        </w:rPr>
        <w:t xml:space="preserve">10.1  Spectral Gap and Mixing Time</w:t>
      </w:r>
    </w:p>
    <w:p>
      <w:pPr>
        <w:spacing w:after="60" w:before="220"/>
      </w:pPr>
      <w:r>
        <w:rPr>
          <w:rFonts w:ascii="Times New Roman" w:cs="Times New Roman" w:eastAsia="Times New Roman" w:hAnsi="Times New Roman"/>
          <w:b/>
          <w:bCs/>
          <w:sz w:val="24"/>
          <w:szCs w:val="24"/>
        </w:rPr>
        <w:t xml:space="preserve">Theorem 6 Mixing Time Bound (Kastoryano and Temme, 2013)</w:t>
      </w:r>
      <w:r>
        <w:rPr>
          <w:rFonts w:ascii="Times New Roman" w:cs="Times New Roman" w:eastAsia="Times New Roman" w:hAnsi="Times New Roman"/>
          <w:b/>
          <w:bCs/>
          <w:sz w:val="24"/>
          <w:szCs w:val="24"/>
        </w:rPr>
        <w:t xml:space="preserve">.</w:t>
      </w:r>
    </w:p>
    <w:p>
      <w:pPr>
        <w:spacing w:after="100" w:before="100"/>
      </w:pPr>
      <w:r>
        <w:rPr>
          <w:rFonts w:ascii="Times New Roman" w:cs="Times New Roman" w:eastAsia="Times New Roman" w:hAnsi="Times New Roman"/>
          <w:sz w:val="24"/>
          <w:szCs w:val="24"/>
        </w:rPr>
        <w:t xml:space="preserve">Let Δ = min{ Re(λ) : λ ∈ spec(L), λ ≠ 0 } be the spectral gap of the Lindbladian L. The mixing time to within trace-norm ε of the stationary state satisfies:</w:t>
      </w:r>
    </w:p>
    <w:p>
      <w:pPr>
        <w:spacing w:after="160" w:before="160"/>
        <w:ind w:left="720" w:right="720"/>
        <w:jc w:val="center"/>
      </w:pPr>
      <w:r>
        <w:rPr>
          <w:rFonts w:ascii="Courier New" w:cs="Courier New" w:eastAsia="Courier New" w:hAnsi="Courier New"/>
          <w:sz w:val="21"/>
          <w:szCs w:val="21"/>
        </w:rPr>
        <w:t xml:space="preserve">τ_mix ≤ (1/Δ) · log(1/ε)</w:t>
      </w:r>
    </w:p>
    <w:p>
      <w:pPr>
        <w:spacing w:after="60" w:before="100"/>
      </w:pPr>
      <w:r>
        <w:rPr>
          <w:rFonts w:ascii="Times New Roman" w:cs="Times New Roman" w:eastAsia="Times New Roman" w:hAnsi="Times New Roman"/>
          <w:b/>
          <w:bCs/>
          <w:i/>
          <w:iCs/>
          <w:sz w:val="24"/>
          <w:szCs w:val="24"/>
        </w:rPr>
        <w:t xml:space="preserve">Proof.</w:t>
      </w:r>
    </w:p>
    <w:p>
      <w:pPr>
        <w:spacing w:after="100" w:before="100"/>
      </w:pPr>
      <w:r>
        <w:rPr>
          <w:rFonts w:ascii="Times New Roman" w:cs="Times New Roman" w:eastAsia="Times New Roman" w:hAnsi="Times New Roman"/>
          <w:sz w:val="24"/>
          <w:szCs w:val="24"/>
        </w:rPr>
        <w:t xml:space="preserve">The Lindbladian generates a contractive CPTP semigroup; distance to the stationary state decays as e^{-Δt}. See Kastoryano and Temme (2013), Theorem 1.1.</w:t>
      </w:r>
    </w:p>
    <w:p>
      <w:pPr>
        <w:spacing w:after="140" w:before="40"/>
        <w:jc w:val="right"/>
      </w:pPr>
      <w:r>
        <w:rPr>
          <w:rFonts w:ascii="Times New Roman" w:cs="Times New Roman" w:eastAsia="Times New Roman" w:hAnsi="Times New Roman"/>
          <w:sz w:val="24"/>
          <w:szCs w:val="24"/>
        </w:rPr>
        <w:t xml:space="preserve">∎</w:t>
      </w:r>
    </w:p>
    <w:p>
      <w:pPr>
        <w:pStyle w:val="Heading2"/>
        <w:spacing w:after="120" w:before="280"/>
      </w:pPr>
      <w:r>
        <w:rPr>
          <w:rFonts w:ascii="Times New Roman" w:cs="Times New Roman" w:eastAsia="Times New Roman" w:hAnsi="Times New Roman"/>
          <w:b/>
          <w:bCs/>
          <w:sz w:val="25"/>
          <w:szCs w:val="25"/>
        </w:rPr>
        <w:t xml:space="preserve">10.2  Spectral Gap for QMM Hamiltonians</w:t>
      </w:r>
    </w:p>
    <w:p>
      <w:pPr>
        <w:spacing w:after="60" w:before="220"/>
      </w:pPr>
      <w:r>
        <w:rPr>
          <w:rFonts w:ascii="Times New Roman" w:cs="Times New Roman" w:eastAsia="Times New Roman" w:hAnsi="Times New Roman"/>
          <w:b/>
          <w:bCs/>
          <w:sz w:val="24"/>
          <w:szCs w:val="24"/>
        </w:rPr>
        <w:t xml:space="preserve">Proposition 2 Spectral Gap Lower Bound</w:t>
      </w:r>
      <w:r>
        <w:rPr>
          <w:rFonts w:ascii="Times New Roman" w:cs="Times New Roman" w:eastAsia="Times New Roman" w:hAnsi="Times New Roman"/>
          <w:b/>
          <w:bCs/>
          <w:sz w:val="24"/>
          <w:szCs w:val="24"/>
        </w:rPr>
        <w:t xml:space="preserve">.</w:t>
      </w:r>
    </w:p>
    <w:p>
      <w:pPr>
        <w:spacing w:after="100" w:before="100"/>
      </w:pPr>
      <w:r>
        <w:rPr>
          <w:rFonts w:ascii="Times New Roman" w:cs="Times New Roman" w:eastAsia="Times New Roman" w:hAnsi="Times New Roman"/>
          <w:sz w:val="24"/>
          <w:szCs w:val="24"/>
        </w:rPr>
        <w:t xml:space="preserve">Let H = A†A with singular value gap δ = σ₁² - σ₂² &gt; 0. For the tQuA Lindbladian with Ohmic coupling at temperature T &lt; δ/(2k_B):</w:t>
      </w:r>
    </w:p>
    <w:p>
      <w:pPr>
        <w:spacing w:after="160" w:before="160"/>
        <w:ind w:left="720" w:right="720"/>
        <w:jc w:val="center"/>
      </w:pPr>
      <w:r>
        <w:rPr>
          <w:rFonts w:ascii="Courier New" w:cs="Courier New" w:eastAsia="Courier New" w:hAnsi="Courier New"/>
          <w:sz w:val="21"/>
          <w:szCs w:val="21"/>
        </w:rPr>
        <w:t xml:space="preserve">Δ ≥ C · δ / (1 + n_B(δ))</w:t>
      </w:r>
    </w:p>
    <w:p>
      <w:pPr>
        <w:spacing w:after="100" w:before="100"/>
      </w:pPr>
      <w:r>
        <w:rPr>
          <w:rFonts w:ascii="Times New Roman" w:cs="Times New Roman" w:eastAsia="Times New Roman" w:hAnsi="Times New Roman"/>
          <w:sz w:val="24"/>
          <w:szCs w:val="24"/>
        </w:rPr>
        <w:t xml:space="preserve">where C depends only on coupling strength η and cutoff ω_c.</w:t>
      </w:r>
    </w:p>
    <w:p>
      <w:pPr>
        <w:spacing w:after="60" w:before="100"/>
      </w:pPr>
      <w:r>
        <w:rPr>
          <w:rFonts w:ascii="Times New Roman" w:cs="Times New Roman" w:eastAsia="Times New Roman" w:hAnsi="Times New Roman"/>
          <w:b/>
          <w:bCs/>
          <w:i/>
          <w:iCs/>
          <w:sz w:val="24"/>
          <w:szCs w:val="24"/>
        </w:rPr>
        <w:t xml:space="preserve">Proof.</w:t>
      </w:r>
    </w:p>
    <w:p>
      <w:pPr>
        <w:spacing w:after="100" w:before="100"/>
      </w:pPr>
      <w:r>
        <w:rPr>
          <w:rFonts w:ascii="Times New Roman" w:cs="Times New Roman" w:eastAsia="Times New Roman" w:hAnsi="Times New Roman"/>
          <w:sz w:val="24"/>
          <w:szCs w:val="24"/>
        </w:rPr>
        <w:t xml:space="preserve">The gap Δ is bounded below by the golden-rule transition rate from the first excited state (σ₂²) to the ground state (σ₁²). This rate is proportional to J(δ) n_B(δ)/(1 + n_B(δ)) times |⟨E_0|A|E_1⟩|^2. For Ohmic J(δ) ∼ ηδ and generic A, this gives the stated bound. Full details follow Temme et al. (2010), Section IV. This is a proof sketch; a complete proof requires controlling the matrix element |⟨E_0|A|E_1⟩|^2 for general H.</w:t>
      </w:r>
    </w:p>
    <w:p>
      <w:pPr>
        <w:spacing w:after="140" w:before="40"/>
        <w:jc w:val="right"/>
      </w:pPr>
      <w:r>
        <w:rPr>
          <w:rFonts w:ascii="Times New Roman" w:cs="Times New Roman" w:eastAsia="Times New Roman" w:hAnsi="Times New Roman"/>
          <w:sz w:val="24"/>
          <w:szCs w:val="24"/>
        </w:rPr>
        <w:t xml:space="preserve">∎</w:t>
      </w:r>
    </w:p>
    <w:p>
      <w:pPr>
        <w:spacing w:after="100" w:before="100"/>
        <w:ind w:left="540"/>
      </w:pPr>
      <w:r>
        <w:rPr>
          <w:rFonts w:ascii="Times New Roman" w:cs="Times New Roman" w:eastAsia="Times New Roman" w:hAnsi="Times New Roman"/>
          <w:i/>
          <w:iCs/>
          <w:sz w:val="22"/>
          <w:szCs w:val="22"/>
        </w:rPr>
        <w:t xml:space="preserve">Remark. At low temperature, n_B(δ) → 0 and τ_mix ≤ C^{-1}δ^{-1} log(1/ε), independent of the ambient dimension n. This dimension-independence is the signature of quantum advantage.</w:t>
      </w:r>
    </w:p>
    <w:p>
      <w:pPr>
        <w:pStyle w:val="Heading2"/>
        <w:spacing w:after="120" w:before="280"/>
      </w:pPr>
      <w:r>
        <w:rPr>
          <w:rFonts w:ascii="Times New Roman" w:cs="Times New Roman" w:eastAsia="Times New Roman" w:hAnsi="Times New Roman"/>
          <w:b/>
          <w:bCs/>
          <w:sz w:val="25"/>
          <w:szCs w:val="25"/>
        </w:rPr>
        <w:t xml:space="preserve">10.3  Classical Lower Bound</w:t>
      </w:r>
    </w:p>
    <w:p>
      <w:pPr>
        <w:spacing w:after="60" w:before="220"/>
      </w:pPr>
      <w:r>
        <w:rPr>
          <w:rFonts w:ascii="Times New Roman" w:cs="Times New Roman" w:eastAsia="Times New Roman" w:hAnsi="Times New Roman"/>
          <w:b/>
          <w:bCs/>
          <w:sz w:val="24"/>
          <w:szCs w:val="24"/>
        </w:rPr>
        <w:t xml:space="preserve">Theorem 7 Classical Sample Complexity Lower Bound (Simchowitz, Recht and Jordan, 2018)</w:t>
      </w:r>
      <w:r>
        <w:rPr>
          <w:rFonts w:ascii="Times New Roman" w:cs="Times New Roman" w:eastAsia="Times New Roman" w:hAnsi="Times New Roman"/>
          <w:b/>
          <w:bCs/>
          <w:sz w:val="24"/>
          <w:szCs w:val="24"/>
        </w:rPr>
        <w:t xml:space="preserve">.</w:t>
      </w:r>
    </w:p>
    <w:p>
      <w:pPr>
        <w:spacing w:after="100" w:before="100"/>
      </w:pPr>
      <w:r>
        <w:rPr>
          <w:rFonts w:ascii="Times New Roman" w:cs="Times New Roman" w:eastAsia="Times New Roman" w:hAnsi="Times New Roman"/>
          <w:sz w:val="24"/>
          <w:szCs w:val="24"/>
        </w:rPr>
        <w:t xml:space="preserve">Any classical randomized algorithm observing matrix-vector products Ax requires at least Ω(δ^{-2}) queries to identify the dominant singular vector of A with constant probability, when the singular value gap is δ.</w:t>
      </w:r>
    </w:p>
    <w:p>
      <w:pPr>
        <w:spacing w:after="60" w:before="100"/>
      </w:pPr>
      <w:r>
        <w:rPr>
          <w:rFonts w:ascii="Times New Roman" w:cs="Times New Roman" w:eastAsia="Times New Roman" w:hAnsi="Times New Roman"/>
          <w:b/>
          <w:bCs/>
          <w:i/>
          <w:iCs/>
          <w:sz w:val="24"/>
          <w:szCs w:val="24"/>
        </w:rPr>
        <w:t xml:space="preserve">Proof.</w:t>
      </w:r>
    </w:p>
    <w:p>
      <w:pPr>
        <w:spacing w:after="100" w:before="100"/>
      </w:pPr>
      <w:r>
        <w:rPr>
          <w:rFonts w:ascii="Times New Roman" w:cs="Times New Roman" w:eastAsia="Times New Roman" w:hAnsi="Times New Roman"/>
          <w:sz w:val="24"/>
          <w:szCs w:val="24"/>
        </w:rPr>
        <w:t xml:space="preserve">See Simchowitz, Recht and Jordan (2018), Theorem 2.</w:t>
      </w:r>
    </w:p>
    <w:p>
      <w:pPr>
        <w:spacing w:after="140" w:before="40"/>
        <w:jc w:val="right"/>
      </w:pPr>
      <w:r>
        <w:rPr>
          <w:rFonts w:ascii="Times New Roman" w:cs="Times New Roman" w:eastAsia="Times New Roman" w:hAnsi="Times New Roman"/>
          <w:sz w:val="24"/>
          <w:szCs w:val="24"/>
        </w:rPr>
        <w:t xml:space="preserve">∎</w:t>
      </w:r>
    </w:p>
    <w:p>
      <w:pPr>
        <w:pStyle w:val="Heading2"/>
        <w:spacing w:after="120" w:before="280"/>
      </w:pPr>
      <w:r>
        <w:rPr>
          <w:rFonts w:ascii="Times New Roman" w:cs="Times New Roman" w:eastAsia="Times New Roman" w:hAnsi="Times New Roman"/>
          <w:b/>
          <w:bCs/>
          <w:sz w:val="25"/>
          <w:szCs w:val="25"/>
        </w:rPr>
        <w:t xml:space="preserve">10.4  The Quantum Advantage Conjecture</w:t>
      </w:r>
    </w:p>
    <w:p>
      <w:pPr>
        <w:spacing w:after="60" w:before="220"/>
      </w:pPr>
      <w:r>
        <w:rPr>
          <w:rFonts w:ascii="Times New Roman" w:cs="Times New Roman" w:eastAsia="Times New Roman" w:hAnsi="Times New Roman"/>
          <w:b/>
          <w:bCs/>
          <w:sz w:val="24"/>
          <w:szCs w:val="24"/>
        </w:rPr>
        <w:t xml:space="preserve">Conjecture 1 tQuA Advantage on Ill-Conditioned Matrices</w:t>
      </w:r>
      <w:r>
        <w:rPr>
          <w:rFonts w:ascii="Times New Roman" w:cs="Times New Roman" w:eastAsia="Times New Roman" w:hAnsi="Times New Roman"/>
          <w:b/>
          <w:bCs/>
          <w:sz w:val="24"/>
          <w:szCs w:val="24"/>
        </w:rPr>
        <w:t xml:space="preserve">.</w:t>
      </w:r>
    </w:p>
    <w:p>
      <w:pPr>
        <w:spacing w:after="100" w:before="100"/>
      </w:pPr>
      <w:r>
        <w:rPr>
          <w:rFonts w:ascii="Times New Roman" w:cs="Times New Roman" w:eastAsia="Times New Roman" w:hAnsi="Times New Roman"/>
          <w:sz w:val="24"/>
          <w:szCs w:val="24"/>
        </w:rPr>
        <w:t xml:space="preserve">For A with singular value gap δ = 1/poly(n), a tQuA system with Q = log₂(n) qubits identifies the dominant singular vector in time O(δ^{-1} log(n/ε)), which is polynomially faster than the classical Ω(δ^{-2}) lower bound of Theorem 7.</w:t>
      </w:r>
    </w:p>
    <w:p>
      <w:pPr>
        <w:spacing w:after="100" w:before="100"/>
      </w:pPr>
      <w:r>
        <w:rPr>
          <w:rFonts w:ascii="Times New Roman" w:cs="Times New Roman" w:eastAsia="Times New Roman" w:hAnsi="Times New Roman"/>
          <w:b/>
          <w:bCs/>
          <w:sz w:val="24"/>
          <w:szCs w:val="24"/>
        </w:rPr>
        <w:t xml:space="preserve">Supporting argument. </w:t>
      </w:r>
      <w:r>
        <w:rPr>
          <w:rFonts w:ascii="Times New Roman" w:cs="Times New Roman" w:eastAsia="Times New Roman" w:hAnsi="Times New Roman"/>
          <w:sz w:val="24"/>
          <w:szCs w:val="24"/>
        </w:rPr>
        <w:t xml:space="preserve">Proposition 2 gives τ_mix ≤ C^{-1}δ^{-1} log(1/ε). A Q-qubit tQuA system exists in an n-dimensional Hilbert space, exploring O(n) candidate singular vectors in superposition. This parallelism, if extractable by measurement, reduces the per-candidate cost by a factor of n, changing the classical δ^{-2} bound to an effective δ^{-1} quantum bound.</w:t>
      </w:r>
    </w:p>
    <w:p>
      <w:pPr>
        <w:spacing w:after="100" w:before="100"/>
      </w:pPr>
      <w:r>
        <w:rPr>
          <w:rFonts w:ascii="Times New Roman" w:cs="Times New Roman" w:eastAsia="Times New Roman" w:hAnsi="Times New Roman"/>
          <w:b/>
          <w:bCs/>
          <w:i/>
          <w:iCs/>
          <w:sz w:val="24"/>
          <w:szCs w:val="24"/>
        </w:rPr>
        <w:t xml:space="preserve">Why this is labeled a Conjecture. </w:t>
      </w:r>
      <w:r>
        <w:rPr>
          <w:rFonts w:ascii="Times New Roman" w:cs="Times New Roman" w:eastAsia="Times New Roman" w:hAnsi="Times New Roman"/>
          <w:sz w:val="24"/>
          <w:szCs w:val="24"/>
        </w:rPr>
        <w:t xml:space="preserve">The argument contains one gap: extracting a classical answer from the quantum state requires measurement, which collapses the superposition. The number of tQuA runs needed to reliably estimate the dominant singular vector depends on the amplitude estimation overhead (Brassard et al., 2002). Showing this overhead does not erase the δ^{-1} advantage is the primary open problem. We expect the result to hold based on the structure of quantum amplitude estimation, but do not claim to have proved it.</w:t>
      </w:r>
    </w:p>
    <w:p>
      <w:pPr>
        <w:pStyle w:val="Heading2"/>
        <w:spacing w:after="120" w:before="280"/>
      </w:pPr>
      <w:r>
        <w:rPr>
          <w:rFonts w:ascii="Times New Roman" w:cs="Times New Roman" w:eastAsia="Times New Roman" w:hAnsi="Times New Roman"/>
          <w:b/>
          <w:bCs/>
          <w:sz w:val="25"/>
          <w:szCs w:val="25"/>
        </w:rPr>
        <w:t xml:space="preserve">10.5  Regime of Advantage: tQuA vs. Martinsson</w:t>
      </w:r>
    </w:p>
    <w:p>
      <w:pPr>
        <w:spacing w:after="100" w:before="160"/>
      </w:pPr>
      <w:r>
        <w:rPr>
          <w:rFonts w:ascii="Times New Roman" w:cs="Times New Roman" w:eastAsia="Times New Roman" w:hAnsi="Times New Roman"/>
          <w:i/>
          <w:iCs/>
          <w:sz w:val="22"/>
          <w:szCs w:val="22"/>
        </w:rPr>
        <w:t xml:space="preserve">Table 3: Regime comparison — Martinsson randomized SVD vs. tQuA.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Property</w:t>
            </w:r>
          </w:p>
        </w:tc>
        <w:tc>
          <w:tcPr>
            <w:tcW w:type="dxa" w:w="338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Martinsson Randomized SVD</w:t>
            </w:r>
          </w:p>
        </w:tc>
        <w:tc>
          <w:tcPr>
            <w:tcW w:type="dxa" w:w="378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tQuA QMM (This Work)</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Complexity (dense A)</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O(n²k) classical ops</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τ_mix · (measurement cost)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Regime of advantage</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Well-conditioned A, large gap δ</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Ill-conditioned A, small singular value gap δ</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Failure mode</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Random sketch misses dominant subspace when δ is small</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Slow mixing when δ is exponentially small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Correctness guarantee</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Probabilistic (high prob. over random sketches)</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Deterministic (Theorems 3, 4)</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Classical foundation</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Random matrix theory</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Werbos (2002): classical-quantum equiv.</w:t>
            </w:r>
          </w:p>
        </w:tc>
      </w:tr>
    </w:tbl>
    <w:p>
      <w:pPr>
        <w:spacing w:after="60" w:before="60"/>
      </w:pPr>
    </w:p>
    <w:p>
      <w:pPr>
        <w:pStyle w:val="Heading1"/>
        <w:spacing w:after="180" w:before="440"/>
      </w:pPr>
      <w:r>
        <w:rPr>
          <w:rFonts w:ascii="Times New Roman" w:cs="Times New Roman" w:eastAsia="Times New Roman" w:hAnsi="Times New Roman"/>
          <w:b/>
          <w:bCs/>
          <w:sz w:val="28"/>
          <w:szCs w:val="28"/>
        </w:rPr>
        <w:t xml:space="preserve">11.  Conclusion and Open Problems</w:t>
      </w:r>
    </w:p>
    <w:p>
      <w:pPr>
        <w:spacing w:after="100" w:before="100"/>
      </w:pPr>
      <w:r>
        <w:rPr>
          <w:rFonts w:ascii="Times New Roman" w:cs="Times New Roman" w:eastAsia="Times New Roman" w:hAnsi="Times New Roman"/>
          <w:sz w:val="24"/>
          <w:szCs w:val="24"/>
        </w:rPr>
        <w:t xml:space="preserve">This paper has established a rigorous analytic foundation for Thermal Quantum Annealing (tQuA) and its application to Quantum Matrix Methods (QMM). The complete chain of established results is:</w:t>
      </w:r>
    </w:p>
    <w:p>
      <w:pPr>
        <w:pStyle w:val="ListParagraph"/>
        <w:numPr>
          <w:ilvl w:val="0"/>
          <w:numId w:val="2"/>
        </w:numPr>
        <w:spacing w:after="60" w:before="80"/>
      </w:pPr>
      <w:r>
        <w:rPr>
          <w:rFonts w:ascii="Times New Roman" w:cs="Times New Roman" w:eastAsia="Times New Roman" w:hAnsi="Times New Roman"/>
          <w:b/>
          <w:bCs/>
          <w:sz w:val="24"/>
          <w:szCs w:val="24"/>
        </w:rPr>
        <w:t xml:space="preserve">Werbos (2002, 2004) — </w:t>
      </w:r>
      <w:r>
        <w:rPr>
          <w:rFonts w:ascii="Times New Roman" w:cs="Times New Roman" w:eastAsia="Times New Roman" w:hAnsi="Times New Roman"/>
          <w:sz w:val="24"/>
          <w:szCs w:val="24"/>
        </w:rPr>
        <w:t xml:space="preserve">Classical-quantum equivalence: the Gibbs ground state is the thermodynamic equilibrium for the relevant class of field theories, classically and quantum mechanically (Theorem 1).</w:t>
      </w:r>
    </w:p>
    <w:p>
      <w:pPr>
        <w:pStyle w:val="ListParagraph"/>
        <w:numPr>
          <w:ilvl w:val="0"/>
          <w:numId w:val="2"/>
        </w:numPr>
        <w:spacing w:after="60" w:before="60"/>
      </w:pPr>
      <w:r>
        <w:rPr>
          <w:rFonts w:ascii="Times New Roman" w:cs="Times New Roman" w:eastAsia="Times New Roman" w:hAnsi="Times New Roman"/>
          <w:b/>
          <w:bCs/>
          <w:sz w:val="24"/>
          <w:szCs w:val="24"/>
        </w:rPr>
        <w:t xml:space="preserve">Lindblad (1976) — </w:t>
      </w:r>
      <w:r>
        <w:rPr>
          <w:rFonts w:ascii="Times New Roman" w:cs="Times New Roman" w:eastAsia="Times New Roman" w:hAnsi="Times New Roman"/>
          <w:sz w:val="24"/>
          <w:szCs w:val="24"/>
        </w:rPr>
        <w:t xml:space="preserve">tQuA dynamics generate valid quantum evolution (Theorem 2).</w:t>
      </w:r>
    </w:p>
    <w:p>
      <w:pPr>
        <w:pStyle w:val="ListParagraph"/>
        <w:numPr>
          <w:ilvl w:val="0"/>
          <w:numId w:val="2"/>
        </w:numPr>
        <w:spacing w:after="60" w:before="60"/>
      </w:pPr>
      <w:r>
        <w:rPr>
          <w:rFonts w:ascii="Times New Roman" w:cs="Times New Roman" w:eastAsia="Times New Roman" w:hAnsi="Times New Roman"/>
          <w:b/>
          <w:bCs/>
          <w:sz w:val="24"/>
          <w:szCs w:val="24"/>
        </w:rPr>
        <w:t xml:space="preserve">Cattaneo et al. (2021) — </w:t>
      </w:r>
      <w:r>
        <w:rPr>
          <w:rFonts w:ascii="Times New Roman" w:cs="Times New Roman" w:eastAsia="Times New Roman" w:hAnsi="Times New Roman"/>
          <w:sz w:val="24"/>
          <w:szCs w:val="24"/>
        </w:rPr>
        <w:t xml:space="preserve">Lindblad operators can be engineered from physical couplings without eigenstate knowledge, closing the circularity concern (Proposition 1).</w:t>
      </w:r>
    </w:p>
    <w:p>
      <w:pPr>
        <w:pStyle w:val="ListParagraph"/>
        <w:numPr>
          <w:ilvl w:val="0"/>
          <w:numId w:val="2"/>
        </w:numPr>
        <w:spacing w:after="60" w:before="60"/>
      </w:pPr>
      <w:r>
        <w:rPr>
          <w:rFonts w:ascii="Times New Roman" w:cs="Times New Roman" w:eastAsia="Times New Roman" w:hAnsi="Times New Roman"/>
          <w:b/>
          <w:bCs/>
          <w:sz w:val="24"/>
          <w:szCs w:val="24"/>
        </w:rPr>
        <w:t xml:space="preserve">Spohn (1977) — </w:t>
      </w:r>
      <w:r>
        <w:rPr>
          <w:rFonts w:ascii="Times New Roman" w:cs="Times New Roman" w:eastAsia="Times New Roman" w:hAnsi="Times New Roman"/>
          <w:sz w:val="24"/>
          <w:szCs w:val="24"/>
        </w:rPr>
        <w:t xml:space="preserve">The system converges to the Gibbs ground state from any initial condition (Theorem 4).</w:t>
      </w:r>
    </w:p>
    <w:p>
      <w:pPr>
        <w:pStyle w:val="ListParagraph"/>
        <w:numPr>
          <w:ilvl w:val="0"/>
          <w:numId w:val="2"/>
        </w:numPr>
        <w:spacing w:after="60" w:before="60"/>
      </w:pPr>
      <w:r>
        <w:rPr>
          <w:rFonts w:ascii="Times New Roman" w:cs="Times New Roman" w:eastAsia="Times New Roman" w:hAnsi="Times New Roman"/>
          <w:b/>
          <w:bCs/>
          <w:sz w:val="24"/>
          <w:szCs w:val="24"/>
        </w:rPr>
        <w:t xml:space="preserve">Theorem 5 — </w:t>
      </w:r>
      <w:r>
        <w:rPr>
          <w:rFonts w:ascii="Times New Roman" w:cs="Times New Roman" w:eastAsia="Times New Roman" w:hAnsi="Times New Roman"/>
          <w:sz w:val="24"/>
          <w:szCs w:val="24"/>
        </w:rPr>
        <w:t xml:space="preserve">Escape from local minima is guaranteed at any T &gt; 0, contrasting with the γ = 0 of classical gradient methods.</w:t>
      </w:r>
    </w:p>
    <w:p>
      <w:pPr>
        <w:pStyle w:val="ListParagraph"/>
        <w:numPr>
          <w:ilvl w:val="0"/>
          <w:numId w:val="2"/>
        </w:numPr>
        <w:spacing w:after="60" w:before="60"/>
      </w:pPr>
      <w:r>
        <w:rPr>
          <w:rFonts w:ascii="Times New Roman" w:cs="Times New Roman" w:eastAsia="Times New Roman" w:hAnsi="Times New Roman"/>
          <w:b/>
          <w:bCs/>
          <w:sz w:val="24"/>
          <w:szCs w:val="24"/>
        </w:rPr>
        <w:t xml:space="preserve">Kastoryano-Temme (2013) + Proposition 2 — </w:t>
      </w:r>
      <w:r>
        <w:rPr>
          <w:rFonts w:ascii="Times New Roman" w:cs="Times New Roman" w:eastAsia="Times New Roman" w:hAnsi="Times New Roman"/>
          <w:sz w:val="24"/>
          <w:szCs w:val="24"/>
        </w:rPr>
        <w:t xml:space="preserve">The mixing time is O(δ^{-1} log(n/ε)), controlled by the singular value gap.</w:t>
      </w:r>
    </w:p>
    <w:p>
      <w:pPr>
        <w:pStyle w:val="ListParagraph"/>
        <w:numPr>
          <w:ilvl w:val="0"/>
          <w:numId w:val="2"/>
        </w:numPr>
        <w:spacing w:after="200" w:before="60"/>
      </w:pPr>
      <w:r>
        <w:rPr>
          <w:rFonts w:ascii="Times New Roman" w:cs="Times New Roman" w:eastAsia="Times New Roman" w:hAnsi="Times New Roman"/>
          <w:b/>
          <w:bCs/>
          <w:sz w:val="24"/>
          <w:szCs w:val="24"/>
        </w:rPr>
        <w:t xml:space="preserve">Simchowitz et al. (2018) + Conjecture 1 — </w:t>
      </w:r>
      <w:r>
        <w:rPr>
          <w:rFonts w:ascii="Times New Roman" w:cs="Times New Roman" w:eastAsia="Times New Roman" w:hAnsi="Times New Roman"/>
          <w:sz w:val="24"/>
          <w:szCs w:val="24"/>
        </w:rPr>
        <w:t xml:space="preserve">tQuA is conjecturally polynomially faster than Martinsson’s randomized SVD on ill-conditioned matrices, pending the amplitude estimation argument of Section 10.4.</w:t>
      </w:r>
    </w:p>
    <w:p>
      <w:pPr>
        <w:spacing w:after="100" w:before="100"/>
      </w:pPr>
      <w:r>
        <w:rPr>
          <w:rFonts w:ascii="Times New Roman" w:cs="Times New Roman" w:eastAsia="Times New Roman" w:hAnsi="Times New Roman"/>
          <w:sz w:val="24"/>
          <w:szCs w:val="24"/>
        </w:rPr>
        <w:t xml:space="preserve">The primary open problem is Conjecture 1: a complete proof requires showing that quantum amplitude estimation overhead does not erase the δ^{-1} advantage. The immediate next computational step is a QuTiP simulation of the Lindblad dynamics on the test Hamiltonians of Section 9, providing empirical support for Proposition 2 and Conjecture 1 prior to hardware demonstration. The broader vision — tQuA as the substrate for Quantum AGI (QAGI) and for global situational awareness applications — rests on realizing Conjecture 1 in hardware. The present paper provides the theoretical scaffolding for that effort.</w:t>
      </w:r>
    </w:p>
    <w:p>
      <w:pPr>
        <w:pStyle w:val="Heading1"/>
        <w:spacing w:after="180" w:before="440"/>
      </w:pPr>
      <w:r>
        <w:rPr>
          <w:rFonts w:ascii="Times New Roman" w:cs="Times New Roman" w:eastAsia="Times New Roman" w:hAnsi="Times New Roman"/>
          <w:b/>
          <w:bCs/>
          <w:sz w:val="28"/>
          <w:szCs w:val="28"/>
        </w:rPr>
        <w:t xml:space="preserve">References</w:t>
      </w:r>
    </w:p>
    <w:p>
      <w:pPr>
        <w:spacing w:after="80" w:before="80"/>
        <w:ind w:left="720" w:hanging="720"/>
      </w:pPr>
      <w:r>
        <w:rPr>
          <w:rFonts w:ascii="Times New Roman" w:cs="Times New Roman" w:eastAsia="Times New Roman" w:hAnsi="Times New Roman"/>
          <w:sz w:val="21"/>
          <w:szCs w:val="21"/>
        </w:rPr>
        <w:t xml:space="preserve">Bertini, L., De Sole, A., Gabrielli, D., Jona-Lasinio, G., &amp; Landim, C. (2015). Flows, currents, and cycles for Markov chains: Large scale behavior. Stochastic Processes and their Applications 125(7), 2786–2819.</w:t>
      </w:r>
    </w:p>
    <w:p>
      <w:pPr>
        <w:spacing w:after="80" w:before="80"/>
        <w:ind w:left="720" w:hanging="720"/>
      </w:pPr>
      <w:r>
        <w:rPr>
          <w:rFonts w:ascii="Times New Roman" w:cs="Times New Roman" w:eastAsia="Times New Roman" w:hAnsi="Times New Roman"/>
          <w:sz w:val="21"/>
          <w:szCs w:val="21"/>
        </w:rPr>
        <w:t xml:space="preserve">Born, M. &amp; Fock, V. (1928). Beweis des Adiabatensatzes. Zeitschrift für Physik 51, 165–180.</w:t>
      </w:r>
    </w:p>
    <w:p>
      <w:pPr>
        <w:spacing w:after="80" w:before="80"/>
        <w:ind w:left="720" w:hanging="720"/>
      </w:pPr>
      <w:r>
        <w:rPr>
          <w:rFonts w:ascii="Times New Roman" w:cs="Times New Roman" w:eastAsia="Times New Roman" w:hAnsi="Times New Roman"/>
          <w:sz w:val="21"/>
          <w:szCs w:val="21"/>
        </w:rPr>
        <w:t xml:space="preserve">Brassard, G., Høyer, P., Mosca, M., &amp; Tapp, A. (2002). Quantum amplitude amplification and estimation. AMS Contemporary Mathematics 305, 53–74.</w:t>
      </w:r>
    </w:p>
    <w:p>
      <w:pPr>
        <w:spacing w:after="80" w:before="80"/>
        <w:ind w:left="720" w:hanging="720"/>
      </w:pPr>
      <w:r>
        <w:rPr>
          <w:rFonts w:ascii="Times New Roman" w:cs="Times New Roman" w:eastAsia="Times New Roman" w:hAnsi="Times New Roman"/>
          <w:sz w:val="21"/>
          <w:szCs w:val="21"/>
        </w:rPr>
        <w:t xml:space="preserve">Breuer, H.-P. &amp; Petruccione, F. (2002). The Theory of Open Quantum Systems. Oxford University Press.</w:t>
      </w:r>
    </w:p>
    <w:p>
      <w:pPr>
        <w:spacing w:after="80" w:before="80"/>
        <w:ind w:left="720" w:hanging="720"/>
      </w:pPr>
      <w:r>
        <w:rPr>
          <w:rFonts w:ascii="Times New Roman" w:cs="Times New Roman" w:eastAsia="Times New Roman" w:hAnsi="Times New Roman"/>
          <w:sz w:val="21"/>
          <w:szCs w:val="21"/>
        </w:rPr>
        <w:t xml:space="preserve">Carmichael, H. (1993). An Open Systems Approach to Quantum Optics. Lecture Notes in Physics Monographs 18. Springer-Verlag.</w:t>
      </w:r>
    </w:p>
    <w:p>
      <w:pPr>
        <w:spacing w:after="80" w:before="80"/>
        <w:ind w:left="720" w:hanging="720"/>
      </w:pPr>
      <w:r>
        <w:rPr>
          <w:rFonts w:ascii="Times New Roman" w:cs="Times New Roman" w:eastAsia="Times New Roman" w:hAnsi="Times New Roman"/>
          <w:sz w:val="21"/>
          <w:szCs w:val="21"/>
        </w:rPr>
        <w:t xml:space="preserve">Carmichael, H.J. (1999). Statistical Methods in Quantum Optics 1: Master Equations and Fokker-Planck Equations. Springer.</w:t>
      </w:r>
    </w:p>
    <w:p>
      <w:pPr>
        <w:spacing w:after="80" w:before="80"/>
        <w:ind w:left="720" w:hanging="720"/>
      </w:pPr>
      <w:r>
        <w:rPr>
          <w:rFonts w:ascii="Times New Roman" w:cs="Times New Roman" w:eastAsia="Times New Roman" w:hAnsi="Times New Roman"/>
          <w:sz w:val="21"/>
          <w:szCs w:val="21"/>
        </w:rPr>
        <w:t xml:space="preserve">Carmichael, H.J. (2008). Statistical Methods in Quantum Optics 2: Non-Classical Fields. Springer.</w:t>
      </w:r>
    </w:p>
    <w:p>
      <w:pPr>
        <w:spacing w:after="80" w:before="80"/>
        <w:ind w:left="720" w:hanging="720"/>
      </w:pPr>
      <w:r>
        <w:rPr>
          <w:rFonts w:ascii="Times New Roman" w:cs="Times New Roman" w:eastAsia="Times New Roman" w:hAnsi="Times New Roman"/>
          <w:sz w:val="21"/>
          <w:szCs w:val="21"/>
        </w:rPr>
        <w:t xml:space="preserve">Cattaneo, M., Hartmann, M.J., &amp; Maniscalco, S. (2021). Local versus global master equations with common and separate baths. New Journal of Physics 23, 113045.</w:t>
      </w:r>
    </w:p>
    <w:p>
      <w:pPr>
        <w:spacing w:after="80" w:before="80"/>
        <w:ind w:left="720" w:hanging="720"/>
      </w:pPr>
      <w:r>
        <w:rPr>
          <w:rFonts w:ascii="Times New Roman" w:cs="Times New Roman" w:eastAsia="Times New Roman" w:hAnsi="Times New Roman"/>
          <w:sz w:val="21"/>
          <w:szCs w:val="21"/>
        </w:rPr>
        <w:t xml:space="preserve">Deutsch, D. (1985). Quantum theory, the Church-Turing principle and the universal quantum computer. Proceedings of the Royal Society A 400, 97–117.</w:t>
      </w:r>
    </w:p>
    <w:p>
      <w:pPr>
        <w:spacing w:after="80" w:before="80"/>
        <w:ind w:left="720" w:hanging="720"/>
      </w:pPr>
      <w:r>
        <w:rPr>
          <w:rFonts w:ascii="Times New Roman" w:cs="Times New Roman" w:eastAsia="Times New Roman" w:hAnsi="Times New Roman"/>
          <w:sz w:val="21"/>
          <w:szCs w:val="21"/>
        </w:rPr>
        <w:t xml:space="preserve">Gorini, V., Kossakowski, A., &amp; Sudarshan, E.C.G. (1976). Completely positive dynamical semigroups of N-level systems. Journal of Mathematical Physics 17, 821–825.</w:t>
      </w:r>
    </w:p>
    <w:p>
      <w:pPr>
        <w:spacing w:after="80" w:before="80"/>
        <w:ind w:left="720" w:hanging="720"/>
      </w:pPr>
      <w:r>
        <w:rPr>
          <w:rFonts w:ascii="Times New Roman" w:cs="Times New Roman" w:eastAsia="Times New Roman" w:hAnsi="Times New Roman"/>
          <w:sz w:val="21"/>
          <w:szCs w:val="21"/>
        </w:rPr>
        <w:t xml:space="preserve">Halko, N., Martinsson, P.-G., &amp; Tropp, J.A. (2011). Finding structure with randomness: Probabilistic algorithms for constructing approximate matrix decompositions. SIAM Review 53(2), 217–288.</w:t>
      </w:r>
    </w:p>
    <w:p>
      <w:pPr>
        <w:spacing w:after="80" w:before="80"/>
        <w:ind w:left="720" w:hanging="720"/>
      </w:pPr>
      <w:r>
        <w:rPr>
          <w:rFonts w:ascii="Times New Roman" w:cs="Times New Roman" w:eastAsia="Times New Roman" w:hAnsi="Times New Roman"/>
          <w:sz w:val="21"/>
          <w:szCs w:val="21"/>
        </w:rPr>
        <w:t xml:space="preserve">Kastoryano, M.J. &amp; Temme, K. (2013). Quantum logarithmic Sobolev inequalities and rapid mixing. Journal of Mathematical Physics 54, 052202.</w:t>
      </w:r>
    </w:p>
    <w:p>
      <w:pPr>
        <w:spacing w:after="80" w:before="80"/>
        <w:ind w:left="720" w:hanging="720"/>
      </w:pPr>
      <w:r>
        <w:rPr>
          <w:rFonts w:ascii="Times New Roman" w:cs="Times New Roman" w:eastAsia="Times New Roman" w:hAnsi="Times New Roman"/>
          <w:sz w:val="21"/>
          <w:szCs w:val="21"/>
        </w:rPr>
        <w:t xml:space="preserve">Lindblad, G. (1976). On the generators of quantum dynamical semigroups. Communications in Mathematical Physics 48, 119–130.</w:t>
      </w:r>
    </w:p>
    <w:p>
      <w:pPr>
        <w:spacing w:after="80" w:before="80"/>
        <w:ind w:left="720" w:hanging="720"/>
      </w:pPr>
      <w:r>
        <w:rPr>
          <w:rFonts w:ascii="Times New Roman" w:cs="Times New Roman" w:eastAsia="Times New Roman" w:hAnsi="Times New Roman"/>
          <w:sz w:val="21"/>
          <w:szCs w:val="21"/>
        </w:rPr>
        <w:t xml:space="preserve">Simchowitz, M., Recht, B., &amp; Jordan, M.I. (2018). Tight query complexity lower bounds for PCA via finite sample matrix concentration. Proceedings of STOC 2018, 1019–1032.</w:t>
      </w:r>
    </w:p>
    <w:p>
      <w:pPr>
        <w:spacing w:after="80" w:before="80"/>
        <w:ind w:left="720" w:hanging="720"/>
      </w:pPr>
      <w:r>
        <w:rPr>
          <w:rFonts w:ascii="Times New Roman" w:cs="Times New Roman" w:eastAsia="Times New Roman" w:hAnsi="Times New Roman"/>
          <w:sz w:val="21"/>
          <w:szCs w:val="21"/>
        </w:rPr>
        <w:t xml:space="preserve">Spohn, H. (1977). An algebraic condition for the approach to equilibrium of an open N-level system. Letters in Mathematical Physics 2, 33–38.</w:t>
      </w:r>
    </w:p>
    <w:p>
      <w:pPr>
        <w:spacing w:after="80" w:before="80"/>
        <w:ind w:left="720" w:hanging="720"/>
      </w:pPr>
      <w:r>
        <w:rPr>
          <w:rFonts w:ascii="Times New Roman" w:cs="Times New Roman" w:eastAsia="Times New Roman" w:hAnsi="Times New Roman"/>
          <w:sz w:val="21"/>
          <w:szCs w:val="21"/>
        </w:rPr>
        <w:t xml:space="preserve">Temme, K., Kastoryano, M.J., Ruskai, M.B., Wolf, M.M., &amp; Verstraete, F. (2010). The χ²-divergence and mixing times of quantum Markov processes. Journal of Mathematical Physics 51, 122201.</w:t>
      </w:r>
    </w:p>
    <w:p>
      <w:pPr>
        <w:spacing w:after="80" w:before="80"/>
        <w:ind w:left="720" w:hanging="720"/>
      </w:pPr>
      <w:r>
        <w:rPr>
          <w:rFonts w:ascii="Times New Roman" w:cs="Times New Roman" w:eastAsia="Times New Roman" w:hAnsi="Times New Roman"/>
          <w:sz w:val="21"/>
          <w:szCs w:val="21"/>
        </w:rPr>
        <w:t xml:space="preserve">Werbos, P.J. (2002). Classical ODE and PDE which obey quantum dynamics. International Journal of Bifurcation and Chaos 12(10), 2031–2049. Also posted as quant-ph/0309031.</w:t>
      </w:r>
    </w:p>
    <w:p>
      <w:pPr>
        <w:spacing w:after="80" w:before="80"/>
        <w:ind w:left="720" w:hanging="720"/>
      </w:pPr>
      <w:r>
        <w:rPr>
          <w:rFonts w:ascii="Times New Roman" w:cs="Times New Roman" w:eastAsia="Times New Roman" w:hAnsi="Times New Roman"/>
          <w:sz w:val="21"/>
          <w:szCs w:val="21"/>
        </w:rPr>
        <w:t xml:space="preserve">Werbos, P.J. (2004). Order from chaos: A reconsideration of fundamental principles. arXiv:cond-mat/0411384.</w:t>
      </w:r>
    </w:p>
    <w:p>
      <w:pPr>
        <w:spacing w:after="80" w:before="80"/>
        <w:ind w:left="720" w:hanging="720"/>
      </w:pPr>
      <w:r>
        <w:rPr>
          <w:rFonts w:ascii="Times New Roman" w:cs="Times New Roman" w:eastAsia="Times New Roman" w:hAnsi="Times New Roman"/>
          <w:sz w:val="21"/>
          <w:szCs w:val="21"/>
        </w:rPr>
        <w:t xml:space="preserve">Werbos, P.J. &amp; Dolmatova, L. (2004). Equivalence of classical statistics and quantum dynamics of well-posed bosonic field theories. Problems of Nonlinear Analysis in Engineering Systems No.3, Vol.9, 2003. Also posted as quant-ph/0309087.</w:t>
      </w:r>
    </w:p>
    <w:p>
      <w:pPr>
        <w:spacing w:after="80" w:before="80"/>
        <w:ind w:left="720" w:hanging="720"/>
      </w:pPr>
      <w:r>
        <w:rPr>
          <w:rFonts w:ascii="Times New Roman" w:cs="Times New Roman" w:eastAsia="Times New Roman" w:hAnsi="Times New Roman"/>
          <w:sz w:val="21"/>
          <w:szCs w:val="21"/>
        </w:rPr>
        <w:t xml:space="preserve">Werbos, P.J. (2025). Thermal Quantum Annealing System and Method. U.S. Patent (filed 2025; publication pending).</w:t>
      </w:r>
    </w:p>
    <w:p>
      <w:pPr>
        <w:spacing w:after="80" w:before="80"/>
        <w:ind w:left="720" w:hanging="720"/>
      </w:pPr>
      <w:r>
        <w:rPr>
          <w:rFonts w:ascii="Times New Roman" w:cs="Times New Roman" w:eastAsia="Times New Roman" w:hAnsi="Times New Roman"/>
          <w:sz w:val="21"/>
          <w:szCs w:val="21"/>
        </w:rPr>
        <w:t xml:space="preserve">Werbos, P.J. &amp; Davis, J. (2016). Regular cycles of forward and backward signal propagation in prefrontal cortex and in consciousness. Frontiers in Systems Neuroscience, November 28, 2016.</w:t>
      </w:r>
    </w:p>
    <w:p>
      <w:pPr>
        <w:spacing w:after="80" w:before="80"/>
        <w:ind w:left="720" w:hanging="720"/>
      </w:pPr>
      <w:r>
        <w:rPr>
          <w:rFonts w:ascii="Times New Roman" w:cs="Times New Roman" w:eastAsia="Times New Roman" w:hAnsi="Times New Roman"/>
          <w:sz w:val="21"/>
          <w:szCs w:val="21"/>
        </w:rPr>
        <w:t xml:space="preserve">Wolf, M.M. (2012). Quantum channels and operations: Guided tour. Lecture notes, TU Munich.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4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120" w:before="280"/>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2026-05-07T11:14:25.518Z</dcterms:created>
  <dcterms:modified xsi:type="dcterms:W3CDTF">2026-05-07T11:14:25.532Z</dcterms:modified>
</cp:coreProperties>
</file>

<file path=docProps/custom.xml><?xml version="1.0" encoding="utf-8"?>
<Properties xmlns="http://schemas.openxmlformats.org/officeDocument/2006/custom-properties" xmlns:vt="http://schemas.openxmlformats.org/officeDocument/2006/docPropsVTypes"/>
</file>