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cumprimento de sentença, operou-se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 do crédito principal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ea9999" w:val="clear"/>
          <w:rtl w:val="0"/>
        </w:rPr>
        <w:t xml:space="preserve">e honorários advocatícios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qual foi regularmente homologada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de todo o objeto da lide. Nesse sentido, o antigo patrono da parte não mais integra a relação jurídica processual.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Todavia, verifica-se que, mesmo ciente de sua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d966" w:val="clear"/>
          <w:rtl w:val="0"/>
        </w:rPr>
        <w:t xml:space="preserve">ilegitimidade para atuar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, o ex-patrono protocolou petição no nº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{{NUMERO_EVENTO}}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shd w:fill="ffd966" w:val="clear"/>
          <w:rtl w:val="0"/>
        </w:rPr>
        <w:t xml:space="preserve"> requerendo a transferência dos valores bloqueados para conta bancária de sua titularidade, conduta que ocasiona grave tumulto processual e contribui significativamente para o retardamento da satisfação do crédito exequendo.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disso, requer-se,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desconsideração de qualquer manifestação ou requerimento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 protocolado pela referida parte, em razão da manifesta ausência de legitimidade e capacidade postulatória no presente feito.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fim, para evitar qualquer equívoco operacional, reitera-se que eventual levantamento dos valores constritos deverá observar exclusivamente os dados bancários do cessionário, quais sejam: </w:t>
      </w:r>
    </w:p>
    <w:p w:rsidR="00000000" w:rsidDel="00000000" w:rsidP="00000000" w:rsidRDefault="00000000" w:rsidRPr="00000000" w14:paraId="0000000B">
      <w:pPr>
        <w:spacing w:after="200" w:before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JUIZADO DAS FAZENDAS PÚBLICAS DA COMARCA DE ITUMBIARA/GO  </vt:lpwstr>
  </property>
  <property fmtid="{D5CDD505-2E9C-101B-9397-08002B2CF9AE}" pid="3" name="[NÚMERO DO PROCESSO]">
    <vt:lpwstr>5229448-16.2024.8.09.0087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principal e honorários contratuais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TITULAR: MATHEUS PRADO DE PAULA; CPF: 112.723.076-03; BANCO: BANCO SANTANDER; AGÊNCIA: 3471; CONTA CORRENTE: 01095465-1  </vt:lpwstr>
  </property>
  <property fmtid="{D5CDD505-2E9C-101B-9397-08002B2CF9AE}" pid="10" name="[nº do evento]">
    <vt:lpwstr>[nº do evento]</vt:lpwstr>
  </property>
</Properties>
</file>