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No presente cumprimento de sentença, houve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cessão integral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do(s)  crédito(s) judicial(is) de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{{CREDITOS_CEDIDOS}}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regularmente homologada(s) por este Juízo em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{{DATA_HOMOLOGACAO}}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a consequente substituição da titularidade do crédito.</w:t>
      </w:r>
    </w:p>
    <w:p w:rsidR="00000000" w:rsidDel="00000000" w:rsidP="00000000" w:rsidRDefault="00000000" w:rsidRPr="00000000" w14:paraId="00000007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Por sua vez, a(s) Requisição(ões) de Pequeno Valor foi(oram) expedida(as) em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{{DATA_EXPEDICAO}}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Considerando que se encerrou o prazo legal de 60 (sessenta) dias para o pagamento da(s) RPV(s), nos termos do art. 13, inciso I, da Lei nº 12.153/2009, sem que tenha havido a devida quitação até o presente momento, resta plenamente caracterizado o inadimplemento da(s) obrigação(ões) por parte do ente devedor.</w:t>
      </w:r>
    </w:p>
    <w:p w:rsidR="00000000" w:rsidDel="00000000" w:rsidP="00000000" w:rsidRDefault="00000000" w:rsidRPr="00000000" w14:paraId="00000009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commentRangeStart w:id="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Ressalte-se que, conforme amplamente divulgado por meio do Ofício-Circular nº 768/2025 da Presidência do TJGO, bem como por determinação do Conselho Nacional de Justiça no PCA nº 0006500-38.2025.2.00.0000, restaram suspensos as cláusulas que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condicionavam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o pagamento das RPVs à disponibilidade orçamentária e que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vedavam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 adoção de medidas constritivas do Convênio nº 02/2023.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Assim, superado o prazo legal para pagamento e inexistindo óbice jurídico à adoção de medidas executivas, mostra-se cabível a determinação de sequestro de valores, como meio de assegurar a efetividade da tutela jurisdicional e o cumprimento da decisão judicial transitada em julgado.</w:t>
      </w:r>
    </w:p>
    <w:p w:rsidR="00000000" w:rsidDel="00000000" w:rsidP="00000000" w:rsidRDefault="00000000" w:rsidRPr="00000000" w14:paraId="0000000B">
      <w:pPr>
        <w:spacing w:after="200" w:before="200" w:line="360" w:lineRule="auto"/>
        <w:ind w:firstLine="708.6614173228347"/>
        <w:jc w:val="both"/>
        <w:rPr>
          <w:rFonts w:ascii="Poppins" w:cs="Poppins" w:eastAsia="Poppins" w:hAnsi="Poppins"/>
          <w:sz w:val="24"/>
          <w:szCs w:val="24"/>
          <w:u w:val="singl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Diante do exposto, requer, cordialmente, o reconhecimento da mora do EXECUTADO quanto ao pagamento da(s) RPV(s) expedida(s), bem como determinada a expedição de ordem de sequestro/bloqueio de valores por penhora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u w:val="single"/>
          <w:rtl w:val="0"/>
        </w:rPr>
        <w:t xml:space="preserve">online</w:t>
      </w:r>
      <w:r w:rsidDel="00000000" w:rsidR="00000000" w:rsidRPr="00000000">
        <w:rPr>
          <w:rFonts w:ascii="Poppins" w:cs="Poppins" w:eastAsia="Poppins" w:hAnsi="Poppins"/>
          <w:sz w:val="24"/>
          <w:szCs w:val="24"/>
          <w:u w:val="single"/>
          <w:rtl w:val="0"/>
        </w:rPr>
        <w:t xml:space="preserve">, até o limite do valor total requisitado, com a devida vinculação do numerário ao presente feito em favor do(a) cessionário(a).</w:t>
      </w:r>
    </w:p>
    <w:p w:rsidR="00000000" w:rsidDel="00000000" w:rsidP="00000000" w:rsidRDefault="00000000" w:rsidRPr="00000000" w14:paraId="0000000C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Requer, ainda, caso o bloqueio inicial se mostre insuficiente, a reiteração da ordem em horários alternados e junto às diversas contas do ente executado, até a integral satisfação do crédito judicial.</w:t>
      </w:r>
    </w:p>
    <w:p w:rsidR="00000000" w:rsidDel="00000000" w:rsidP="00000000" w:rsidRDefault="00000000" w:rsidRPr="00000000" w14:paraId="0000000D">
      <w:pPr>
        <w:spacing w:after="200" w:before="200" w:line="360" w:lineRule="auto"/>
        <w:ind w:firstLine="708.6614173228345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Na oportunidade, efetuado o bloqueio do montante nas contas estatais, solicita-se desde já, cordialmente, que os valores sejam levantados em nome da parte beneficiária.</w:t>
      </w:r>
    </w:p>
    <w:p w:rsidR="00000000" w:rsidDel="00000000" w:rsidP="00000000" w:rsidRDefault="00000000" w:rsidRPr="00000000" w14:paraId="0000000E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before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Nestes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11">
      <w:pPr>
        <w:spacing w:after="200" w:before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7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Credijuris" w:id="0" w:date="2026-04-10T04:19:31Z"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Retirar a entidade devedora não for o Estado de Goiás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crédito principal, honorários contratuais, honorários sucumbenciais]">
    <vt:lpwstr>[crédito principal, honorários contratuais, honorários sucumbenciais]</vt:lpwstr>
  </property>
  <property fmtid="{D5CDD505-2E9C-101B-9397-08002B2CF9AE}" pid="7" name="[data da homologação]">
    <vt:lpwstr>[data da homologação]</vt:lpwstr>
  </property>
  <property fmtid="{D5CDD505-2E9C-101B-9397-08002B2CF9AE}" pid="8" name="[data da expedição]">
    <vt:lpwstr>[data da expedição]</vt:lpwstr>
  </property>
  <property fmtid="{D5CDD505-2E9C-101B-9397-08002B2CF9AE}" pid="9" name="[DADOS BANCÁRIOS DO CESSIONÁRIO]">
    <vt:lpwstr>[DADOS BANCÁRIOS DO CESSIONÁRIO]</vt:lpwstr>
  </property>
</Properties>
</file>