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custom-properties+xml" PartName="/docProps/custom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ackground w:color="FFFFFF"/>
  <w:body>
    <w:p w:rsidR="00000000" w:rsidDel="00000000" w:rsidP="00000000" w:rsidRDefault="00000000" w:rsidRPr="00000000" w14:paraId="00000001">
      <w:pPr>
        <w:spacing w:after="200" w:line="360" w:lineRule="auto"/>
        <w:jc w:val="both"/>
        <w:rPr>
          <w:rFonts w:ascii="Poppins" w:cs="Poppins" w:eastAsia="Poppins" w:hAnsi="Poppins"/>
          <w:b w:val="1"/>
          <w:bCs w:val="1"/>
          <w:sz w:val="24"/>
          <w:szCs w:val="24"/>
        </w:rPr>
      </w:pPr>
      <w:r w:rsidDel="00000000" w:rsidR="00000000" w:rsidRPr="00000000">
        <w:rPr>
          <w:rFonts w:ascii="Poppins" w:cs="Poppins" w:eastAsia="Poppins" w:hAnsi="Poppins"/>
          <w:b w:val="1"/>
          <w:bCs w:val="1"/>
          <w:sz w:val="24"/>
          <w:szCs w:val="24"/>
          <w:rtl w:val="0"/>
        </w:rPr>
        <w:t xml:space="preserve">AO JUÍZO DE DIREITO DO(A) </w:t>
      </w:r>
      <w:r w:rsidDel="00000000" w:rsidR="00000000" w:rsidRPr="00000000"/>
      <w:r w:rsidDel="00000000" w:rsidR="00000000" w:rsidRPr="00000000">
        <w:rPr>
          <w:rFonts w:ascii="Poppins" w:cs="Poppins" w:eastAsia="Poppins" w:hAnsi="Poppins"/>
          <w:b w:val="1"/>
          <w:bCs w:val="1"/>
          <w:sz w:val="24"/>
          <w:szCs w:val="24"/>
          <w:rtl w:val="0"/>
        </w:rPr>
        <w:t xml:space="preserve">{{ENDERECAMENTO_JUIZO}} </w:t>
      </w:r>
      <w:r w:rsidDel="00000000" w:rsidR="00000000" w:rsidRPr="0000000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200" w:line="360" w:lineRule="auto"/>
        <w:jc w:val="both"/>
        <w:rPr>
          <w:rFonts w:ascii="Poppins" w:cs="Poppins" w:eastAsia="Poppins" w:hAnsi="Poppins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200" w:line="360" w:lineRule="auto"/>
        <w:jc w:val="both"/>
        <w:rPr>
          <w:rFonts w:ascii="Poppins" w:cs="Poppins" w:eastAsia="Poppins" w:hAnsi="Poppins"/>
          <w:b w:val="1"/>
          <w:bCs w:val="1"/>
          <w:sz w:val="24"/>
          <w:szCs w:val="24"/>
        </w:rPr>
      </w:pPr>
      <w:r w:rsidDel="00000000" w:rsidR="00000000" w:rsidRPr="00000000">
        <w:rPr>
          <w:rFonts w:ascii="Poppins" w:cs="Poppins" w:eastAsia="Poppins" w:hAnsi="Poppins"/>
          <w:b w:val="1"/>
          <w:bCs w:val="1"/>
          <w:sz w:val="24"/>
          <w:szCs w:val="24"/>
          <w:rtl w:val="0"/>
        </w:rPr>
        <w:t xml:space="preserve">Processo n°: </w:t>
      </w:r>
      <w:r w:rsidDel="00000000" w:rsidR="00000000" w:rsidRPr="00000000"/>
      <w:r w:rsidDel="00000000" w:rsidR="00000000" w:rsidRPr="00000000">
        <w:rPr>
          <w:rFonts w:ascii="Poppins" w:cs="Poppins" w:eastAsia="Poppins" w:hAnsi="Poppins"/>
          <w:b w:val="1"/>
          <w:bCs w:val="1"/>
          <w:sz w:val="24"/>
          <w:szCs w:val="24"/>
          <w:rtl w:val="0"/>
        </w:rPr>
        <w:t xml:space="preserve">{{NUMERO_PROCESSO}}</w:t>
      </w:r>
      <w:r w:rsidDel="00000000" w:rsidR="00000000" w:rsidRPr="0000000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200" w:line="360" w:lineRule="auto"/>
        <w:jc w:val="both"/>
        <w:rPr>
          <w:rFonts w:ascii="Poppins" w:cs="Poppins" w:eastAsia="Poppins" w:hAnsi="Poppins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200" w:line="360" w:lineRule="auto"/>
        <w:jc w:val="both"/>
        <w:rPr>
          <w:rFonts w:ascii="Poppins" w:cs="Poppins" w:eastAsia="Poppins" w:hAnsi="Poppins"/>
          <w:sz w:val="24"/>
          <w:szCs w:val="24"/>
        </w:rPr>
      </w:pPr>
      <w:r w:rsidDel="00000000" w:rsidR="00000000" w:rsidRPr="00000000"/>
      <w:r w:rsidDel="00000000" w:rsidR="00000000" w:rsidRPr="00000000">
        <w:rPr>
          <w:rFonts w:ascii="Poppins" w:cs="Poppins" w:eastAsia="Poppins" w:hAnsi="Poppins"/>
          <w:b w:val="1"/>
          <w:bCs w:val="1"/>
          <w:sz w:val="24"/>
          <w:szCs w:val="24"/>
          <w:rtl w:val="0"/>
        </w:rPr>
        <w:t xml:space="preserve">{{NOME_CESSIONARIO}} </w:t>
      </w:r>
      <w:r w:rsidDel="00000000" w:rsidR="00000000" w:rsidRPr="00000000"/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, já qualificado(a) nos autos em epígrafe, vem respeitosamente, por intermédio de seu procurador </w:t>
      </w:r>
      <w:r w:rsidDel="00000000" w:rsidR="00000000" w:rsidRPr="00000000">
        <w:rPr>
          <w:rFonts w:ascii="Poppins" w:cs="Poppins" w:eastAsia="Poppins" w:hAnsi="Poppins"/>
          <w:i w:val="1"/>
          <w:iCs w:val="1"/>
          <w:sz w:val="24"/>
          <w:szCs w:val="24"/>
          <w:rtl w:val="0"/>
        </w:rPr>
        <w:t xml:space="preserve">in fine </w:t>
      </w:r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assinado, manifestar nos seguintes termos.</w:t>
      </w:r>
    </w:p>
    <w:p w:rsidR="00000000" w:rsidDel="00000000" w:rsidP="00000000" w:rsidRDefault="00000000" w:rsidRPr="00000000" w14:paraId="00000006">
      <w:pPr>
        <w:spacing w:after="200" w:line="360" w:lineRule="auto"/>
        <w:jc w:val="both"/>
        <w:rPr>
          <w:rFonts w:ascii="Poppins" w:cs="Poppins" w:eastAsia="Poppins" w:hAnsi="Poppin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200" w:line="360" w:lineRule="auto"/>
        <w:jc w:val="both"/>
        <w:rPr>
          <w:rFonts w:ascii="Poppins" w:cs="Poppins" w:eastAsia="Poppins" w:hAnsi="Poppins"/>
          <w:sz w:val="24"/>
          <w:szCs w:val="24"/>
        </w:rPr>
      </w:pPr>
      <w:r w:rsidDel="00000000" w:rsidR="00000000" w:rsidRPr="00000000">
        <w:rPr>
          <w:rFonts w:ascii="Poppins" w:cs="Poppins" w:eastAsia="Poppins" w:hAnsi="Poppins"/>
          <w:b w:val="1"/>
          <w:bCs w:val="1"/>
          <w:sz w:val="24"/>
          <w:szCs w:val="24"/>
          <w:rtl w:val="0"/>
        </w:rPr>
        <w:t xml:space="preserve">I - DO PAGAMENTO INSUFICIENTE DA RPV EM AFRONTA À ATUALIZAÇÃO MONETÁRIA PREVISTA NAS EC’s Nº 113/2021 E Nº 136/2025 E NOS TEMAS 96, 450, 810 E 1037 DO STF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200" w:line="360" w:lineRule="auto"/>
        <w:jc w:val="both"/>
        <w:rPr>
          <w:rFonts w:ascii="Poppins" w:cs="Poppins" w:eastAsia="Poppins" w:hAnsi="Poppins"/>
          <w:sz w:val="24"/>
          <w:szCs w:val="24"/>
        </w:rPr>
      </w:pPr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ab/>
        <w:t xml:space="preserve">Verifica-se, da análise dos autos, que o(s) crédito(s) judicial(is) exequendo(os) têm como fundamento </w:t>
      </w:r>
      <w:r w:rsidDel="00000000" w:rsidR="00000000" w:rsidRPr="00000000"/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{{TIPO_DECISAO}}</w:t>
      </w:r>
      <w:r w:rsidDel="00000000" w:rsidR="00000000" w:rsidRPr="00000000"/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 </w:t>
      </w:r>
      <w:r w:rsidDel="00000000" w:rsidR="00000000" w:rsidRPr="00000000"/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{{TIPO_RESULTADO}}</w:t>
      </w:r>
      <w:r w:rsidDel="00000000" w:rsidR="00000000" w:rsidRPr="00000000"/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, devidamente transitada em julgado na data de </w:t>
      </w:r>
      <w:r w:rsidDel="00000000" w:rsidR="00000000" w:rsidRPr="00000000"/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{{DATA_TRANSITO_JULGADO}} </w:t>
      </w:r>
      <w:r w:rsidDel="00000000" w:rsidR="00000000" w:rsidRPr="00000000"/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09">
      <w:pPr>
        <w:spacing w:after="200" w:line="360" w:lineRule="auto"/>
        <w:jc w:val="both"/>
        <w:rPr>
          <w:rFonts w:ascii="Poppins" w:cs="Poppins" w:eastAsia="Poppins" w:hAnsi="Poppins"/>
          <w:sz w:val="24"/>
          <w:szCs w:val="24"/>
        </w:rPr>
      </w:pPr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ab/>
        <w:t xml:space="preserve">Posteriormente, no evento n° </w:t>
      </w:r>
      <w:r w:rsidDel="00000000" w:rsidR="00000000" w:rsidRPr="00000000"/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{{EVENTO_CALCULO}}</w:t>
      </w:r>
      <w:r w:rsidDel="00000000" w:rsidR="00000000" w:rsidRPr="00000000"/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, foram apresentados os cálculos nos autos pelo(a) </w:t>
      </w:r>
      <w:r w:rsidDel="00000000" w:rsidR="00000000" w:rsidRPr="00000000"/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{{AUTOR_CALCULO}}</w:t>
      </w:r>
      <w:r w:rsidDel="00000000" w:rsidR="00000000" w:rsidRPr="00000000"/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, homologados pela decisão de evento n° </w:t>
      </w:r>
      <w:r w:rsidDel="00000000" w:rsidR="00000000" w:rsidRPr="00000000"/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{{EVENTO_HOMOLOGACAO_CALCULOS}} </w:t>
      </w:r>
      <w:r w:rsidDel="00000000" w:rsidR="00000000" w:rsidRPr="00000000"/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, motivo pelo qual esse cálculo passou a constituir o último valor atualizado do(s) crédito(s) judicial(is) constante dos autos.</w:t>
      </w:r>
    </w:p>
    <w:p w:rsidR="00000000" w:rsidDel="00000000" w:rsidP="00000000" w:rsidRDefault="00000000" w:rsidRPr="00000000" w14:paraId="0000000A">
      <w:pPr>
        <w:spacing w:after="200" w:line="360" w:lineRule="auto"/>
        <w:jc w:val="both"/>
        <w:rPr>
          <w:rFonts w:ascii="Poppins" w:cs="Poppins" w:eastAsia="Poppins" w:hAnsi="Poppins"/>
          <w:sz w:val="24"/>
          <w:szCs w:val="24"/>
        </w:rPr>
      </w:pPr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ab/>
        <w:t xml:space="preserve">Todavia, observa-se dos comprovantes de transferência da(s) Requisição(ões) de Pequeno Valor que o montante efetivamente depositado não observou a metodologia constitucional e jurisprudencial aplicável à atualização monetária no período posterior à homologação dos cálculos.</w:t>
      </w:r>
    </w:p>
    <w:p w:rsidR="00000000" w:rsidDel="00000000" w:rsidP="00000000" w:rsidRDefault="00000000" w:rsidRPr="00000000" w14:paraId="0000000B">
      <w:pPr>
        <w:spacing w:after="200" w:line="360" w:lineRule="auto"/>
        <w:jc w:val="both"/>
        <w:rPr>
          <w:rFonts w:ascii="Poppins" w:cs="Poppins" w:eastAsia="Poppins" w:hAnsi="Poppins"/>
          <w:sz w:val="24"/>
          <w:szCs w:val="24"/>
        </w:rPr>
      </w:pPr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ab/>
        <w:t xml:space="preserve">No caso concreto, a linha do tempo dos autos acompanha os seguintes marcos temporais:</w:t>
      </w:r>
    </w:p>
    <w:p w:rsidR="00000000" w:rsidDel="00000000" w:rsidP="00000000" w:rsidRDefault="00000000" w:rsidRPr="00000000" w14:paraId="0000000C">
      <w:pPr>
        <w:spacing w:after="200" w:line="360" w:lineRule="auto"/>
        <w:jc w:val="both"/>
        <w:rPr>
          <w:rFonts w:ascii="Poppins" w:cs="Poppins" w:eastAsia="Poppins" w:hAnsi="Poppin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200" w:line="360" w:lineRule="auto"/>
        <w:jc w:val="both"/>
        <w:rPr>
          <w:rFonts w:ascii="Poppins" w:cs="Poppins" w:eastAsia="Poppins" w:hAnsi="Poppins"/>
          <w:b w:val="1"/>
          <w:bCs w:val="1"/>
          <w:sz w:val="24"/>
          <w:szCs w:val="24"/>
        </w:rPr>
      </w:pPr>
      <w:r w:rsidDel="00000000" w:rsidR="00000000" w:rsidRPr="00000000">
        <w:rPr>
          <w:rFonts w:ascii="Poppins" w:cs="Poppins" w:eastAsia="Poppins" w:hAnsi="Poppins"/>
          <w:b w:val="1"/>
          <w:bCs w:val="1"/>
          <w:sz w:val="24"/>
          <w:szCs w:val="24"/>
          <w:rtl w:val="0"/>
        </w:rPr>
        <w:t xml:space="preserve">Até 31 de julho de 2025 (EC 113 de 2021):</w:t>
      </w:r>
    </w:p>
    <w:p w:rsidR="00000000" w:rsidDel="00000000" w:rsidP="00000000" w:rsidRDefault="00000000" w:rsidRPr="00000000" w14:paraId="0000000E">
      <w:pPr>
        <w:numPr>
          <w:ilvl w:val="0"/>
          <w:numId w:val="2"/>
        </w:numPr>
        <w:spacing w:after="200" w:line="360" w:lineRule="auto"/>
        <w:ind w:left="720" w:hanging="360"/>
        <w:jc w:val="both"/>
        <w:rPr>
          <w:rFonts w:ascii="Poppins" w:cs="Poppins" w:eastAsia="Poppins" w:hAnsi="Poppins"/>
          <w:sz w:val="24"/>
          <w:szCs w:val="24"/>
          <w:u w:val="none"/>
        </w:rPr>
      </w:pPr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Entre a data dos cálculos homologados e a da expedição da(s) RPV(s): incidência da </w:t>
      </w:r>
      <w:r w:rsidDel="00000000" w:rsidR="00000000" w:rsidRPr="00000000">
        <w:rPr>
          <w:rFonts w:ascii="Poppins" w:cs="Poppins" w:eastAsia="Poppins" w:hAnsi="Poppins"/>
          <w:b w:val="1"/>
          <w:bCs w:val="1"/>
          <w:sz w:val="24"/>
          <w:szCs w:val="24"/>
          <w:u w:val="single"/>
          <w:rtl w:val="0"/>
        </w:rPr>
        <w:t xml:space="preserve">Taxa Selic</w:t>
      </w:r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, com base nos </w:t>
      </w:r>
      <w:r w:rsidDel="00000000" w:rsidR="00000000" w:rsidRPr="00000000">
        <w:rPr>
          <w:rFonts w:ascii="Poppins" w:cs="Poppins" w:eastAsia="Poppins" w:hAnsi="Poppins"/>
          <w:b w:val="1"/>
          <w:bCs w:val="1"/>
          <w:sz w:val="24"/>
          <w:szCs w:val="24"/>
          <w:rtl w:val="0"/>
        </w:rPr>
        <w:t xml:space="preserve">Temas 96 e 450 do STF</w:t>
      </w:r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0F">
      <w:pPr>
        <w:numPr>
          <w:ilvl w:val="0"/>
          <w:numId w:val="2"/>
        </w:numPr>
        <w:spacing w:after="200" w:before="0" w:line="360" w:lineRule="auto"/>
        <w:ind w:left="720" w:hanging="360"/>
        <w:jc w:val="both"/>
        <w:rPr>
          <w:rFonts w:ascii="Poppins" w:cs="Poppins" w:eastAsia="Poppins" w:hAnsi="Poppins"/>
          <w:sz w:val="24"/>
          <w:szCs w:val="24"/>
          <w:u w:val="none"/>
        </w:rPr>
      </w:pPr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Durante o período de graça: incidência do </w:t>
      </w:r>
      <w:r w:rsidDel="00000000" w:rsidR="00000000" w:rsidRPr="00000000">
        <w:rPr>
          <w:rFonts w:ascii="Poppins" w:cs="Poppins" w:eastAsia="Poppins" w:hAnsi="Poppins"/>
          <w:b w:val="1"/>
          <w:bCs w:val="1"/>
          <w:sz w:val="24"/>
          <w:szCs w:val="24"/>
          <w:u w:val="single"/>
          <w:rtl w:val="0"/>
        </w:rPr>
        <w:t xml:space="preserve">IPCA-E</w:t>
      </w:r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, apenas, com base na </w:t>
      </w:r>
      <w:r w:rsidDel="00000000" w:rsidR="00000000" w:rsidRPr="00000000">
        <w:rPr>
          <w:rFonts w:ascii="Poppins" w:cs="Poppins" w:eastAsia="Poppins" w:hAnsi="Poppins"/>
          <w:b w:val="1"/>
          <w:bCs w:val="1"/>
          <w:sz w:val="24"/>
          <w:szCs w:val="24"/>
          <w:rtl w:val="0"/>
        </w:rPr>
        <w:t xml:space="preserve">Súmula Vinculante 17</w:t>
      </w:r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 e no </w:t>
      </w:r>
      <w:r w:rsidDel="00000000" w:rsidR="00000000" w:rsidRPr="00000000">
        <w:rPr>
          <w:rFonts w:ascii="Poppins" w:cs="Poppins" w:eastAsia="Poppins" w:hAnsi="Poppins"/>
          <w:b w:val="1"/>
          <w:bCs w:val="1"/>
          <w:sz w:val="24"/>
          <w:szCs w:val="24"/>
          <w:rtl w:val="0"/>
        </w:rPr>
        <w:t xml:space="preserve">Tema 1037 do STF</w:t>
      </w:r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10">
      <w:pPr>
        <w:numPr>
          <w:ilvl w:val="0"/>
          <w:numId w:val="2"/>
        </w:numPr>
        <w:spacing w:after="200" w:line="360" w:lineRule="auto"/>
        <w:ind w:left="720" w:hanging="360"/>
        <w:jc w:val="both"/>
        <w:rPr>
          <w:rFonts w:ascii="Poppins" w:cs="Poppins" w:eastAsia="Poppins" w:hAnsi="Poppins"/>
          <w:sz w:val="24"/>
          <w:szCs w:val="24"/>
          <w:u w:val="none"/>
        </w:rPr>
      </w:pPr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Entre o fim do período de graça e o efetivo pagamento: incidência da </w:t>
      </w:r>
      <w:r w:rsidDel="00000000" w:rsidR="00000000" w:rsidRPr="00000000">
        <w:rPr>
          <w:rFonts w:ascii="Poppins" w:cs="Poppins" w:eastAsia="Poppins" w:hAnsi="Poppins"/>
          <w:b w:val="1"/>
          <w:bCs w:val="1"/>
          <w:sz w:val="24"/>
          <w:szCs w:val="24"/>
          <w:u w:val="single"/>
          <w:rtl w:val="0"/>
        </w:rPr>
        <w:t xml:space="preserve">Taxa Selic</w:t>
      </w:r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, com base no no </w:t>
      </w:r>
      <w:r w:rsidDel="00000000" w:rsidR="00000000" w:rsidRPr="00000000">
        <w:rPr>
          <w:rFonts w:ascii="Poppins" w:cs="Poppins" w:eastAsia="Poppins" w:hAnsi="Poppins"/>
          <w:b w:val="1"/>
          <w:bCs w:val="1"/>
          <w:sz w:val="24"/>
          <w:szCs w:val="24"/>
          <w:rtl w:val="0"/>
        </w:rPr>
        <w:t xml:space="preserve">Tema 1037 do STF</w:t>
      </w:r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11">
      <w:pPr>
        <w:spacing w:after="200" w:line="360" w:lineRule="auto"/>
        <w:jc w:val="both"/>
        <w:rPr>
          <w:rFonts w:ascii="Poppins" w:cs="Poppins" w:eastAsia="Poppins" w:hAnsi="Poppin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200" w:line="360" w:lineRule="auto"/>
        <w:jc w:val="both"/>
        <w:rPr>
          <w:rFonts w:ascii="Poppins" w:cs="Poppins" w:eastAsia="Poppins" w:hAnsi="Poppins"/>
          <w:b w:val="1"/>
          <w:bCs w:val="1"/>
          <w:sz w:val="24"/>
          <w:szCs w:val="24"/>
        </w:rPr>
      </w:pPr>
      <w:r w:rsidDel="00000000" w:rsidR="00000000" w:rsidRPr="00000000">
        <w:rPr>
          <w:rFonts w:ascii="Poppins" w:cs="Poppins" w:eastAsia="Poppins" w:hAnsi="Poppins"/>
          <w:b w:val="1"/>
          <w:bCs w:val="1"/>
          <w:sz w:val="24"/>
          <w:szCs w:val="24"/>
          <w:rtl w:val="0"/>
        </w:rPr>
        <w:t xml:space="preserve">Após 01 de agosto de 2025 (EC 136 de 2025):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spacing w:after="200" w:line="360" w:lineRule="auto"/>
        <w:ind w:left="720" w:hanging="360"/>
        <w:jc w:val="both"/>
        <w:rPr>
          <w:rFonts w:ascii="Poppins" w:cs="Poppins" w:eastAsia="Poppins" w:hAnsi="Poppins"/>
          <w:sz w:val="24"/>
          <w:szCs w:val="24"/>
          <w:u w:val="none"/>
        </w:rPr>
      </w:pPr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Correção pelo </w:t>
      </w:r>
      <w:r w:rsidDel="00000000" w:rsidR="00000000" w:rsidRPr="00000000">
        <w:rPr>
          <w:rFonts w:ascii="Poppins" w:cs="Poppins" w:eastAsia="Poppins" w:hAnsi="Poppins"/>
          <w:b w:val="1"/>
          <w:bCs w:val="1"/>
          <w:sz w:val="24"/>
          <w:szCs w:val="24"/>
          <w:rtl w:val="0"/>
        </w:rPr>
        <w:t xml:space="preserve">IPCA </w:t>
      </w:r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e juros de mora simples de </w:t>
      </w:r>
      <w:r w:rsidDel="00000000" w:rsidR="00000000" w:rsidRPr="00000000">
        <w:rPr>
          <w:rFonts w:ascii="Poppins" w:cs="Poppins" w:eastAsia="Poppins" w:hAnsi="Poppins"/>
          <w:b w:val="1"/>
          <w:bCs w:val="1"/>
          <w:sz w:val="24"/>
          <w:szCs w:val="24"/>
          <w:rtl w:val="0"/>
        </w:rPr>
        <w:t xml:space="preserve">2% ao ano</w:t>
      </w:r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, nos termos do art. 3° da EC 136 de 2025.</w:t>
      </w:r>
    </w:p>
    <w:p w:rsidR="00000000" w:rsidDel="00000000" w:rsidP="00000000" w:rsidRDefault="00000000" w:rsidRPr="00000000" w14:paraId="00000014">
      <w:pPr>
        <w:spacing w:after="200" w:line="360" w:lineRule="auto"/>
        <w:jc w:val="both"/>
        <w:rPr>
          <w:rFonts w:ascii="Poppins" w:cs="Poppins" w:eastAsia="Poppins" w:hAnsi="Poppin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after="200" w:line="360" w:lineRule="auto"/>
        <w:jc w:val="both"/>
        <w:rPr>
          <w:rFonts w:ascii="Poppins" w:cs="Poppins" w:eastAsia="Poppins" w:hAnsi="Poppins"/>
          <w:sz w:val="24"/>
          <w:szCs w:val="24"/>
        </w:rPr>
      </w:pPr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ab/>
        <w:t xml:space="preserve">Observa-se que a atualização correta exige um encadeamento lógico de índices, de forma a evitar tanto a supressão indevida das orientações pacificadas pelo STF quanto à incidência de juros em período juridicamente protegido contra a mora e à correção monetária devida ao longo de todo o lapso temporal observado.</w:t>
      </w:r>
    </w:p>
    <w:p w:rsidR="00000000" w:rsidDel="00000000" w:rsidP="00000000" w:rsidRDefault="00000000" w:rsidRPr="00000000" w14:paraId="00000016">
      <w:pPr>
        <w:spacing w:after="200" w:line="360" w:lineRule="auto"/>
        <w:jc w:val="both"/>
        <w:rPr>
          <w:rFonts w:ascii="Poppins" w:cs="Poppins" w:eastAsia="Poppins" w:hAnsi="Poppins"/>
          <w:sz w:val="24"/>
          <w:szCs w:val="24"/>
        </w:rPr>
      </w:pPr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ab/>
        <w:t xml:space="preserve">Aplicada essa metodologia cronologicamente segmentada aos autos, evidencia-se a insuficiência objetiva do pagamento, pois, observados de modo rigorosamente encadeado os marcos temporais delineados e os índices devidos em cada intervalo, </w:t>
      </w:r>
      <w:r w:rsidDel="00000000" w:rsidR="00000000" w:rsidRPr="00000000">
        <w:rPr>
          <w:rFonts w:ascii="Poppins" w:cs="Poppins" w:eastAsia="Poppins" w:hAnsi="Poppins"/>
          <w:b w:val="1"/>
          <w:bCs w:val="1"/>
          <w:sz w:val="24"/>
          <w:szCs w:val="24"/>
          <w:rtl w:val="0"/>
        </w:rPr>
        <w:t xml:space="preserve">verifica-se que, na data do adimplemento, o valor atualizado do(s) crédito(s) correspondia a R$ </w:t>
      </w:r>
      <w:r w:rsidDel="00000000" w:rsidR="00000000" w:rsidRPr="00000000"/>
      <w:r w:rsidDel="00000000" w:rsidR="00000000" w:rsidRPr="00000000">
        <w:rPr>
          <w:rFonts w:ascii="Poppins" w:cs="Poppins" w:eastAsia="Poppins" w:hAnsi="Poppins"/>
          <w:b w:val="1"/>
          <w:bCs w:val="1"/>
          <w:sz w:val="24"/>
          <w:szCs w:val="24"/>
          <w:rtl w:val="0"/>
        </w:rPr>
        <w:t xml:space="preserve">{{VALOR_ATUALIZADO}} </w:t>
      </w:r>
      <w:r w:rsidDel="00000000" w:rsidR="00000000" w:rsidRPr="00000000"/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, ao passo que o </w:t>
      </w:r>
      <w:r w:rsidDel="00000000" w:rsidR="00000000" w:rsidRPr="00000000">
        <w:rPr>
          <w:rFonts w:ascii="Poppins" w:cs="Poppins" w:eastAsia="Poppins" w:hAnsi="Poppins"/>
          <w:b w:val="1"/>
          <w:bCs w:val="1"/>
          <w:sz w:val="24"/>
          <w:szCs w:val="24"/>
          <w:rtl w:val="0"/>
        </w:rPr>
        <w:t xml:space="preserve">montante efetivamente depositado limitou-se a R$ </w:t>
      </w:r>
      <w:r w:rsidDel="00000000" w:rsidR="00000000" w:rsidRPr="00000000"/>
      <w:r w:rsidDel="00000000" w:rsidR="00000000" w:rsidRPr="00000000">
        <w:rPr>
          <w:rFonts w:ascii="Poppins" w:cs="Poppins" w:eastAsia="Poppins" w:hAnsi="Poppins"/>
          <w:b w:val="1"/>
          <w:bCs w:val="1"/>
          <w:sz w:val="24"/>
          <w:szCs w:val="24"/>
          <w:rtl w:val="0"/>
        </w:rPr>
        <w:t xml:space="preserve">{{VALOR_PAGO}} </w:t>
      </w:r>
      <w:r w:rsidDel="00000000" w:rsidR="00000000" w:rsidRPr="00000000"/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, resultando em </w:t>
      </w:r>
      <w:r w:rsidDel="00000000" w:rsidR="00000000" w:rsidRPr="00000000">
        <w:rPr>
          <w:rFonts w:ascii="Poppins" w:cs="Poppins" w:eastAsia="Poppins" w:hAnsi="Poppins"/>
          <w:b w:val="1"/>
          <w:bCs w:val="1"/>
          <w:sz w:val="24"/>
          <w:szCs w:val="24"/>
          <w:u w:val="single"/>
          <w:rtl w:val="0"/>
        </w:rPr>
        <w:t xml:space="preserve">diferença de R$ </w:t>
      </w:r>
      <w:r w:rsidDel="00000000" w:rsidR="00000000" w:rsidRPr="00000000"/>
      <w:r w:rsidDel="00000000" w:rsidR="00000000" w:rsidRPr="00000000">
        <w:rPr>
          <w:rFonts w:ascii="Poppins" w:cs="Poppins" w:eastAsia="Poppins" w:hAnsi="Poppins"/>
          <w:b w:val="1"/>
          <w:bCs w:val="1"/>
          <w:sz w:val="24"/>
          <w:szCs w:val="24"/>
          <w:u w:val="single"/>
          <w:rtl w:val="0"/>
        </w:rPr>
        <w:t xml:space="preserve">{{DIFERENCA}} </w:t>
      </w:r>
      <w:r w:rsidDel="00000000" w:rsidR="00000000" w:rsidRPr="00000000"/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, conforme demonstra a memória de cálculo anexa, razão pela qual o referido depósito não configura adimplemento integral do(s) requisitório(s), mas pagamento parcial, impondo-se a complementação do saldo remanescente.</w:t>
      </w:r>
    </w:p>
    <w:p w:rsidR="00000000" w:rsidDel="00000000" w:rsidP="00000000" w:rsidRDefault="00000000" w:rsidRPr="00000000" w14:paraId="00000017">
      <w:pPr>
        <w:spacing w:after="200" w:line="360" w:lineRule="auto"/>
        <w:jc w:val="both"/>
        <w:rPr>
          <w:rFonts w:ascii="Poppins" w:cs="Poppins" w:eastAsia="Poppins" w:hAnsi="Poppin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200" w:line="360" w:lineRule="auto"/>
        <w:jc w:val="both"/>
        <w:rPr>
          <w:rFonts w:ascii="Poppins" w:cs="Poppins" w:eastAsia="Poppins" w:hAnsi="Poppins"/>
          <w:sz w:val="24"/>
          <w:szCs w:val="24"/>
          <w:shd w:fill="f1c232" w:val="clear"/>
        </w:rPr>
      </w:pPr>
      <w:r w:rsidDel="00000000" w:rsidR="00000000" w:rsidRPr="00000000">
        <w:rPr>
          <w:rFonts w:ascii="Poppins" w:cs="Poppins" w:eastAsia="Poppins" w:hAnsi="Poppins"/>
          <w:b w:val="1"/>
          <w:bCs w:val="1"/>
          <w:sz w:val="24"/>
          <w:szCs w:val="24"/>
          <w:rtl w:val="0"/>
        </w:rPr>
        <w:t xml:space="preserve">II - </w:t>
      </w:r>
      <w:r w:rsidDel="00000000" w:rsidR="00000000" w:rsidRPr="00000000">
        <w:rPr>
          <w:rFonts w:ascii="Poppins" w:cs="Poppins" w:eastAsia="Poppins" w:hAnsi="Poppins"/>
          <w:b w:val="1"/>
          <w:bCs w:val="1"/>
          <w:sz w:val="24"/>
          <w:szCs w:val="24"/>
          <w:shd w:fill="f1c232" w:val="clear"/>
          <w:rtl w:val="0"/>
        </w:rPr>
        <w:t xml:space="preserve">CONSTRIÇÃO DO VALOR REMANESCENTE SEM NECESSIDADE DE EMISSÃO DE RPV COMPLEMENTAR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240" w:before="240" w:line="360" w:lineRule="auto"/>
        <w:ind w:firstLine="720"/>
        <w:jc w:val="both"/>
        <w:rPr>
          <w:rFonts w:ascii="Poppins" w:cs="Poppins" w:eastAsia="Poppins" w:hAnsi="Poppins"/>
          <w:sz w:val="24"/>
          <w:szCs w:val="24"/>
        </w:rPr>
      </w:pPr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À luz da necessidade de complementação da(s) RPV(s), cumpre destacar que o Supremo Tribunal Federal possui entendimento consolidado no sentido de ser </w:t>
      </w:r>
      <w:r w:rsidDel="00000000" w:rsidR="00000000" w:rsidRPr="00000000">
        <w:rPr>
          <w:rFonts w:ascii="Poppins" w:cs="Poppins" w:eastAsia="Poppins" w:hAnsi="Poppins"/>
          <w:b w:val="1"/>
          <w:bCs w:val="1"/>
          <w:sz w:val="24"/>
          <w:szCs w:val="24"/>
          <w:rtl w:val="0"/>
        </w:rPr>
        <w:t xml:space="preserve">desnecessária a expedição de novo(s) precatório(s) ou RPV(s)</w:t>
      </w:r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 quando a divergência constatada decorre de </w:t>
      </w:r>
      <w:r w:rsidDel="00000000" w:rsidR="00000000" w:rsidRPr="00000000">
        <w:rPr>
          <w:rFonts w:ascii="Poppins" w:cs="Poppins" w:eastAsia="Poppins" w:hAnsi="Poppins"/>
          <w:b w:val="1"/>
          <w:bCs w:val="1"/>
          <w:sz w:val="24"/>
          <w:szCs w:val="24"/>
          <w:rtl w:val="0"/>
        </w:rPr>
        <w:t xml:space="preserve">erro material ou inexatidão aritmética</w:t>
      </w:r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 dos cálculos apresentados.</w:t>
      </w:r>
    </w:p>
    <w:p w:rsidR="00000000" w:rsidDel="00000000" w:rsidP="00000000" w:rsidRDefault="00000000" w:rsidRPr="00000000" w14:paraId="0000001A">
      <w:pPr>
        <w:spacing w:after="240" w:before="240" w:line="360" w:lineRule="auto"/>
        <w:ind w:firstLine="720"/>
        <w:jc w:val="both"/>
        <w:rPr>
          <w:rFonts w:ascii="Poppins" w:cs="Poppins" w:eastAsia="Poppins" w:hAnsi="Poppins"/>
          <w:sz w:val="24"/>
          <w:szCs w:val="24"/>
        </w:rPr>
      </w:pPr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No caso concreto, a inobservância dos consectários legais caracteriza a hipótese ora sustentada, em que o complemento deve ser realizado mediante bloqueio do erário imediato, sem qualquer necessidade de emissão de novo(s) requisitório(s).</w:t>
      </w:r>
    </w:p>
    <w:p w:rsidR="00000000" w:rsidDel="00000000" w:rsidP="00000000" w:rsidRDefault="00000000" w:rsidRPr="00000000" w14:paraId="0000001B">
      <w:pPr>
        <w:spacing w:after="240" w:before="240" w:line="360" w:lineRule="auto"/>
        <w:ind w:firstLine="720"/>
        <w:jc w:val="both"/>
        <w:rPr>
          <w:rFonts w:ascii="Poppins" w:cs="Poppins" w:eastAsia="Poppins" w:hAnsi="Poppins"/>
          <w:sz w:val="24"/>
          <w:szCs w:val="24"/>
        </w:rPr>
      </w:pPr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Neste sentido:</w:t>
      </w:r>
    </w:p>
    <w:p w:rsidR="00000000" w:rsidDel="00000000" w:rsidP="00000000" w:rsidRDefault="00000000" w:rsidRPr="00000000" w14:paraId="0000001C">
      <w:pPr>
        <w:spacing w:after="240" w:before="240" w:line="276" w:lineRule="auto"/>
        <w:ind w:left="2267.716535433071" w:firstLine="0"/>
        <w:jc w:val="both"/>
        <w:rPr>
          <w:rFonts w:ascii="Poppins" w:cs="Poppins" w:eastAsia="Poppins" w:hAnsi="Poppins"/>
          <w:sz w:val="20"/>
          <w:szCs w:val="20"/>
        </w:rPr>
      </w:pPr>
      <w:r w:rsidDel="00000000" w:rsidR="00000000" w:rsidRPr="00000000">
        <w:rPr>
          <w:rFonts w:ascii="Poppins" w:cs="Poppins" w:eastAsia="Poppins" w:hAnsi="Poppins"/>
          <w:sz w:val="20"/>
          <w:szCs w:val="20"/>
          <w:rtl w:val="0"/>
        </w:rPr>
        <w:t xml:space="preserve">AGRAVO REGIMENTAL NO RECURSO EXTRAORDINÁRIO COM AGRAVO. CONSTITUCIONAL E PROCESSUAL CIVIL. EXECUÇÃO CONTRA A FAZENDA PÚBLICA. </w:t>
      </w:r>
      <w:r w:rsidDel="00000000" w:rsidR="00000000" w:rsidRPr="00000000">
        <w:rPr>
          <w:rFonts w:ascii="Poppins" w:cs="Poppins" w:eastAsia="Poppins" w:hAnsi="Poppins"/>
          <w:b w:val="1"/>
          <w:bCs w:val="1"/>
          <w:sz w:val="20"/>
          <w:szCs w:val="20"/>
          <w:shd w:fill="ffd966" w:val="clear"/>
          <w:rtl w:val="0"/>
        </w:rPr>
        <w:t xml:space="preserve">EXPEDIÇÃO DE NOVO PRECATÓRIO: DESNECESSIDADE NAS HIPÓTESES DE ERRO MATERIAL, INEXATIDÕES ARITMÉTICAS OU SUBSTITUIÇÃO DE ÍNDICES DE ATUALIZAÇÃO</w:t>
      </w:r>
      <w:r w:rsidDel="00000000" w:rsidR="00000000" w:rsidRPr="00000000">
        <w:rPr>
          <w:rFonts w:ascii="Poppins" w:cs="Poppins" w:eastAsia="Poppins" w:hAnsi="Poppins"/>
          <w:sz w:val="20"/>
          <w:szCs w:val="20"/>
          <w:rtl w:val="0"/>
        </w:rPr>
        <w:t xml:space="preserve">. IMPOSSIBILIDADE DE REEXAME DO CONJUNTO FÁTICO-PROBATÓRIO: SÚMULA N. 279 DO SUPREMO TRIBUNAL FEDERAL. AGRAVO REGIMENTAL AO QUAL SE NEGA PROVIMENTO.</w:t>
      </w:r>
    </w:p>
    <w:p w:rsidR="00000000" w:rsidDel="00000000" w:rsidP="00000000" w:rsidRDefault="00000000" w:rsidRPr="00000000" w14:paraId="0000001D">
      <w:pPr>
        <w:spacing w:after="240" w:before="240" w:line="276" w:lineRule="auto"/>
        <w:ind w:left="2267.716535433071" w:firstLine="0"/>
        <w:jc w:val="both"/>
        <w:rPr>
          <w:rFonts w:ascii="Poppins" w:cs="Poppins" w:eastAsia="Poppins" w:hAnsi="Poppins"/>
          <w:i w:val="1"/>
          <w:iCs w:val="1"/>
          <w:sz w:val="20"/>
          <w:szCs w:val="20"/>
        </w:rPr>
      </w:pPr>
      <w:r w:rsidDel="00000000" w:rsidR="00000000" w:rsidRPr="00000000">
        <w:rPr>
          <w:rFonts w:ascii="Poppins" w:cs="Poppins" w:eastAsia="Poppins" w:hAnsi="Poppins"/>
          <w:i w:val="1"/>
          <w:iCs w:val="1"/>
          <w:sz w:val="20"/>
          <w:szCs w:val="20"/>
          <w:rtl w:val="0"/>
        </w:rPr>
        <w:t xml:space="preserve">(STF - AgR ARE: 1239688 SP - SÃO PAULO 0025231-15.2012.8.26.0000, Relator: Min. CÁRMEN LÚCIA, Data de Julgamento: 14/02/2020, Segunda Turma, Data de Publicação: Dje-041 28-02-2020)</w:t>
      </w:r>
    </w:p>
    <w:p w:rsidR="00000000" w:rsidDel="00000000" w:rsidP="00000000" w:rsidRDefault="00000000" w:rsidRPr="00000000" w14:paraId="0000001E">
      <w:pPr>
        <w:spacing w:after="240" w:before="240" w:line="276" w:lineRule="auto"/>
        <w:ind w:left="2267.716535433071" w:firstLine="0"/>
        <w:jc w:val="both"/>
        <w:rPr>
          <w:rFonts w:ascii="Poppins" w:cs="Poppins" w:eastAsia="Poppins" w:hAnsi="Poppins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240" w:before="240" w:line="276" w:lineRule="auto"/>
        <w:ind w:left="2267.716535433071" w:firstLine="0"/>
        <w:jc w:val="both"/>
        <w:rPr>
          <w:rFonts w:ascii="Poppins" w:cs="Poppins" w:eastAsia="Poppins" w:hAnsi="Poppins"/>
          <w:i w:val="1"/>
          <w:iCs w:val="1"/>
          <w:sz w:val="20"/>
          <w:szCs w:val="20"/>
        </w:rPr>
      </w:pPr>
      <w:r w:rsidDel="00000000" w:rsidR="00000000" w:rsidRPr="00000000">
        <w:rPr>
          <w:rFonts w:ascii="Poppins" w:cs="Poppins" w:eastAsia="Poppins" w:hAnsi="Poppins"/>
          <w:sz w:val="20"/>
          <w:szCs w:val="20"/>
          <w:rtl w:val="0"/>
        </w:rPr>
        <w:t xml:space="preserve">Agravo regimental em recurso extraordinário com agravo. Precatório. Crédito complementar. </w:t>
      </w:r>
      <w:r w:rsidDel="00000000" w:rsidR="00000000" w:rsidRPr="00000000">
        <w:rPr>
          <w:rFonts w:ascii="Poppins" w:cs="Poppins" w:eastAsia="Poppins" w:hAnsi="Poppins"/>
          <w:sz w:val="20"/>
          <w:szCs w:val="20"/>
          <w:shd w:fill="ffd966" w:val="clear"/>
          <w:rtl w:val="0"/>
        </w:rPr>
        <w:t xml:space="preserve">Depósitos insuficientes. Valores residuais. Dispensa da expedição de novo precatório. Precedentes.</w:t>
      </w:r>
      <w:r w:rsidDel="00000000" w:rsidR="00000000" w:rsidRPr="00000000">
        <w:rPr>
          <w:rFonts w:ascii="Poppins" w:cs="Poppins" w:eastAsia="Poppins" w:hAnsi="Poppins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Poppins" w:cs="Poppins" w:eastAsia="Poppins" w:hAnsi="Poppins"/>
          <w:b w:val="1"/>
          <w:bCs w:val="1"/>
          <w:sz w:val="20"/>
          <w:szCs w:val="20"/>
          <w:u w:val="single"/>
          <w:rtl w:val="0"/>
        </w:rPr>
        <w:t xml:space="preserve">1. Segundo a pacífica jurisprudência da Suprema Corte, o objetivo da vedação de expedição complementar do precatório é impedir a quebra da ordem cronológica dos pagamentos, situação diversa da postergação do pagamento por meio de depósito aquém do efetivamente devido.</w:t>
      </w:r>
      <w:r w:rsidDel="00000000" w:rsidR="00000000" w:rsidRPr="00000000">
        <w:rPr>
          <w:rFonts w:ascii="Poppins" w:cs="Poppins" w:eastAsia="Poppins" w:hAnsi="Poppins"/>
          <w:sz w:val="20"/>
          <w:szCs w:val="20"/>
          <w:rtl w:val="0"/>
        </w:rPr>
        <w:t xml:space="preserve"> 2. Agravo regimental não provido, com imposição de multa de 1% (um por cento) do valor atualizado da causa (art. 1.021, § 4º, do CPC). 3. Inaplicável o art. 85, § 11, do CPC, pois não houve prévia fixação de honorários advocatícios na causa. </w:t>
      </w:r>
      <w:r w:rsidDel="00000000" w:rsidR="00000000" w:rsidRPr="00000000">
        <w:rPr>
          <w:rFonts w:ascii="Poppins" w:cs="Poppins" w:eastAsia="Poppins" w:hAnsi="Poppins"/>
          <w:i w:val="1"/>
          <w:iCs w:val="1"/>
          <w:sz w:val="20"/>
          <w:szCs w:val="20"/>
          <w:rtl w:val="0"/>
        </w:rPr>
        <w:t xml:space="preserve">(STF - ARE: 1325270 SP 3002946-93.2020.8.26.0000, Relator: DIAS TOFFOLI, Data de Julgamento: 29/11/2021, Primeira Turma, Data de Publicação: 15/03/2022)</w:t>
      </w:r>
    </w:p>
    <w:p w:rsidR="00000000" w:rsidDel="00000000" w:rsidP="00000000" w:rsidRDefault="00000000" w:rsidRPr="00000000" w14:paraId="00000020">
      <w:pPr>
        <w:spacing w:after="240" w:before="240" w:line="276" w:lineRule="auto"/>
        <w:ind w:left="2267.716535433071" w:firstLine="0"/>
        <w:jc w:val="both"/>
        <w:rPr>
          <w:rFonts w:ascii="Poppins" w:cs="Poppins" w:eastAsia="Poppins" w:hAnsi="Poppins"/>
          <w:sz w:val="2"/>
          <w:szCs w:val="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240" w:before="240" w:line="276" w:lineRule="auto"/>
        <w:ind w:left="2267.716535433071" w:firstLine="0"/>
        <w:jc w:val="both"/>
        <w:rPr>
          <w:rFonts w:ascii="Poppins" w:cs="Poppins" w:eastAsia="Poppins" w:hAnsi="Poppins"/>
          <w:sz w:val="24"/>
          <w:szCs w:val="24"/>
        </w:rPr>
      </w:pPr>
      <w:r w:rsidDel="00000000" w:rsidR="00000000" w:rsidRPr="00000000">
        <w:rPr>
          <w:rFonts w:ascii="Poppins" w:cs="Poppins" w:eastAsia="Poppins" w:hAnsi="Poppins"/>
          <w:sz w:val="20"/>
          <w:szCs w:val="20"/>
          <w:rtl w:val="0"/>
        </w:rPr>
        <w:t xml:space="preserve">DIREITO PROCESSUAL CIVIL. AGRAVO REGIMENTAL EM RECURSO EXTRAORDINÁRIO. EXECUÇÃO CONTRA A FAZENDA PÚBLICA. ERRO DE CÁLCULO. EXPEDIÇÃO DE REQUISIÇÃO DE PEQUENO VALOR COMPLEMENTAR. POSSIBILIDADE. PRECEDENTES. 1. </w:t>
      </w:r>
      <w:r w:rsidDel="00000000" w:rsidR="00000000" w:rsidRPr="00000000">
        <w:rPr>
          <w:rFonts w:ascii="Poppins" w:cs="Poppins" w:eastAsia="Poppins" w:hAnsi="Poppins"/>
          <w:sz w:val="20"/>
          <w:szCs w:val="20"/>
          <w:shd w:fill="ffd966" w:val="clear"/>
          <w:rtl w:val="0"/>
        </w:rPr>
        <w:t xml:space="preserve">A jurisprudência do Supremo Tribunal Federal é firme no sentido da desnecessidade de expedição de novo precatório ou RPV para correção de erro ou inexatidão aritmética dos cálculos. Precedentes. </w:t>
      </w:r>
      <w:r w:rsidDel="00000000" w:rsidR="00000000" w:rsidRPr="00000000">
        <w:rPr>
          <w:rFonts w:ascii="Poppins" w:cs="Poppins" w:eastAsia="Poppins" w:hAnsi="Poppins"/>
          <w:sz w:val="20"/>
          <w:szCs w:val="20"/>
          <w:rtl w:val="0"/>
        </w:rPr>
        <w:t xml:space="preserve">2. Ausência de argumentos capazes de infirmar a decisão agravada. 3. Agravo regimental a que se nega provimento. </w:t>
      </w:r>
      <w:r w:rsidDel="00000000" w:rsidR="00000000" w:rsidRPr="00000000">
        <w:rPr>
          <w:rFonts w:ascii="Poppins" w:cs="Poppins" w:eastAsia="Poppins" w:hAnsi="Poppins"/>
          <w:i w:val="1"/>
          <w:iCs w:val="1"/>
          <w:sz w:val="20"/>
          <w:szCs w:val="20"/>
          <w:rtl w:val="0"/>
        </w:rPr>
        <w:t xml:space="preserve">(STF - AgR RE: 420827 PR - PARANÁ, Relator: Min. ROBERTO BARROSO, Data de Julgamento: 26/05/2015, Primeira Turma, Data de Publicação: Dje-123 25-06-2015)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240" w:before="240" w:line="360" w:lineRule="auto"/>
        <w:ind w:firstLine="720"/>
        <w:jc w:val="both"/>
        <w:rPr>
          <w:rFonts w:ascii="Poppins" w:cs="Poppins" w:eastAsia="Poppins" w:hAnsi="Poppins"/>
          <w:sz w:val="24"/>
          <w:szCs w:val="24"/>
        </w:rPr>
      </w:pPr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Como se vê, a complementação decorre de depósito insuficiente da(s) RPV(s) em razão da aplicação incorreta dos índices de correção monetária e dos juros de mora, os quais constituem consectários legais indispensáveis e intrínsecos ao(s) crédito(s), não representando acréscimo novo, mas parcela indissociável da(s) condenação(ões), de modo que a diferença deve ser satisfeita por mera retificação/adimplemento complementar do saldo, sem expedição de RPV(s) acessória(s), a fim de evitar o artificial deslocamento do credor na ordem cronológica.</w:t>
      </w:r>
    </w:p>
    <w:p w:rsidR="00000000" w:rsidDel="00000000" w:rsidP="00000000" w:rsidRDefault="00000000" w:rsidRPr="00000000" w14:paraId="00000023">
      <w:pPr>
        <w:spacing w:after="240" w:before="240" w:line="360" w:lineRule="auto"/>
        <w:ind w:firstLine="720"/>
        <w:jc w:val="both"/>
        <w:rPr>
          <w:rFonts w:ascii="Poppins" w:cs="Poppins" w:eastAsia="Poppins" w:hAnsi="Poppins"/>
          <w:b w:val="1"/>
          <w:bCs w:val="1"/>
          <w:sz w:val="24"/>
          <w:szCs w:val="24"/>
        </w:rPr>
      </w:pPr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Portanto, diante do exposto, </w:t>
      </w:r>
      <w:r w:rsidDel="00000000" w:rsidR="00000000" w:rsidRPr="00000000">
        <w:rPr>
          <w:rFonts w:ascii="Poppins" w:cs="Poppins" w:eastAsia="Poppins" w:hAnsi="Poppins"/>
          <w:b w:val="1"/>
          <w:bCs w:val="1"/>
          <w:sz w:val="24"/>
          <w:szCs w:val="24"/>
          <w:rtl w:val="0"/>
        </w:rPr>
        <w:t xml:space="preserve">requer-se, respeitosamente, a imediata determinação de bloqueio do valor a complementar</w:t>
      </w:r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 nas contas da parte executada, a fim de suplementar o montante devido e assegurar a satisfação integral do(s) crédito(s) reconhecido(s) nos presentes autos. Ato contínuo ao bloqueio e à transferência dos valores penhorados à conta judicial, solicita-se que o(s) alvará(s) de levantamento seja(m) expedido(s) em nome do(a) cessionário(a), ora beneficiário(a) do(s) presente(s) crédito(s), cujos dados bancários seguem desde já informados: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after="240" w:before="240" w:line="360" w:lineRule="auto"/>
        <w:ind w:left="0" w:firstLine="0"/>
        <w:jc w:val="center"/>
        <w:rPr>
          <w:rFonts w:ascii="Poppins" w:cs="Poppins" w:eastAsia="Poppins" w:hAnsi="Poppins"/>
          <w:b w:val="1"/>
          <w:bCs w:val="1"/>
          <w:sz w:val="24"/>
          <w:szCs w:val="24"/>
        </w:rPr>
      </w:pPr>
      <w:r w:rsidDel="00000000" w:rsidR="00000000" w:rsidRPr="00000000"/>
      <w:r w:rsidDel="00000000" w:rsidR="00000000" w:rsidRPr="00000000">
        <w:rPr>
          <w:rFonts w:ascii="Poppins" w:cs="Poppins" w:eastAsia="Poppins" w:hAnsi="Poppins"/>
          <w:b w:val="1"/>
          <w:bCs w:val="1"/>
          <w:sz w:val="24"/>
          <w:szCs w:val="24"/>
          <w:rtl w:val="0"/>
        </w:rPr>
        <w:t xml:space="preserve">{{DADOS_BANCARIOS}} </w:t>
      </w:r>
      <w:r w:rsidDel="00000000" w:rsidR="00000000" w:rsidRPr="0000000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pacing w:after="240" w:before="240" w:line="360" w:lineRule="auto"/>
        <w:ind w:left="0" w:firstLine="0"/>
        <w:jc w:val="both"/>
        <w:rPr>
          <w:rFonts w:ascii="Poppins" w:cs="Poppins" w:eastAsia="Poppins" w:hAnsi="Poppin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after="200" w:line="360" w:lineRule="auto"/>
        <w:jc w:val="both"/>
        <w:rPr>
          <w:rFonts w:ascii="Poppins" w:cs="Poppins" w:eastAsia="Poppins" w:hAnsi="Poppins"/>
          <w:b w:val="1"/>
          <w:bCs w:val="1"/>
          <w:sz w:val="24"/>
          <w:szCs w:val="24"/>
        </w:rPr>
      </w:pPr>
      <w:r w:rsidDel="00000000" w:rsidR="00000000" w:rsidRPr="00000000">
        <w:rPr>
          <w:rFonts w:ascii="Poppins" w:cs="Poppins" w:eastAsia="Poppins" w:hAnsi="Poppins"/>
          <w:b w:val="1"/>
          <w:bCs w:val="1"/>
          <w:sz w:val="24"/>
          <w:szCs w:val="24"/>
          <w:rtl w:val="0"/>
        </w:rPr>
        <w:t xml:space="preserve">II - PEDIDOS</w:t>
      </w:r>
    </w:p>
    <w:p w:rsidR="00000000" w:rsidDel="00000000" w:rsidP="00000000" w:rsidRDefault="00000000" w:rsidRPr="00000000" w14:paraId="00000027">
      <w:pPr>
        <w:spacing w:after="200" w:line="360" w:lineRule="auto"/>
        <w:jc w:val="both"/>
        <w:rPr>
          <w:rFonts w:ascii="Poppins" w:cs="Poppins" w:eastAsia="Poppins" w:hAnsi="Poppins"/>
          <w:sz w:val="24"/>
          <w:szCs w:val="24"/>
        </w:rPr>
      </w:pPr>
      <w:r w:rsidDel="00000000" w:rsidR="00000000" w:rsidRPr="00000000">
        <w:rPr>
          <w:rFonts w:ascii="Poppins" w:cs="Poppins" w:eastAsia="Poppins" w:hAnsi="Poppins"/>
          <w:b w:val="1"/>
          <w:bCs w:val="1"/>
          <w:sz w:val="24"/>
          <w:szCs w:val="24"/>
          <w:rtl w:val="0"/>
        </w:rPr>
        <w:tab/>
      </w:r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Diante de todo o exposto, solicita-se, respeitosamente, que:</w:t>
      </w:r>
    </w:p>
    <w:p w:rsidR="00000000" w:rsidDel="00000000" w:rsidP="00000000" w:rsidRDefault="00000000" w:rsidRPr="00000000" w14:paraId="00000028">
      <w:pPr>
        <w:numPr>
          <w:ilvl w:val="0"/>
          <w:numId w:val="3"/>
        </w:numPr>
        <w:spacing w:after="0" w:afterAutospacing="0" w:line="360" w:lineRule="auto"/>
        <w:ind w:left="720" w:hanging="360"/>
        <w:jc w:val="both"/>
        <w:rPr>
          <w:rFonts w:ascii="Poppins" w:cs="Poppins" w:eastAsia="Poppins" w:hAnsi="Poppins"/>
          <w:sz w:val="24"/>
          <w:szCs w:val="24"/>
          <w:u w:val="none"/>
        </w:rPr>
      </w:pPr>
      <w:r w:rsidDel="00000000" w:rsidR="00000000" w:rsidRPr="00000000">
        <w:rPr>
          <w:rFonts w:ascii="Poppins" w:cs="Poppins" w:eastAsia="Poppins" w:hAnsi="Poppins"/>
          <w:b w:val="1"/>
          <w:bCs w:val="1"/>
          <w:sz w:val="24"/>
          <w:szCs w:val="24"/>
          <w:rtl w:val="0"/>
        </w:rPr>
        <w:t xml:space="preserve">Haja a imediata determinação de bloqueio do valor de R$ </w:t>
      </w:r>
      <w:r w:rsidDel="00000000" w:rsidR="00000000" w:rsidRPr="00000000"/>
      <w:r w:rsidDel="00000000" w:rsidR="00000000" w:rsidRPr="00000000">
        <w:rPr>
          <w:rFonts w:ascii="Poppins" w:cs="Poppins" w:eastAsia="Poppins" w:hAnsi="Poppins"/>
          <w:b w:val="1"/>
          <w:bCs w:val="1"/>
          <w:sz w:val="24"/>
          <w:szCs w:val="24"/>
          <w:rtl w:val="0"/>
        </w:rPr>
        <w:t xml:space="preserve">{{DIFERENCA}} </w:t>
      </w:r>
      <w:r w:rsidDel="00000000" w:rsidR="00000000" w:rsidRPr="00000000"/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 acrescida da devida atualização monetária até a data da efetiva liquidação, em todas as contas bancárias da parte executada, de modo a assegurar a satisfação integral do(s) crédito(s) e superar o depósito realizado a menor;</w:t>
      </w:r>
    </w:p>
    <w:p w:rsidR="00000000" w:rsidDel="00000000" w:rsidP="00000000" w:rsidRDefault="00000000" w:rsidRPr="00000000" w14:paraId="00000029">
      <w:pPr>
        <w:numPr>
          <w:ilvl w:val="0"/>
          <w:numId w:val="3"/>
        </w:numPr>
        <w:spacing w:after="200" w:line="360" w:lineRule="auto"/>
        <w:ind w:left="720" w:hanging="360"/>
        <w:jc w:val="both"/>
        <w:rPr>
          <w:rFonts w:ascii="Poppins" w:cs="Poppins" w:eastAsia="Poppins" w:hAnsi="Poppins"/>
          <w:sz w:val="24"/>
          <w:szCs w:val="24"/>
          <w:u w:val="none"/>
        </w:rPr>
      </w:pPr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Que o(s) alvará(s) de levantamento, e, se necessário, a(s) RPV(s) complementar(es) seja(m) expedida(as) em nome do(a) cessionário(a), ora beneficiário(a) do(s) crédito(s), nos seguintes termos:</w:t>
      </w:r>
    </w:p>
    <w:p w:rsidR="00000000" w:rsidDel="00000000" w:rsidP="00000000" w:rsidRDefault="00000000" w:rsidRPr="00000000" w14:paraId="0000002A">
      <w:pPr>
        <w:spacing w:after="200" w:line="360" w:lineRule="auto"/>
        <w:ind w:left="0" w:firstLine="0"/>
        <w:jc w:val="center"/>
        <w:rPr>
          <w:rFonts w:ascii="Poppins" w:cs="Poppins" w:eastAsia="Poppins" w:hAnsi="Poppins"/>
          <w:b w:val="1"/>
          <w:bCs w:val="1"/>
          <w:sz w:val="24"/>
          <w:szCs w:val="24"/>
        </w:rPr>
      </w:pPr>
      <w:r w:rsidDel="00000000" w:rsidR="00000000" w:rsidRPr="00000000"/>
      <w:r w:rsidDel="00000000" w:rsidR="00000000" w:rsidRPr="00000000">
        <w:rPr>
          <w:rFonts w:ascii="Poppins" w:cs="Poppins" w:eastAsia="Poppins" w:hAnsi="Poppins"/>
          <w:b w:val="1"/>
          <w:bCs w:val="1"/>
          <w:sz w:val="24"/>
          <w:szCs w:val="24"/>
          <w:rtl w:val="0"/>
        </w:rPr>
        <w:t xml:space="preserve">{{DADOS_BANCARIOS}} </w:t>
      </w:r>
      <w:r w:rsidDel="00000000" w:rsidR="00000000" w:rsidRPr="0000000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numPr>
          <w:ilvl w:val="0"/>
          <w:numId w:val="3"/>
        </w:numPr>
        <w:spacing w:after="200" w:line="360" w:lineRule="auto"/>
        <w:ind w:left="720" w:hanging="360"/>
        <w:jc w:val="both"/>
        <w:rPr>
          <w:rFonts w:ascii="Poppins" w:cs="Poppins" w:eastAsia="Poppins" w:hAnsi="Poppins"/>
          <w:sz w:val="24"/>
          <w:szCs w:val="24"/>
          <w:u w:val="none"/>
        </w:rPr>
      </w:pPr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Subsidiariamente, apenas na hipótese de se entender pela necessidade de expedição de RPV(s) complementar(es), que esta siga exclusivamente o regime do CPC, com disponibilização do valor no prazo máximo de 60 (sessenta) dias, sob pena de constrição e adoção das medidas executivas cabíveis.</w:t>
      </w:r>
    </w:p>
    <w:p w:rsidR="00000000" w:rsidDel="00000000" w:rsidP="00000000" w:rsidRDefault="00000000" w:rsidRPr="00000000" w14:paraId="0000002C">
      <w:pPr>
        <w:spacing w:after="200" w:line="360" w:lineRule="auto"/>
        <w:ind w:left="720" w:firstLine="0"/>
        <w:jc w:val="both"/>
        <w:rPr>
          <w:rFonts w:ascii="Poppins" w:cs="Poppins" w:eastAsia="Poppins" w:hAnsi="Poppins"/>
          <w:sz w:val="24"/>
          <w:szCs w:val="24"/>
        </w:rPr>
      </w:pPr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E, ato contínuo, que a expedição dos documentos seja realizada nos mesmos termos dos dados já informados no item supra.</w:t>
      </w:r>
    </w:p>
    <w:p w:rsidR="00000000" w:rsidDel="00000000" w:rsidP="00000000" w:rsidRDefault="00000000" w:rsidRPr="00000000" w14:paraId="0000002D">
      <w:pPr>
        <w:spacing w:after="200" w:line="360" w:lineRule="auto"/>
        <w:ind w:left="0" w:firstLine="0"/>
        <w:jc w:val="both"/>
        <w:rPr>
          <w:rFonts w:ascii="Poppins" w:cs="Poppins" w:eastAsia="Poppins" w:hAnsi="Poppin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spacing w:after="200" w:line="360" w:lineRule="auto"/>
        <w:jc w:val="center"/>
        <w:rPr>
          <w:rFonts w:ascii="Poppins" w:cs="Poppins" w:eastAsia="Poppins" w:hAnsi="Poppins"/>
          <w:sz w:val="24"/>
          <w:szCs w:val="24"/>
        </w:rPr>
      </w:pPr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Neste termos, pede deferimento. </w:t>
        <w:br w:type="textWrapping"/>
        <w:t xml:space="preserve">Belo Horizonte, data da assinatura eletrônica.</w:t>
      </w:r>
    </w:p>
    <w:p w:rsidR="00000000" w:rsidDel="00000000" w:rsidP="00000000" w:rsidRDefault="00000000" w:rsidRPr="00000000" w14:paraId="0000002F">
      <w:pPr>
        <w:spacing w:after="200" w:line="360" w:lineRule="auto"/>
        <w:jc w:val="center"/>
        <w:rPr>
          <w:rFonts w:ascii="Poppins" w:cs="Poppins" w:eastAsia="Poppins" w:hAnsi="Poppins"/>
          <w:sz w:val="24"/>
          <w:szCs w:val="24"/>
        </w:rPr>
      </w:pPr>
      <w:r w:rsidDel="00000000" w:rsidR="00000000" w:rsidRPr="00000000">
        <w:rPr>
          <w:rFonts w:ascii="Poppins" w:cs="Poppins" w:eastAsia="Poppins" w:hAnsi="Poppins"/>
          <w:b w:val="1"/>
          <w:bCs w:val="1"/>
          <w:sz w:val="24"/>
          <w:szCs w:val="24"/>
          <w:rtl w:val="0"/>
        </w:rPr>
        <w:t xml:space="preserve">Pedro Carrara Avilés</w:t>
        <w:br w:type="textWrapping"/>
        <w:t xml:space="preserve">OAB/GO n.º 76.236</w:t>
      </w:r>
      <w:r w:rsidDel="00000000" w:rsidR="00000000" w:rsidRPr="00000000">
        <w:rPr>
          <w:rtl w:val="0"/>
        </w:rPr>
      </w:r>
    </w:p>
    <w:sectPr>
      <w:headerReference r:id="rId6" w:type="default"/>
      <w:pgSz w:h="16838" w:w="11906" w:orient="portrait"/>
      <w:pgMar w:bottom="1984.2519685039372" w:top="2267.716535433071" w:left="1133.8582677165355" w:right="1133.8582677165355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Poppins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0">
    <w:pPr>
      <w:rPr/>
    </w:pPr>
    <w:r w:rsidDel="00000000" w:rsidR="00000000" w:rsidRPr="00000000">
      <w:rPr/>
      <w:pict>
        <v:shape id="WordPictureWatermark1" style="position:absolute;width:595.125pt;height:842.8313492063493pt;rotation:0;z-index:-503316481;mso-position-horizontal-relative:margin;mso-position-horizontal:absolute;margin-left:-56.69291338582678pt;mso-position-vertical-relative:margin;mso-position-vertical:absolute;margin-top:-113.38582677165356pt;" alt="" type="#_x0000_t75">
          <v:imagedata cropbottom="0f" cropleft="0f" cropright="0f" croptop="0f" r:id="rId1" o:title="image1.jpg"/>
        </v:shape>
      </w:pic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isplayBackgroundShape w:val="1"/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pt_BR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Poppins-regular.ttf"/><Relationship Id="rId2" Type="http://schemas.openxmlformats.org/officeDocument/2006/relationships/font" Target="fonts/Poppins-bold.ttf"/><Relationship Id="rId3" Type="http://schemas.openxmlformats.org/officeDocument/2006/relationships/font" Target="fonts/Poppins-italic.ttf"/><Relationship Id="rId4" Type="http://schemas.openxmlformats.org/officeDocument/2006/relationships/font" Target="fonts/Poppins-boldItalic.ttf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[ENDEREÇAMENTO DO JUÍZO]">
    <vt:lpwstr>[ENDEREÇAMENTO DO JUÍZO]</vt:lpwstr>
  </property>
  <property fmtid="{D5CDD505-2E9C-101B-9397-08002B2CF9AE}" pid="3" name="[NÚMERO DO PROCESSO]">
    <vt:lpwstr>[NÚMERO DO PROCESSO]</vt:lpwstr>
  </property>
  <property fmtid="{D5CDD505-2E9C-101B-9397-08002B2CF9AE}" pid="4" name="[NOME DO CESSIONÁRIO]">
    <vt:lpwstr>[NOME DO CESSIONÁRIO]</vt:lpwstr>
  </property>
  <property fmtid="{D5CDD505-2E9C-101B-9397-08002B2CF9AE}" pid="5" name="[qualificação do cessionário]">
    <vt:lpwstr>[qualificação do cessionário]</vt:lpwstr>
  </property>
  <property fmtid="{D5CDD505-2E9C-101B-9397-08002B2CF9AE}" pid="6" name="[sentença, decisão]">
    <vt:lpwstr>[sentença, decisão]</vt:lpwstr>
  </property>
  <property fmtid="{D5CDD505-2E9C-101B-9397-08002B2CF9AE}" pid="7" name="[de procedência, de parcial procedência, homologatória]">
    <vt:lpwstr>[de procedência, de parcial procedência, homologatória]</vt:lpwstr>
  </property>
  <property fmtid="{D5CDD505-2E9C-101B-9397-08002B2CF9AE}" pid="8" name="[data do trânsito em julgado]">
    <vt:lpwstr>[data do trânsito em julgado]</vt:lpwstr>
  </property>
  <property fmtid="{D5CDD505-2E9C-101B-9397-08002B2CF9AE}" pid="9" name="[evento, ID etc. do cálculo homologado]">
    <vt:lpwstr>[evento, ID etc. do cálculo homologado]</vt:lpwstr>
  </property>
  <property fmtid="{D5CDD505-2E9C-101B-9397-08002B2CF9AE}" pid="10" name="[exequente, executado ou Contadoria Judicial]">
    <vt:lpwstr>[exequente, executado ou Contadoria Judicial]</vt:lpwstr>
  </property>
  <property fmtid="{D5CDD505-2E9C-101B-9397-08002B2CF9AE}" pid="11" name="[ID, evento da decisão homologatória de cálculos]">
    <vt:lpwstr>[ID, evento da decisão homologatória de cálculos]</vt:lpwstr>
  </property>
  <property fmtid="{D5CDD505-2E9C-101B-9397-08002B2CF9AE}" pid="12" name="[data-base do cálculo homologado]">
    <vt:lpwstr>[data-base do cálculo homologado]</vt:lpwstr>
  </property>
  <property fmtid="{D5CDD505-2E9C-101B-9397-08002B2CF9AE}" pid="13" name="[data de expedição da RPV]">
    <vt:lpwstr>[data de expedição da RPV]</vt:lpwstr>
  </property>
  <property fmtid="{D5CDD505-2E9C-101B-9397-08002B2CF9AE}" pid="14" name="[valor atualizado]">
    <vt:lpwstr>[valor atualizado]</vt:lpwstr>
  </property>
  <property fmtid="{D5CDD505-2E9C-101B-9397-08002B2CF9AE}" pid="15" name="[valor pago]">
    <vt:lpwstr>[valor pago]</vt:lpwstr>
  </property>
  <property fmtid="{D5CDD505-2E9C-101B-9397-08002B2CF9AE}" pid="16" name="[diferença]">
    <vt:lpwstr>[diferença]</vt:lpwstr>
  </property>
  <property fmtid="{D5CDD505-2E9C-101B-9397-08002B2CF9AE}" pid="17" name="[DADOS BANCÁRIOS DO CESSIONÁRIO]">
    <vt:lpwstr>[DADOS BANCÁRIOS DO CESSIONÁRIO]</vt:lpwstr>
  </property>
</Properties>
</file>