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presente cumprimento de sentença, houve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do(s)  crédito(s) judicial(is) de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{{CREDITOS_CEDIDOS}}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regularmente homologada(s) por este Juízo em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{{DATA_HOMOLOGACAO}}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do crédito.</w:t>
      </w:r>
    </w:p>
    <w:p w:rsidR="00000000" w:rsidDel="00000000" w:rsidP="00000000" w:rsidRDefault="00000000" w:rsidRPr="00000000" w14:paraId="00000007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 sua vez, a(s) Requisição(ões) de Pequeno Valor foi(oram) expedida(as) em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{{DATA_EXPEDICAO}}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Considerando que se encerrou o prazo legal de 60 (sessenta) dias para o pagamento da(s) RPV(s), nos termos do art. 13, inciso I, da Lei nº 12.153/2009, sem que tenha havido a devida quitação até o presente momento, resta plenamente caracterizado o inadimplemento da(s) obrigação(ões) por parte do ente devedor.</w:t>
      </w:r>
    </w:p>
    <w:p w:rsidR="00000000" w:rsidDel="00000000" w:rsidP="00000000" w:rsidRDefault="00000000" w:rsidRPr="00000000" w14:paraId="00000009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commentRangeStart w:id="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Ressalte-se que, conforme amplamente divulgado por meio do Ofício-Circular nº 768/2025 da Presidência do TJGO, bem como por determinação do Conselho Nacional de Justiça no PCA nº 0006500-38.2025.2.00.0000, restaram suspensos as cláusulas que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condicionavam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pagamento das RPVs à disponibilidade orçamentária e que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vedavam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adoção de medidas constritivas do Convênio nº 02/2023.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Assim, superado o prazo legal para pagamento e inexistindo óbice jurídico à adoção de medidas executivas, mostra-se cabível a determinação de sequestro de valores, como meio de assegurar a efetividade da tutela jurisdicional e o cumprimento da decisão judicial transitada em julgado.</w:t>
      </w:r>
    </w:p>
    <w:p w:rsidR="00000000" w:rsidDel="00000000" w:rsidP="00000000" w:rsidRDefault="00000000" w:rsidRPr="00000000" w14:paraId="0000000B">
      <w:pPr>
        <w:spacing w:after="200" w:before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do exposto, requer, cordialmente, o reconhecimento da mora do EXECUTADO quanto ao pagamento da(s) RPV(s) expedida(s), bem como determinada a expedição de ordem de sequestro/bloqueio de valores por penhora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u w:val="single"/>
          <w:rtl w:val="0"/>
        </w:rPr>
        <w:t xml:space="preserve">online</w:t>
      </w: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, até o limite do valor total requisitado, com a devida vinculação do numerário ao presente feito em favor do(a) cessionário(a).</w:t>
      </w:r>
    </w:p>
    <w:p w:rsidR="00000000" w:rsidDel="00000000" w:rsidP="00000000" w:rsidRDefault="00000000" w:rsidRPr="00000000" w14:paraId="0000000C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Requer, ainda, caso o bloqueio inicial se mostre insuficiente, a reiteração da ordem em horários alternados e junto às diversas contas do ente executado, até a integral satisfação do crédito judicial.</w:t>
      </w:r>
    </w:p>
    <w:p w:rsidR="00000000" w:rsidDel="00000000" w:rsidP="00000000" w:rsidRDefault="00000000" w:rsidRPr="00000000" w14:paraId="0000000D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 oportunidade, efetuado o bloqueio do montante nas contas estatais, solicita-se desde já, cordialmente, que os valores sejam levantados em nome da parte beneficiária.</w:t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11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7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edijuris" w:id="0" w:date="2026-04-10T04:19:31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a entidade devedora não for o Estado de Goiás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[DADOS BANCÁRIOS DO CESSIONÁRIO]</vt:lpwstr>
  </property>
</Properties>
</file>