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DA 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{{NOME_CESSIONARIO}}, já qualificado(a) nos autos em epígrafe, vem respeitosamente, por intermédio de seu procurador in fine assinado, manifestar nos seguintes termos.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</w:p>
    <w:p w:rsidR="00000000" w:rsidDel="00000000" w:rsidP="00000000" w:rsidRDefault="00000000" w:rsidRPr="00000000" w14:paraId="00000006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No presente cumprimento de sentença, houve a cessão integral do(s)  crédito(s) judicial(is) de {{CREDITOS_CEDIDOS}}, regularmente homologada(s) por este Juízo em {{DATA_HOMOLOGACAO}}, com a consequente substituição da titularidade do crédito.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</w:p>
    <w:p w:rsidR="00000000" w:rsidDel="00000000" w:rsidP="00000000" w:rsidRDefault="00000000" w:rsidRPr="00000000" w14:paraId="00000007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 sua vez, a(s) Requisição(ões) de Pequeno Valor foi(oram) expedida(as) em {{DATA_EXPEDICAO}}.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</w:p>
    <w:p w:rsidR="00000000" w:rsidDel="00000000" w:rsidP="00000000" w:rsidRDefault="00000000" w:rsidRPr="00000000" w14:paraId="00000008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Considerando que se encerrou o prazo legal de 60 (sessenta) dias para o pagamento da(s) RPV(s), nos termos do art. 13, inciso I, da Lei nº 12.153/2009, sem que tenha havido a devida quitação até o presente momento, resta plenamente caracterizado o inadimplemento da(s) obrigação(ões) por parte do ente devedor.</w:t>
      </w:r>
    </w:p>
    <w:p w:rsidR="00000000" w:rsidDel="00000000" w:rsidP="00000000" w:rsidRDefault="00000000" w:rsidRPr="00000000" w14:paraId="00000009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commentRangeStart w:id="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Ressalte-se que, conforme amplamente divulgado por meio do Ofício-Circular nº 768/2025 da Presidência do TJGO, bem como por determinação do Conselho Nacional de Justiça no PCA nº 0006500-38.2025.2.00.0000, restaram suspensos as cláusulas que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condicionavam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o pagamento das RPVs à disponibilidade orçamentária e que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vedavam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adoção de medidas constritivas do Convênio nº 02/2023.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Assim, superado o prazo legal para pagamento e inexistindo óbice jurídico à adoção de medidas executivas, mostra-se cabível a determinação de sequestro de valores, como meio de assegurar a efetividade da tutela jurisdicional e o cumprimento da decisão judicial transitada em julgado.</w:t>
      </w:r>
    </w:p>
    <w:p w:rsidR="00000000" w:rsidDel="00000000" w:rsidP="00000000" w:rsidRDefault="00000000" w:rsidRPr="00000000" w14:paraId="0000000B">
      <w:pPr>
        <w:spacing w:after="200" w:before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do exposto, requer, cordialmente, o reconhecimento da mora do EXECUTADO quanto ao pagamento da(s) RPV(s) expedida(s), bem como determinada a expedição de ordem de sequestro/bloqueio de valores por penhora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u w:val="single"/>
          <w:rtl w:val="0"/>
        </w:rPr>
        <w:t xml:space="preserve">online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, até o limite do valor total requisitado, com a devida vinculação do numerário ao presente feito em favor do(a) cessionário(a).</w:t>
      </w:r>
    </w:p>
    <w:p w:rsidR="00000000" w:rsidDel="00000000" w:rsidP="00000000" w:rsidRDefault="00000000" w:rsidRPr="00000000" w14:paraId="0000000C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Requer, ainda, caso o bloqueio inicial se mostre insuficiente, a reiteração da ordem em horários alternados e junto às diversas contas do ente executado, até a integral satisfação do crédito judicial.</w:t>
      </w:r>
    </w:p>
    <w:p w:rsidR="00000000" w:rsidDel="00000000" w:rsidP="00000000" w:rsidRDefault="00000000" w:rsidRPr="00000000" w14:paraId="0000000D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Na oportunidade, efetuado o bloqueio do montante nas contas estatais, solicita-se desde já, cordialmente, que os valores sejam levantados em nome da parte beneficiária.</w:t>
      </w:r>
    </w:p>
    <w:p w:rsidR="00000000" w:rsidDel="00000000" w:rsidP="00000000" w:rsidRDefault="00000000" w:rsidRPr="00000000" w14:paraId="0000000E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11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7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redijuris" w:id="0" w:date="2026-04-10T04:19:31Z"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Retirar a entidade devedora não for o Estado de Goiás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[DADOS BANCÁRIOS DO CESSIONÁRIO]</vt:lpwstr>
  </property>
</Properties>
</file>