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DA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cumprimento de sentença, operou-se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 do crédito principal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ea9999" w:val="clear"/>
          <w:rtl w:val="0"/>
        </w:rPr>
        <w:t xml:space="preserve">e honorários advocatícios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qual foi regularmente homologada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de todo o objeto da lide. Nesse sentido, o antigo patrono da parte não mais integra a relação jurídica processual.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Todavia, verifica-se que, mesmo ciente de sua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d966" w:val="clear"/>
          <w:rtl w:val="0"/>
        </w:rPr>
        <w:t xml:space="preserve">ilegitimidade para atuar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, o ex-patrono protocolou petição no nº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{{NUMERO_EVENTO}}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 requerendo a transferência dos valores bloqueados para conta bancária de sua titularidade, conduta que ocasiona grave tumulto processual e contribui significativamente para o retardamento da satisfação do crédito exequendo.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disso, requer-se,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desconsideração de qualquer manifestação ou requerimento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 protocolado pela referida parte, em razão da manifesta ausência de legitimidade e capacidade postulatória no presente feito.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fim, para evitar qualquer equívoco operacional, reitera-se que eventual levantamento dos valores constritos deverá observar exclusivamente os dados bancários do cessionário, quais sejam: </w:t>
      </w:r>
    </w:p>
    <w:p w:rsidR="00000000" w:rsidDel="00000000" w:rsidP="00000000" w:rsidRDefault="00000000" w:rsidRPr="00000000" w14:paraId="0000000B">
      <w:pPr>
        <w:spacing w:after="200" w:before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JUIZADO DAS FAZENDAS PÚBLICAS DA COMARCA DE ITUMBIARA/GO  </vt:lpwstr>
  </property>
  <property fmtid="{D5CDD505-2E9C-101B-9397-08002B2CF9AE}" pid="3" name="[NÚMERO DO PROCESSO]">
    <vt:lpwstr>5229448-16.2024.8.09.0087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principal e honorários contratuais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TITULAR: MATHEUS PRADO DE PAULA; CPF: 112.723.076-03; BANCO: BANCO SANTANDER; AGÊNCIA: 3471; CONTA CORRENTE: 01095465-1  </vt:lpwstr>
  </property>
  <property fmtid="{D5CDD505-2E9C-101B-9397-08002B2CF9AE}" pid="10" name="[nº do evento]">
    <vt:lpwstr>[nº do evento]</vt:lpwstr>
  </property>
</Properties>
</file>