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DA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já qualificado(a) nos autos em epígrafe,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No presente cumprimento de sentença, houve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cessão integral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do(s)  crédito(s) judicial(is) de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{{CREDITOS_CEDIDOS}}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regularmente homologada(s) por este Juízo em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{{DATA_HOMOLOGACAO}}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a consequente substituição da titularidade do crédito.</w:t>
      </w:r>
    </w:p>
    <w:p w:rsidR="00000000" w:rsidDel="00000000" w:rsidP="00000000" w:rsidRDefault="00000000" w:rsidRPr="00000000" w14:paraId="00000007">
      <w:pPr>
        <w:spacing w:after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Por sua vez, a(s) Requisição(ões) de Pequeno Valor foi(oram) expedida(as) em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{{DATA_EXPEDICAO}}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Considerando que se encerrou o prazo legal de 60 (sessenta) dias para o pagamento da(s) RPV(s), nos termos do art. 13, inciso I, da Lei nº 12.153/2009, sem que tenha havido a devida quitação até o presente momento, resta plenamente caracterizado o inadimplemento da(s) obrigação(ões) por parte do ente devedor.</w:t>
      </w:r>
    </w:p>
    <w:p w:rsidR="00000000" w:rsidDel="00000000" w:rsidP="00000000" w:rsidRDefault="00000000" w:rsidRPr="00000000" w14:paraId="00000009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commentRangeStart w:id="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Ressalte-se que, conforme amplamente divulgado por meio do Ofício-Circular nº 768/2025 da Presidência do TJGO, bem como por determinação do Conselho Nacional de Justiça no PCA nº 0006500-38.2025.2.00.0000, restaram suspensos as cláusulas que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condicionavam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o pagamento das RPVs à disponibilidade orçamentária e que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vedavam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 adoção de medidas constritivas do Convênio nº 02/2023.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Assim, superado o prazo legal para pagamento e inexistindo óbice jurídico à adoção de medidas executivas, mostra-se cabível a determinação de sequestro de valores, como meio de assegurar a efetividade da tutela jurisdicional e o cumprimento da decisão judicial transitada em julgado.</w:t>
      </w:r>
    </w:p>
    <w:p w:rsidR="00000000" w:rsidDel="00000000" w:rsidP="00000000" w:rsidRDefault="00000000" w:rsidRPr="00000000" w14:paraId="0000000B">
      <w:pPr>
        <w:spacing w:after="200" w:before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  <w:u w:val="singl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Diante do exposto, requer, cordialmente, o reconhecimento da mora do EXECUTADO quanto ao pagamento da(s) RPV(s) expedida(s), bem como determinada a expedição de ordem de sequestro/bloqueio de valores por penhora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u w:val="single"/>
          <w:rtl w:val="0"/>
        </w:rPr>
        <w:t xml:space="preserve">online</w:t>
      </w: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, até o limite do valor total requisitado, com a devida vinculação do numerário ao presente feito em favor do(a) cessionário(a).</w:t>
      </w:r>
    </w:p>
    <w:p w:rsidR="00000000" w:rsidDel="00000000" w:rsidP="00000000" w:rsidRDefault="00000000" w:rsidRPr="00000000" w14:paraId="0000000C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Requer, ainda, caso o bloqueio inicial se mostre insuficiente, a reiteração da ordem em horários alternados e junto às diversas contas do ente executado, até a integral satisfação do crédito judicial.</w:t>
      </w:r>
    </w:p>
    <w:p w:rsidR="00000000" w:rsidDel="00000000" w:rsidP="00000000" w:rsidRDefault="00000000" w:rsidRPr="00000000" w14:paraId="0000000D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Na oportunidade, efetuado o bloqueio do montante nas contas estatais, solicita-se desde já, cordialmente, que os valores sejam levantados em nome da parte beneficiária.</w:t>
      </w:r>
    </w:p>
    <w:p w:rsidR="00000000" w:rsidDel="00000000" w:rsidP="00000000" w:rsidRDefault="00000000" w:rsidRPr="00000000" w14:paraId="0000000E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before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Nestes termos, pede deferimento.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11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nº 76.236</w:t>
      </w:r>
    </w:p>
    <w:sectPr>
      <w:headerReference r:id="rId7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Credijuris" w:id="0" w:date="2026-04-10T04:19:31Z"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Retirar a entidade devedora não for o Estado de Goiás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crédito principal, honorários contratuais, honorários sucumbenciais]">
    <vt:lpwstr>[crédito principal, honorários contratuais, honorários sucumbenciais]</vt:lpwstr>
  </property>
  <property fmtid="{D5CDD505-2E9C-101B-9397-08002B2CF9AE}" pid="7" name="[data da homologação]">
    <vt:lpwstr>[data da homologação]</vt:lpwstr>
  </property>
  <property fmtid="{D5CDD505-2E9C-101B-9397-08002B2CF9AE}" pid="8" name="[data da expedição]">
    <vt:lpwstr>[data da expedição]</vt:lpwstr>
  </property>
  <property fmtid="{D5CDD505-2E9C-101B-9397-08002B2CF9AE}" pid="9" name="[DADOS BANCÁRIOS DO CESSIONÁRIO]">
    <vt:lpwstr>[DADOS BANCÁRIOS DO CESSIONÁRIO]</vt:lpwstr>
  </property>
</Properties>
</file>