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Em cumprimento à decisão proferida, requer a juntada, aos autos, do(s) contrato(s) de cessão de crédito, devidamente registrado(s) no cartório competente, em conformidade com o disposto no art. 129, 10º, da Lei nº 6.015/1973 (Lei de Registros Públicos).</w:t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Na oportunidade, solicita-se, ainda, que os pedidos da petição de homologação e substituição processual sejam analisados.</w:t>
      </w:r>
    </w:p>
    <w:p w:rsidR="00000000" w:rsidDel="00000000" w:rsidP="00000000" w:rsidRDefault="00000000" w:rsidRPr="00000000" w14:paraId="0000000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A">
      <w:pPr>
        <w:spacing w:after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</Properties>
</file>