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20"/>
        <w:jc w:val="center"/>
      </w:pPr>
      <w:r>
        <w:rPr>
          <w:rFonts w:ascii="Calibri" w:hAnsi="Calibri"/>
          <w:b/>
          <w:color w:val="2E74B5"/>
          <w:sz w:val="21"/>
        </w:rPr>
        <w:t>FLEXGCC OUTREACH</w:t>
      </w:r>
    </w:p>
    <w:p>
      <w:pPr>
        <w:pStyle w:val="Title"/>
        <w:jc w:val="center"/>
      </w:pPr>
      <w:r>
        <w:t>Product Overview</w:t>
      </w:r>
    </w:p>
    <w:p>
      <w:pPr>
        <w:pStyle w:val="Subtitle"/>
        <w:jc w:val="center"/>
      </w:pPr>
      <w:r>
        <w:t>What the product does, how its workflow fits together, and what it enables</w:t>
      </w:r>
    </w:p>
    <w:p>
      <w:pPr>
        <w:spacing w:before="520" w:after="120"/>
        <w:jc w:val="center"/>
      </w:pPr>
      <w:r>
        <w:rPr>
          <w:rFonts w:ascii="Calibri" w:hAnsi="Calibri"/>
          <w:i/>
          <w:color w:val="5B6573"/>
          <w:sz w:val="22"/>
        </w:rPr>
        <w:t>Prepared for founders, business owners, product managers, operations leaders, and incoming delivery teams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20"/>
        </w:rPr>
        <w:t>Version 1.0  |  Baseline 2 September 2026</w:t>
      </w:r>
    </w:p>
    <w:p>
      <w:pPr>
        <w:spacing w:after="40"/>
        <w:jc w:val="center"/>
      </w:pPr>
      <w:r>
        <w:rPr>
          <w:rFonts w:ascii="Calibri" w:hAnsi="Calibri"/>
          <w:color w:val="5B6573"/>
          <w:sz w:val="19"/>
        </w:rPr>
        <w:t>Production baseline commit 2f634ab53dbb</w:t>
      </w:r>
    </w:p>
    <w:p>
      <w:pPr>
        <w:spacing w:before="760" w:after="60"/>
        <w:jc w:val="center"/>
      </w:pPr>
      <w:hyperlink r:id="rId11">
        <w:r>
          <w:rPr>
            <w:rFonts w:ascii="Calibri" w:hAnsi="Calibri"/>
            <w:color w:val="2E74B5"/>
            <w:u w:val="single"/>
            <w:b/>
          </w:rPr>
          <w:t>Open FlexGCC Outreach</w:t>
        </w:r>
      </w:hyperlink>
    </w:p>
    <w:p>
      <w:pPr>
        <w:jc w:val="center"/>
      </w:pPr>
      <w:hyperlink r:id="rId12">
        <w:r>
          <w:rPr>
            <w:rFonts w:ascii="Calibri" w:hAnsi="Calibri"/>
            <w:color w:val="2E74B5"/>
            <w:u w:val="single"/>
          </w:rPr>
          <w:t>Open the connected GitHub repository</w:t>
        </w:r>
      </w:hyperlink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Purpose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Provide a shared functional and operating-model description of FlexGCC Outreach.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Primary 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Product owner / engineering manager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Source baseline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Production-aligned main at 2f634ab53dbb, reviewed 2 September 2026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Review trigger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9"/>
              </w:rPr>
              <w:t>Any change to target users, business workflow, permissions, data model, major capability, or integration surface.</w:t>
            </w:r>
          </w:p>
        </w:tc>
      </w:tr>
    </w:tbl>
    <w:p>
      <w:pPr>
        <w:spacing w:before="0" w:after="20"/>
      </w:pPr>
    </w:p>
    <w:p>
      <w:pPr>
        <w:spacing w:before="120" w:after="160"/>
        <w:ind w:left="173" w:right="86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Scope: </w:t>
      </w:r>
      <w:r>
        <w:rPr>
          <w:rFonts w:ascii="Calibri" w:hAnsi="Calibri"/>
          <w:color w:val="111827"/>
        </w:rPr>
        <w:t>This document describes the product and checked-in operating model at the stated baseline. It contains no credentials. Production access, AWS resource identities, backup settings, and third-party account ownership must be verified during the formal handover.</w:t>
      </w:r>
    </w:p>
    <w:p>
      <w:pPr>
        <w:pStyle w:val="Heading1"/>
      </w:pPr>
      <w:r>
        <w:t>1. Executive overview</w:t>
      </w:r>
    </w:p>
    <w:p>
      <w:r>
        <w:rPr>
          <w:rFonts w:ascii="Calibri" w:hAnsi="Calibri"/>
          <w:i w:val="0"/>
          <w:color w:val="111827"/>
        </w:rPr>
        <w:t>FlexGCC Outreach is a role-based lead-generation and meeting-handoff application for consulting-firm prospects. It creates one controlled operating record from qualification through outreach, prospect response, founder escalation, meeting scheduling, and completion.</w:t>
      </w:r>
    </w:p>
    <w:p>
      <w:r>
        <w:rPr>
          <w:rFonts w:ascii="Calibri" w:hAnsi="Calibri"/>
          <w:i w:val="0"/>
          <w:color w:val="111827"/>
        </w:rPr>
        <w:t>The product addresses a coordination problem: several outreach channels can pursue the same market, but uncontrolled spreadsheets and personal notes create duplicate contact, weak ownership, missing follow-ups, and incomplete founder context. FlexGCC Outreach separates channel workstreams while linking them to one stable company identity.</w:t>
      </w:r>
    </w:p>
    <w:p>
      <w:pPr>
        <w:spacing w:before="120" w:after="160"/>
        <w:ind w:left="173" w:right="86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Product outcome: </w:t>
      </w:r>
      <w:r>
        <w:rPr>
          <w:rFonts w:ascii="Calibri" w:hAnsi="Calibri"/>
          <w:color w:val="111827"/>
        </w:rPr>
        <w:t>A manager can see who owns each prospect, what has happened, what happens next, and whether a founder has enough verified context for a productive meeting.</w:t>
      </w:r>
    </w:p>
    <w:p>
      <w:pPr>
        <w:pStyle w:val="Heading1"/>
      </w:pPr>
      <w:r>
        <w:t>2. Users and jobs to be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User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Job to be done</w:t>
            </w:r>
          </w:p>
        </w:tc>
        <w:tc>
          <w:tcPr>
            <w:tcW w:type="dxa" w:w="3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Product support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Sales intern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Turn an unresearched firm into a qualified, owned prospect and conduct approved outreach.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Role queue, claim, research fields, outreach history, next action, handoff.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Inside sales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Run a timed multi-channel cadence and convert responses into meetings.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Cadence-oriented activity records, due dates, status and meeting fields.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LinkedIn outreach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Use one founder account per prospect and escalate substantive replies safely.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Founder-account assignment, connection states, ordered activity types, escalation and handoff.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Manager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Allocate work, monitor execution, correct records, and manage pipeline flow.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All-workstream dashboard, owner filters, assignment, imports, exports, and full record access.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System admin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Control application access and preserve accountability.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Pre-provisioning, role assignment, disable/restore, and protected admin controls.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Founder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Receive a concise, factual handoff for qualified interest and meetings.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Structured materials, interest signals, questions, escalation notes, and meeting details.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3. End-to-end product workflow</w:t>
      </w:r>
    </w:p>
    <w:p>
      <w:pPr>
        <w:spacing w:before="80" w:after="160" w:line="252" w:lineRule="auto"/>
        <w:ind w:left="173" w:right="86"/>
        <w:shd w:fill="F7F8FA"/>
      </w:pPr>
      <w:r>
        <w:rPr>
          <w:rFonts w:ascii="Consolas" w:hAnsi="Consolas"/>
          <w:color w:val="273444"/>
          <w:sz w:val="17"/>
        </w:rPr>
        <w:t>Research required  →  Eligible  →  Contacted  →  Responded</w:t>
      </w:r>
      <w:r>
        <w:br/>
      </w:r>
      <w:r>
        <w:rPr>
          <w:rFonts w:ascii="Consolas" w:hAnsi="Consolas"/>
          <w:color w:val="273444"/>
          <w:sz w:val="17"/>
        </w:rPr>
        <w:t xml:space="preserve">                                              ↓</w:t>
      </w:r>
      <w:r>
        <w:br/>
      </w:r>
      <w:r>
        <w:rPr>
          <w:rFonts w:ascii="Consolas" w:hAnsi="Consolas"/>
          <w:color w:val="273444"/>
          <w:sz w:val="17"/>
        </w:rPr>
        <w:t>Closed  ←  Not interested     Interested  →  Founder meeting booked  →  Meeting completed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Ingest or create: add one prospect manually, load an approved target list, or import a three-column CSV.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Assign or claim: place the record in the correct workstream and make one person accountable.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Qualify: complete company, fit, evidence, and senior-contact research.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Outreach: perform communication outside the application and record up to five ordered activities.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Follow up: maintain the current outcome, one dated next action, and factual comments.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Capture interest: record material shared, prospect interest signals, and questions for founders.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Escalate and schedule: request founder attention when appropriate and record complete meeting details.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Close or complete: record not interested or meeting completed without losing the activity history.</w:t>
      </w:r>
    </w:p>
    <w:p>
      <w:pPr>
        <w:pStyle w:val="Heading1"/>
      </w:pPr>
      <w:r>
        <w:t>4. Core capabilities</w:t>
      </w:r>
    </w:p>
    <w:p>
      <w:pPr>
        <w:pStyle w:val="Heading2"/>
      </w:pPr>
      <w:r>
        <w:t>Prospect and company management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Stable company UUID across workstreams, with a distinct numeric prospect ID per workstream record.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Company profile, location, consulting focus, client segment, evidence, contacts, ownership, stage, status, and timestamps.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Within-workstream duplicate suppression based on normalized website domain and contact LinkedIn profile.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Frontline claiming and manager assignment, with role/workstream compatibility enforcement.</w:t>
      </w:r>
    </w:p>
    <w:p>
      <w:pPr>
        <w:pStyle w:val="Heading2"/>
      </w:pPr>
      <w:r>
        <w:t>Role-specific outreach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11827"/>
        </w:rPr>
        <w:t>Independent Sales intern, Inside sales, and LinkedIn outreach queues avoid accidental overlap while preserving company linkage.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11827"/>
        </w:rPr>
        <w:t>Up to five ordered outreach records with activity type, medium, actual date, response or factual notes, and recorder identity.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11827"/>
        </w:rPr>
        <w:t>Channel validation requires a matching email, phone, or LinkedIn contact detail.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11827"/>
        </w:rPr>
        <w:t>LinkedIn playbook enforces request, acceptance, post-acceptance activity, escalation, and handoff order.</w:t>
      </w:r>
    </w:p>
    <w:p>
      <w:pPr>
        <w:pStyle w:val="Heading2"/>
      </w:pPr>
      <w:r>
        <w:t>Pipeline and handoff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11827"/>
        </w:rPr>
        <w:t>Eight playbook stages and five outcome statuses express operational position and business result separately.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11827"/>
        </w:rPr>
        <w:t>Status-to-stage synchronization prevents meeting and close outcomes from remaining in an earlier pipeline stage.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11827"/>
        </w:rPr>
        <w:t>Next action and due date drive today, overdue, upcoming, and no-date work queues.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11827"/>
        </w:rPr>
        <w:t>Interest, material, questions, founder escalation, and meeting fields create a structured handoff rather than an unstructured comment trail.</w:t>
      </w:r>
    </w:p>
    <w:p>
      <w:pPr>
        <w:pStyle w:val="Heading2"/>
      </w:pPr>
      <w:r>
        <w:t>Bulk ingestion and safe undo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11827"/>
        </w:rPr>
        <w:t>UTF-8 CSV ingestion using exact Company Name, Website, and Area columns.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11827"/>
        </w:rPr>
        <w:t>Row-level validation and duplicate detection allow valid rows to succeed while ignored rows are listed with reasons.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11827"/>
        </w:rPr>
        <w:t>Batch history preserves input filename, uploader, workstream, owner, counts, results, and rollback state.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11827"/>
        </w:rPr>
        <w:t>Rollback deletes only unchanged records created by that batch and protects records that have been edited or used.</w:t>
      </w:r>
    </w:p>
    <w:p>
      <w:pPr>
        <w:pStyle w:val="Heading2"/>
      </w:pPr>
      <w:r>
        <w:t>Dashboards, export, and integrations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11827"/>
        </w:rPr>
        <w:t>Role-scoped dashboard, summary counts, search, due-date views, status and stage filters, ownership filters, and outreach-count filters.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11827"/>
        </w:rPr>
        <w:t>Role-scoped CSV and formatted XLSX company exports.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11827"/>
        </w:rPr>
        <w:t>Persistent bearer tokens with one-time display and user-controlled revocation.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11827"/>
        </w:rPr>
        <w:t>Purpose-specific APIs for company data, claim, prospect sent, founder LinkedIn, interest and handoff, follow-up, and outreach history.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11827"/>
        </w:rPr>
        <w:t>API audit records capture modifier, timestamp, previous values, and changed values.</w:t>
      </w:r>
    </w:p>
    <w:p>
      <w:pPr>
        <w:pStyle w:val="Heading1"/>
      </w:pPr>
      <w:r>
        <w:t>5. Permission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300"/>
        <w:gridCol w:w="2900"/>
        <w:gridCol w:w="2080"/>
        <w:gridCol w:w="208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Action</w:t>
            </w:r>
          </w:p>
        </w:tc>
        <w:tc>
          <w:tcPr>
            <w:tcW w:type="dxa" w:w="2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Frontline user</w:t>
            </w:r>
          </w:p>
        </w:tc>
        <w:tc>
          <w:tcPr>
            <w:tcW w:type="dxa" w:w="20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Manager</w:t>
            </w:r>
          </w:p>
        </w:tc>
        <w:tc>
          <w:tcPr>
            <w:tcW w:type="dxa" w:w="20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System admin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View prospects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Owned plus unassigned queue in own class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All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All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Claim unassigned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 role queue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No; assigns directly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No; assigns directly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Create / edit prospect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 workstream; must own to edit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workstream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workstream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Add / edit outreach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Owned prospect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prospect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prospect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Bulk import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 workstream and self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workstream; optional owner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workstream; optional owner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Rollback import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 visible batch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batch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batch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Export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Scoped data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All visible data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All visible data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Use API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Owned records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record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Any record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Manage users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No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Yes</w:t>
            </w:r>
          </w:p>
        </w:tc>
      </w:tr>
    </w:tbl>
    <w:p>
      <w:pPr>
        <w:spacing w:before="0" w:after="20"/>
      </w:pPr>
    </w:p>
    <w:p>
      <w:r>
        <w:rPr>
          <w:rFonts w:ascii="Calibri" w:hAnsi="Calibri"/>
          <w:i w:val="0"/>
          <w:color w:val="111827"/>
        </w:rPr>
        <w:t>Manager permissions include system administrators because the application treats both as supervisory users for prospect access. User lifecycle management remains restricted to the System admin role.</w:t>
      </w:r>
    </w:p>
    <w:p>
      <w:pPr>
        <w:pStyle w:val="Heading1"/>
      </w:pPr>
      <w:r>
        <w:t>6. Product data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000"/>
        <w:gridCol w:w="3300"/>
        <w:gridCol w:w="40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Entity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  <w:tc>
          <w:tcPr>
            <w:tcW w:type="dxa" w:w="4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Key relationships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User / Profile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Identity, active state, and one of five application roles.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Owns prospects, records outreach, imports batches, modifies API data.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CompanyIdentity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Immutable UUID and normalized website key for the real company.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One company identity to one or more workstream prospects.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Prospect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Operational lead record for one company in one workstream.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Company, optional owner, creator, outreach history, imports, API audits.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Outreach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One ordered historical activity, numbered 1 through 5.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Belongs to a prospect; records the entering user.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ProspectImportBatch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One bulk CSV operation and its results/rollback state.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Uploader, optional owner, and created prospects.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API access 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Persistent credential stored only as a SHA-256 hash.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Belongs to one user; carries that user's role scope.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Update audit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Before/after trace for successful API changes.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Separate company, prospect, and outreach audit models.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7. Important business rules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A prospect owner must be a frontline user and must have the same class as the prospect workstream.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A prospect outside Research required needs at least one contact method.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Saving a qualified Research required record through the browser advances it to Eligible.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Non-LinkedIn prospects cannot retain founder-account or LinkedIn workflow fields.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LinkedIn prospects outside research require a LinkedIn contact URL, founder account, connection status, and factual personalization.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Next action and next-action date are an inseparable pair.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Meeting scheduled requires date/time, time zone, and participants.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Not interested, Meeting to be scheduled, Meeting scheduled, and Meeting done each synchronize to the corresponding later stage.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Outreach date cannot be future and the selected medium requires its matching contact detail.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Outreach history is limited to five records; identity and sequence cannot be changed or deleted through the API.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11827"/>
        </w:rPr>
        <w:t>Prospect sent and Is not eligible are independent flags and do not silently alter stage or outcome status.</w:t>
      </w:r>
    </w:p>
    <w:p>
      <w:pPr>
        <w:pStyle w:val="Heading1"/>
      </w:pPr>
      <w:r>
        <w:t>8. Integration surface</w:t>
      </w:r>
    </w:p>
    <w:p>
      <w:r>
        <w:rPr>
          <w:rFonts w:ascii="Calibri" w:hAnsi="Calibri"/>
          <w:i w:val="0"/>
          <w:color w:val="111827"/>
        </w:rPr>
        <w:t>The API follows the same role scope as the browser. Managers and system administrators can access any record; a frontline token can access an owned prospect. Each new token remains active until revoked and is shown in full only once.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500"/>
        <w:gridCol w:w="1600"/>
        <w:gridCol w:w="52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Capability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Methods</w:t>
            </w:r>
          </w:p>
        </w:tc>
        <w:tc>
          <w:tcPr>
            <w:tcW w:type="dxa" w:w="5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 pattern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Company details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/api/v1/companies/&lt;company_uuid&gt;/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Claim company prospect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/api/v1/companies/&lt;company_uuid&gt;/claim/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General prospect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/api/v1/prospects/&lt;prospect_id&gt;/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Prospect sent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/api/v1/prospects/&lt;prospect_id&gt;/prospect-sent/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Founder LinkedIn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/api/v1/prospects/&lt;prospect_id&gt;/founder-linkedin/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Interest and handoff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/api/v1/prospects/&lt;prospect_id&gt;/interest-handoff/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Follow-up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/api/v1/prospects/&lt;prospect_id&gt;/follow-up/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Outreach list/create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POST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/api/v1/prospects/&lt;prospect_id&gt;/outreaches/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Outreach detail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GET, PATCH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7"/>
              </w:rPr>
              <w:t>/api/v1/outreaches/&lt;outreach_id&gt;/</w:t>
            </w:r>
          </w:p>
        </w:tc>
      </w:tr>
    </w:tbl>
    <w:p>
      <w:pPr>
        <w:spacing w:before="0" w:after="20"/>
      </w:pPr>
    </w:p>
    <w:p>
      <w:r>
        <w:rPr>
          <w:rFonts w:ascii="Calibri" w:hAnsi="Calibri"/>
          <w:i w:val="0"/>
          <w:color w:val="111827"/>
        </w:rPr>
        <w:t>The in-product API access page contains a separate guide for each workflow API, including input types, exact dropdown values, validation rules, and executable curl examples. A legacy one-time refresh-token exchange remains for credentials issued by the previous token system.</w:t>
      </w:r>
    </w:p>
    <w:p>
      <w:pPr>
        <w:pStyle w:val="Heading1"/>
      </w:pPr>
      <w:r>
        <w:t>9. Reporting and operational visibility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Total accessible prospects and unassigned count.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Actions due today, overdue actions, and scheduled meetings.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Distribution by playbook stage and outcome status.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Manager comparison across workstream and active owner.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Search across company, contact, email, location, and consulting focus.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Exact outreach count from zero through five.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11827"/>
        </w:rPr>
        <w:t>Role-scoped company exports for analysis or approved downstream use.</w:t>
      </w:r>
    </w:p>
    <w:p>
      <w:pPr>
        <w:pStyle w:val="Heading1"/>
      </w:pPr>
      <w:r>
        <w:t>10. What the product enables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Operating outcome</w:t>
            </w:r>
          </w:p>
        </w:tc>
        <w:tc>
          <w:tcPr>
            <w:tcW w:type="dxa" w:w="6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How the product enables it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Clear accountability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One workstream and one accountable owner per prospect record.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Lower duplicate-contact risk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Normalized duplicate checks within workstreams and one shared company identity across them.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Consistent execution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Role-specific queues, activity choices, workflow stages, next actions, and validation.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Faster manager intervention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Today/overdue views plus filters by workstream, owner, stage, status, and outreach count.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Higher-quality founder meetings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Structured interest, materials, questions, escalation notes, time zone, and participant data.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Controlled bulk loading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Per-row validation, detailed results, batch history, and protected rollback.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Safe automation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Role-scoped purpose APIs, persistent revocable tokens, and change audits.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Continuity during staff changes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11827"/>
                <w:sz w:val="18"/>
              </w:rPr>
              <w:t>Centralized records and preserved history when users are disabled.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t>11. Product boundaries and current constraints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The product records outreach; it does not send email, LinkedIn messages, place calls, or host meetings.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It is an authenticated internal operating system, not a public lead-capture form.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A prospect has at most five outreach-history records.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The user interface and API allow outreach corrections but do not provide outreach deletion.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Exports contain a small company list, not a full prospect-history data warehouse.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The application does not replace a formal AWS asset inventory, secret manager, backup console, incident platform, or source-control governance process.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11827"/>
        </w:rPr>
        <w:t>The checked-in alternate container/ECR/Systems Manager deployment is a reference path; the current production workflow is the native EC2 virtualenv deployment described in the Technical Operations Guide.</w:t>
      </w:r>
    </w:p>
    <w:p>
      <w:pPr>
        <w:pStyle w:val="Heading1"/>
      </w:pPr>
      <w:r>
        <w:t>12. Product ownership and change principles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11827"/>
        </w:rPr>
        <w:t>Treat production behavior and the production-aligned main branch as the functional baseline until an approved release changes it.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11827"/>
        </w:rPr>
        <w:t>Preserve role scope, audit history, and data ownership when changing workflows.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11827"/>
        </w:rPr>
        <w:t>Add validation at the same boundaries used by browser and API flows; avoid rules that exist in only one interface.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11827"/>
        </w:rPr>
        <w:t>Prefer purpose-specific fields and APIs to unstructured comments or one oversized endpoint.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11827"/>
        </w:rPr>
        <w:t>Ship schema changes with committed migrations, test coverage, rollback analysis, and post-deploy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FlexGCC Outreach | Product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dgen.flexgcc.com" TargetMode="External"/><Relationship Id="rId12" Type="http://schemas.openxmlformats.org/officeDocument/2006/relationships/hyperlink" Target="https://github.com/gopalakrishnanplus-creator/FlexGCC-Outr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Overview</dc:title>
  <dc:subject>What the product does, how its workflow fits together, and what it enables</dc:subject>
  <dc:creator>FlexGCC</dc:creator>
  <cp:keywords>FlexGCC Outreach, LeadGen, operations, handover</cp:keywords>
  <dc:description>Prepared from baseline commit 2f634ab53dbbffcaf1364f33b7c88fe5a2319109.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