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40"/>
      </w:pPr>
    </w:p>
    <w:p>
      <w:pPr>
        <w:spacing w:after="320"/>
        <w:jc w:val="center"/>
      </w:pPr>
      <w:r>
        <w:rPr>
          <w:rFonts w:ascii="Calibri" w:hAnsi="Calibri"/>
          <w:b/>
          <w:color w:val="2E74B5"/>
          <w:sz w:val="20"/>
        </w:rPr>
        <w:t>FLEXGCC OUTREACH</w:t>
      </w:r>
    </w:p>
    <w:p>
      <w:pPr>
        <w:spacing w:after="200"/>
        <w:jc w:val="center"/>
      </w:pPr>
      <w:r>
        <w:rPr>
          <w:rFonts w:ascii="Calibri" w:hAnsi="Calibri"/>
          <w:b/>
          <w:color w:val="0B2545"/>
          <w:sz w:val="60"/>
        </w:rPr>
        <w:t>Project Handoff</w:t>
      </w:r>
    </w:p>
    <w:p>
      <w:pPr>
        <w:spacing w:after="680"/>
        <w:jc w:val="center"/>
      </w:pPr>
      <w:r>
        <w:rPr>
          <w:rFonts w:ascii="Calibri" w:hAnsi="Calibri"/>
          <w:i/>
          <w:color w:val="1F4D78"/>
          <w:sz w:val="28"/>
        </w:rPr>
        <w:t>Portable setup, source-of-truth, user-flow, GitHub, and production operations guide</w:t>
      </w:r>
    </w:p>
    <w:p>
      <w:pPr>
        <w:spacing w:after="360"/>
        <w:jc w:val="center"/>
      </w:pPr>
      <w:r>
        <w:rPr>
          <w:rFonts w:ascii="Calibri" w:hAnsi="Calibri"/>
          <w:i/>
          <w:color w:val="5E6B78"/>
          <w:sz w:val="20"/>
        </w:rPr>
        <w:t>Prepared for the incoming Codex project, engineering manager, and system administrator</w:t>
      </w:r>
    </w:p>
    <w:p>
      <w:pPr>
        <w:spacing w:after="120"/>
        <w:jc w:val="center"/>
      </w:pPr>
      <w:r>
        <w:rPr>
          <w:rFonts w:ascii="Calibri" w:hAnsi="Calibri"/>
          <w:b/>
          <w:color w:val="0B2545"/>
          <w:sz w:val="20"/>
        </w:rPr>
        <w:t>Version 1.0  |  Snapshot 3 September 2026</w:t>
      </w:r>
    </w:p>
    <w:p>
      <w:pPr>
        <w:spacing w:after="960"/>
        <w:jc w:val="center"/>
      </w:pPr>
      <w:r>
        <w:rPr>
          <w:rFonts w:ascii="Calibri" w:hAnsi="Calibri"/>
          <w:color w:val="5E6B78"/>
          <w:sz w:val="19"/>
        </w:rPr>
        <w:t>Production-aligned code baseline: 2f634ab53dbb</w:t>
      </w:r>
    </w:p>
    <w:p>
      <w:pPr>
        <w:jc w:val="center"/>
      </w:pPr>
      <w:hyperlink r:id="rId11">
        <w:r>
          <w:rPr>
            <w:color w:val="2E74B5"/>
            <w:u w:val="single"/>
          </w:rPr>
          <w:t>Open the private GitHub repository</w:t>
        </w:r>
      </w:hyperlink>
    </w:p>
    <w:p>
      <w:pPr>
        <w:jc w:val="center"/>
      </w:pPr>
      <w:hyperlink r:id="rId12">
        <w:r>
          <w:rPr>
            <w:color w:val="2E74B5"/>
            <w:u w:val="single"/>
          </w:rPr>
          <w:t>Open FlexGCC Outreach production</w:t>
        </w:r>
      </w:hyperlink>
    </w:p>
    <w:p>
      <w:r>
        <w:br w:type="page"/>
      </w:r>
    </w:p>
    <w:p>
      <w:pPr>
        <w:pStyle w:val="Heading1"/>
      </w:pPr>
      <w:r>
        <w:t>Document control</w:t>
      </w:r>
    </w:p>
    <w:tbl>
      <w:tblPr>
        <w:tblStyle w:val="TableGrid"/>
        <w:tblW w:type="dxa" w:w="9360"/>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spacing w:before="0" w:after="0" w:line="252" w:lineRule="auto"/>
            </w:pPr>
            <w:r>
              <w:rPr>
                <w:rFonts w:ascii="Calibri" w:hAnsi="Calibri"/>
                <w:b/>
                <w:color w:val="0B2545"/>
                <w:sz w:val="18"/>
              </w:rPr>
              <w:t>Item</w:t>
            </w:r>
          </w:p>
        </w:tc>
        <w:tc>
          <w:tcPr>
            <w:tcW w:type="dxa" w:w="7460"/>
            <w:shd w:fill="E8EEF5"/>
            <w:tcMar>
              <w:top w:w="80" w:type="dxa"/>
              <w:start w:w="120" w:type="dxa"/>
              <w:bottom w:w="80" w:type="dxa"/>
              <w:end w:w="120" w:type="dxa"/>
            </w:tcMar>
            <w:vAlign w:val="center"/>
          </w:tcPr>
          <w:p>
            <w:pPr>
              <w:spacing w:before="0" w:after="0" w:line="252" w:lineRule="auto"/>
            </w:pPr>
            <w:r>
              <w:rPr>
                <w:rFonts w:ascii="Calibri" w:hAnsi="Calibri"/>
                <w:b/>
                <w:color w:val="0B2545"/>
                <w:sz w:val="18"/>
              </w:rPr>
              <w:t>Value</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sz w:val="18"/>
              </w:rPr>
              <w:t>Purpose</w:t>
            </w:r>
          </w:p>
        </w:tc>
        <w:tc>
          <w:tcPr>
            <w:tcW w:type="dxa" w:w="7460"/>
            <w:tcMar>
              <w:top w:w="80" w:type="dxa"/>
              <w:start w:w="120" w:type="dxa"/>
              <w:bottom w:w="80" w:type="dxa"/>
              <w:end w:w="120" w:type="dxa"/>
            </w:tcMar>
            <w:vAlign w:val="center"/>
          </w:tcPr>
          <w:p>
            <w:pPr>
              <w:spacing w:before="0" w:after="0" w:line="259" w:lineRule="auto"/>
            </w:pPr>
            <w:r>
              <w:rPr>
                <w:rFonts w:ascii="Calibri" w:hAnsi="Calibri"/>
                <w:sz w:val="18"/>
              </w:rPr>
              <w:t>Enable a new Codex project and incoming owners to reconstruct, run, govern, and safely continue the current system.</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sz w:val="18"/>
              </w:rPr>
              <w:t>Authority</w:t>
            </w:r>
          </w:p>
        </w:tc>
        <w:tc>
          <w:tcPr>
            <w:tcW w:type="dxa" w:w="7460"/>
            <w:tcMar>
              <w:top w:w="80" w:type="dxa"/>
              <w:start w:w="120" w:type="dxa"/>
              <w:bottom w:w="80" w:type="dxa"/>
              <w:end w:w="120" w:type="dxa"/>
            </w:tcMar>
            <w:vAlign w:val="center"/>
          </w:tcPr>
          <w:p>
            <w:pPr>
              <w:spacing w:before="0" w:after="0" w:line="259" w:lineRule="auto"/>
            </w:pPr>
            <w:r>
              <w:rPr>
                <w:rFonts w:ascii="Calibri" w:hAnsi="Calibri"/>
                <w:sz w:val="18"/>
              </w:rPr>
              <w:t>Current checkout, GitHub origin/main, checked-in workflows, and read-only production evidence as at 3 September 2026.</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sz w:val="18"/>
              </w:rPr>
              <w:t>Baseline</w:t>
            </w:r>
          </w:p>
        </w:tc>
        <w:tc>
          <w:tcPr>
            <w:tcW w:type="dxa" w:w="7460"/>
            <w:tcMar>
              <w:top w:w="80" w:type="dxa"/>
              <w:start w:w="120" w:type="dxa"/>
              <w:bottom w:w="80" w:type="dxa"/>
              <w:end w:w="120" w:type="dxa"/>
            </w:tcMar>
            <w:vAlign w:val="center"/>
          </w:tcPr>
          <w:p>
            <w:pPr>
              <w:spacing w:before="0" w:after="0" w:line="259" w:lineRule="auto"/>
            </w:pPr>
            <w:r>
              <w:rPr>
                <w:rFonts w:ascii="Calibri" w:hAnsi="Calibri"/>
                <w:sz w:val="18"/>
              </w:rPr>
              <w:t>Commit 2f634ab53dbbffcaf1364f33b7c88fe5a2319109; tree 8f6af4dfbde0dff4c3b79acb066caeef183f1be4.</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sz w:val="18"/>
              </w:rPr>
              <w:t>Owners</w:t>
            </w:r>
          </w:p>
        </w:tc>
        <w:tc>
          <w:tcPr>
            <w:tcW w:type="dxa" w:w="7460"/>
            <w:tcMar>
              <w:top w:w="80" w:type="dxa"/>
              <w:start w:w="120" w:type="dxa"/>
              <w:bottom w:w="80" w:type="dxa"/>
              <w:end w:w="120" w:type="dxa"/>
            </w:tcMar>
            <w:vAlign w:val="center"/>
          </w:tcPr>
          <w:p>
            <w:pPr>
              <w:spacing w:before="0" w:after="0" w:line="259" w:lineRule="auto"/>
            </w:pPr>
            <w:r>
              <w:rPr>
                <w:rFonts w:ascii="Calibri" w:hAnsi="Calibri"/>
                <w:sz w:val="18"/>
              </w:rPr>
              <w:t>Incoming engineering manager and system administrator jointly; one accountable owner per release or incident.</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sz w:val="18"/>
              </w:rPr>
              <w:t>Update trigger</w:t>
            </w:r>
          </w:p>
        </w:tc>
        <w:tc>
          <w:tcPr>
            <w:tcW w:type="dxa" w:w="7460"/>
            <w:tcMar>
              <w:top w:w="80" w:type="dxa"/>
              <w:start w:w="120" w:type="dxa"/>
              <w:bottom w:w="80" w:type="dxa"/>
              <w:end w:w="120" w:type="dxa"/>
            </w:tcMar>
            <w:vAlign w:val="center"/>
          </w:tcPr>
          <w:p>
            <w:pPr>
              <w:spacing w:before="0" w:after="0" w:line="259" w:lineRule="auto"/>
            </w:pPr>
            <w:r>
              <w:rPr>
                <w:rFonts w:ascii="Calibri" w:hAnsi="Calibri"/>
                <w:sz w:val="18"/>
              </w:rPr>
              <w:t>Any change to user flow, permissions, API contract, data model, environment, repository governance, deployment, or recovery process.</w:t>
            </w:r>
          </w:p>
        </w:tc>
      </w:tr>
    </w:tbl>
    <w:p>
      <w:pPr>
        <w:spacing w:after="0"/>
      </w:pPr>
    </w:p>
    <w:p>
      <w:pPr>
        <w:spacing w:before="100" w:after="160"/>
        <w:ind w:left="115" w:right="58"/>
        <w:shd w:fill="F4F6F9"/>
        <w:pBdr>
          <w:left w:val="single" w:sz="18" w:space="6" w:color="2E74B5"/>
        </w:pBdr>
      </w:pPr>
      <w:r>
        <w:rPr>
          <w:rFonts w:ascii="Calibri" w:hAnsi="Calibri"/>
          <w:b/>
          <w:color w:val="2E74B5"/>
          <w:sz w:val="21"/>
        </w:rPr>
        <w:t xml:space="preserve">Scope boundary: </w:t>
      </w:r>
      <w:r>
        <w:rPr>
          <w:rFonts w:ascii="Calibri" w:hAnsi="Calibri"/>
          <w:sz w:val="21"/>
        </w:rPr>
        <w:t>This document contains no secret values, private keys, database content, AWS account inventory, or production configuration. It states what is confirmed, what is documented in source, and what the incoming owner must verify through controlled access.</w:t>
      </w:r>
    </w:p>
    <w:p>
      <w:pPr>
        <w:pStyle w:val="Heading1"/>
      </w:pPr>
      <w:r>
        <w:t>1. Transfer at a glance</w:t>
      </w:r>
    </w:p>
    <w:p>
      <w:r>
        <w:t>FlexGCC Outreach is a Google-authenticated Django application that manages consulting-firm prospects from research through outreach, response, founder escalation, meeting scheduling, and completion. It separates three frontline workstreams while preserving one stable company identity across them.</w:t>
      </w:r>
    </w:p>
    <w:tbl>
      <w:tblPr>
        <w:tblStyle w:val="TableGrid"/>
        <w:tblW w:type="dxa" w:w="9360"/>
        <w:tblLayout w:type="fixed"/>
        <w:tblLook w:firstColumn="1" w:firstRow="1" w:lastColumn="0" w:lastRow="0" w:noHBand="0" w:noVBand="1" w:val="04A0"/>
        <w:tblInd w:w="120" w:type="dxa"/>
      </w:tblPr>
      <w:tblGrid>
        <w:gridCol w:w="2100"/>
        <w:gridCol w:w="7260"/>
      </w:tblGrid>
      <w:tr>
        <w:trPr>
          <w:tblHeader w:val="true"/>
          <w:cantSplit/>
        </w:trPr>
        <w:tc>
          <w:tcPr>
            <w:tcW w:type="dxa" w:w="2100"/>
            <w:shd w:fill="E8EEF5"/>
            <w:tcMar>
              <w:top w:w="80" w:type="dxa"/>
              <w:start w:w="120" w:type="dxa"/>
              <w:bottom w:w="80" w:type="dxa"/>
              <w:end w:w="120" w:type="dxa"/>
            </w:tcMar>
            <w:vAlign w:val="center"/>
          </w:tcPr>
          <w:p>
            <w:pPr>
              <w:spacing w:before="0" w:after="0" w:line="252" w:lineRule="auto"/>
            </w:pPr>
            <w:r>
              <w:rPr>
                <w:rFonts w:ascii="Calibri" w:hAnsi="Calibri"/>
                <w:b/>
                <w:color w:val="0B2545"/>
                <w:sz w:val="18"/>
              </w:rPr>
              <w:t>Area</w:t>
            </w:r>
          </w:p>
        </w:tc>
        <w:tc>
          <w:tcPr>
            <w:tcW w:type="dxa" w:w="7260"/>
            <w:shd w:fill="E8EEF5"/>
            <w:tcMar>
              <w:top w:w="80" w:type="dxa"/>
              <w:start w:w="120" w:type="dxa"/>
              <w:bottom w:w="80" w:type="dxa"/>
              <w:end w:w="120" w:type="dxa"/>
            </w:tcMar>
            <w:vAlign w:val="center"/>
          </w:tcPr>
          <w:p>
            <w:pPr>
              <w:spacing w:before="0" w:after="0" w:line="252" w:lineRule="auto"/>
            </w:pPr>
            <w:r>
              <w:rPr>
                <w:rFonts w:ascii="Calibri" w:hAnsi="Calibri"/>
                <w:b/>
                <w:color w:val="0B2545"/>
                <w:sz w:val="18"/>
              </w:rPr>
              <w:t>Current handoff state</w:t>
            </w:r>
          </w:p>
        </w:tc>
      </w:tr>
      <w:tr>
        <w:trPr>
          <w:cantSplit/>
        </w:trPr>
        <w:tc>
          <w:tcPr>
            <w:tcW w:type="dxa" w:w="2100"/>
            <w:tcMar>
              <w:top w:w="80" w:type="dxa"/>
              <w:start w:w="120" w:type="dxa"/>
              <w:bottom w:w="80" w:type="dxa"/>
              <w:end w:w="120" w:type="dxa"/>
            </w:tcMar>
            <w:vAlign w:val="center"/>
          </w:tcPr>
          <w:p>
            <w:pPr>
              <w:spacing w:before="0" w:after="0" w:line="259" w:lineRule="auto"/>
            </w:pPr>
            <w:r>
              <w:rPr>
                <w:rFonts w:ascii="Calibri" w:hAnsi="Calibri"/>
                <w:sz w:val="18"/>
              </w:rPr>
              <w:t>Source</w:t>
            </w:r>
          </w:p>
        </w:tc>
        <w:tc>
          <w:tcPr>
            <w:tcW w:type="dxa" w:w="7260"/>
            <w:tcMar>
              <w:top w:w="80" w:type="dxa"/>
              <w:start w:w="120" w:type="dxa"/>
              <w:bottom w:w="80" w:type="dxa"/>
              <w:end w:w="120" w:type="dxa"/>
            </w:tcMar>
            <w:vAlign w:val="center"/>
          </w:tcPr>
          <w:p>
            <w:pPr>
              <w:spacing w:before="0" w:after="0" w:line="259" w:lineRule="auto"/>
            </w:pPr>
            <w:r>
              <w:rPr>
                <w:rFonts w:ascii="Calibri" w:hAnsi="Calibri"/>
                <w:sz w:val="18"/>
              </w:rPr>
              <w:t>Local main and GitHub origin/main are identical at 2f634ab53dbb; 0 commits ahead and 0 behind.</w:t>
            </w:r>
          </w:p>
        </w:tc>
      </w:tr>
      <w:tr>
        <w:trPr>
          <w:cantSplit/>
        </w:trPr>
        <w:tc>
          <w:tcPr>
            <w:tcW w:type="dxa" w:w="2100"/>
            <w:tcMar>
              <w:top w:w="80" w:type="dxa"/>
              <w:start w:w="120" w:type="dxa"/>
              <w:bottom w:w="80" w:type="dxa"/>
              <w:end w:w="120" w:type="dxa"/>
            </w:tcMar>
            <w:vAlign w:val="center"/>
          </w:tcPr>
          <w:p>
            <w:pPr>
              <w:spacing w:before="0" w:after="0" w:line="259" w:lineRule="auto"/>
            </w:pPr>
            <w:r>
              <w:rPr>
                <w:rFonts w:ascii="Calibri" w:hAnsi="Calibri"/>
                <w:sz w:val="18"/>
              </w:rPr>
              <w:t>Application</w:t>
            </w:r>
          </w:p>
        </w:tc>
        <w:tc>
          <w:tcPr>
            <w:tcW w:type="dxa" w:w="7260"/>
            <w:tcMar>
              <w:top w:w="80" w:type="dxa"/>
              <w:start w:w="120" w:type="dxa"/>
              <w:bottom w:w="80" w:type="dxa"/>
              <w:end w:w="120" w:type="dxa"/>
            </w:tcMar>
            <w:vAlign w:val="center"/>
          </w:tcPr>
          <w:p>
            <w:pPr>
              <w:spacing w:before="0" w:after="0" w:line="259" w:lineRule="auto"/>
            </w:pPr>
            <w:r>
              <w:rPr>
                <w:rFonts w:ascii="Calibri" w:hAnsi="Calibri"/>
                <w:sz w:val="18"/>
              </w:rPr>
              <w:t>Django 5.2.16, server-rendered UI, purpose-specific JSON APIs, Google OAuth, PostgreSQL production data store.</w:t>
            </w:r>
          </w:p>
        </w:tc>
      </w:tr>
      <w:tr>
        <w:trPr>
          <w:cantSplit/>
        </w:trPr>
        <w:tc>
          <w:tcPr>
            <w:tcW w:type="dxa" w:w="2100"/>
            <w:tcMar>
              <w:top w:w="80" w:type="dxa"/>
              <w:start w:w="120" w:type="dxa"/>
              <w:bottom w:w="80" w:type="dxa"/>
              <w:end w:w="120" w:type="dxa"/>
            </w:tcMar>
            <w:vAlign w:val="center"/>
          </w:tcPr>
          <w:p>
            <w:pPr>
              <w:spacing w:before="0" w:after="0" w:line="259" w:lineRule="auto"/>
            </w:pPr>
            <w:r>
              <w:rPr>
                <w:rFonts w:ascii="Calibri" w:hAnsi="Calibri"/>
                <w:sz w:val="18"/>
              </w:rPr>
              <w:t>Verification</w:t>
            </w:r>
          </w:p>
        </w:tc>
        <w:tc>
          <w:tcPr>
            <w:tcW w:type="dxa" w:w="7260"/>
            <w:tcMar>
              <w:top w:w="80" w:type="dxa"/>
              <w:start w:w="120" w:type="dxa"/>
              <w:bottom w:w="80" w:type="dxa"/>
              <w:end w:w="120" w:type="dxa"/>
            </w:tcMar>
            <w:vAlign w:val="center"/>
          </w:tcPr>
          <w:p>
            <w:pPr>
              <w:spacing w:before="0" w:after="0" w:line="259" w:lineRule="auto"/>
            </w:pPr>
            <w:r>
              <w:rPr>
                <w:rFonts w:ascii="Calibri" w:hAnsi="Calibri"/>
                <w:sz w:val="18"/>
              </w:rPr>
              <w:t>Fresh isolated setup passed migration checks, Django checks, and 102 tests on 3 September 2026.</w:t>
            </w:r>
          </w:p>
        </w:tc>
      </w:tr>
      <w:tr>
        <w:trPr>
          <w:cantSplit/>
        </w:trPr>
        <w:tc>
          <w:tcPr>
            <w:tcW w:type="dxa" w:w="2100"/>
            <w:tcMar>
              <w:top w:w="80" w:type="dxa"/>
              <w:start w:w="120" w:type="dxa"/>
              <w:bottom w:w="80" w:type="dxa"/>
              <w:end w:w="120" w:type="dxa"/>
            </w:tcMar>
            <w:vAlign w:val="center"/>
          </w:tcPr>
          <w:p>
            <w:pPr>
              <w:spacing w:before="0" w:after="0" w:line="259" w:lineRule="auto"/>
            </w:pPr>
            <w:r>
              <w:rPr>
                <w:rFonts w:ascii="Calibri" w:hAnsi="Calibri"/>
                <w:sz w:val="18"/>
              </w:rPr>
              <w:t>Production</w:t>
            </w:r>
          </w:p>
        </w:tc>
        <w:tc>
          <w:tcPr>
            <w:tcW w:type="dxa" w:w="7260"/>
            <w:tcMar>
              <w:top w:w="80" w:type="dxa"/>
              <w:start w:w="120" w:type="dxa"/>
              <w:bottom w:w="80" w:type="dxa"/>
              <w:end w:w="120" w:type="dxa"/>
            </w:tcMar>
            <w:vAlign w:val="center"/>
          </w:tcPr>
          <w:p>
            <w:pPr>
              <w:spacing w:before="0" w:after="0" w:line="259" w:lineRule="auto"/>
            </w:pPr>
            <w:r>
              <w:rPr>
                <w:rFonts w:ascii="Calibri" w:hAnsi="Calibri"/>
                <w:sz w:val="18"/>
              </w:rPr>
              <w:t>https://leadgen.flexgcc.com/health/ returned HTTP 200 with status ok on 3 September 2026.</w:t>
            </w:r>
          </w:p>
        </w:tc>
      </w:tr>
      <w:tr>
        <w:trPr>
          <w:cantSplit/>
        </w:trPr>
        <w:tc>
          <w:tcPr>
            <w:tcW w:type="dxa" w:w="2100"/>
            <w:tcMar>
              <w:top w:w="80" w:type="dxa"/>
              <w:start w:w="120" w:type="dxa"/>
              <w:bottom w:w="80" w:type="dxa"/>
              <w:end w:w="120" w:type="dxa"/>
            </w:tcMar>
            <w:vAlign w:val="center"/>
          </w:tcPr>
          <w:p>
            <w:pPr>
              <w:spacing w:before="0" w:after="0" w:line="259" w:lineRule="auto"/>
            </w:pPr>
            <w:r>
              <w:rPr>
                <w:rFonts w:ascii="Calibri" w:hAnsi="Calibri"/>
                <w:sz w:val="18"/>
              </w:rPr>
              <w:t>Delivery</w:t>
            </w:r>
          </w:p>
        </w:tc>
        <w:tc>
          <w:tcPr>
            <w:tcW w:type="dxa" w:w="7260"/>
            <w:tcMar>
              <w:top w:w="80" w:type="dxa"/>
              <w:start w:w="120" w:type="dxa"/>
              <w:bottom w:w="80" w:type="dxa"/>
              <w:end w:w="120" w:type="dxa"/>
            </w:tcMar>
            <w:vAlign w:val="center"/>
          </w:tcPr>
          <w:p>
            <w:pPr>
              <w:spacing w:before="0" w:after="0" w:line="259" w:lineRule="auto"/>
            </w:pPr>
            <w:r>
              <w:rPr>
                <w:rFonts w:ascii="Calibri" w:hAnsi="Calibri"/>
                <w:sz w:val="18"/>
              </w:rPr>
              <w:t>Pushes to main run CI and the current SSH-to-EC2 production workflow. A separate ECR/SSM workflow exists but is not active.</w:t>
            </w:r>
          </w:p>
        </w:tc>
      </w:tr>
      <w:tr>
        <w:trPr>
          <w:cantSplit/>
        </w:trPr>
        <w:tc>
          <w:tcPr>
            <w:tcW w:type="dxa" w:w="2100"/>
            <w:tcMar>
              <w:top w:w="80" w:type="dxa"/>
              <w:start w:w="120" w:type="dxa"/>
              <w:bottom w:w="80" w:type="dxa"/>
              <w:end w:w="120" w:type="dxa"/>
            </w:tcMar>
            <w:vAlign w:val="center"/>
          </w:tcPr>
          <w:p>
            <w:pPr>
              <w:spacing w:before="0" w:after="0" w:line="259" w:lineRule="auto"/>
            </w:pPr>
            <w:r>
              <w:rPr>
                <w:rFonts w:ascii="Calibri" w:hAnsi="Calibri"/>
                <w:sz w:val="18"/>
              </w:rPr>
              <w:t>Documentation</w:t>
            </w:r>
          </w:p>
        </w:tc>
        <w:tc>
          <w:tcPr>
            <w:tcW w:type="dxa" w:w="7260"/>
            <w:tcMar>
              <w:top w:w="80" w:type="dxa"/>
              <w:start w:w="120" w:type="dxa"/>
              <w:bottom w:w="80" w:type="dxa"/>
              <w:end w:w="120" w:type="dxa"/>
            </w:tcMar>
            <w:vAlign w:val="center"/>
          </w:tcPr>
          <w:p>
            <w:pPr>
              <w:spacing w:before="0" w:after="0" w:line="259" w:lineRule="auto"/>
            </w:pPr>
            <w:r>
              <w:rPr>
                <w:rFonts w:ascii="Calibri" w:hAnsi="Calibri"/>
                <w:sz w:val="18"/>
              </w:rPr>
              <w:t>Four editable Word documents plus starter prompt, setup checklist, package inventory, evidence, and Git history bundle.</w:t>
            </w:r>
          </w:p>
        </w:tc>
      </w:tr>
    </w:tbl>
    <w:p>
      <w:pPr>
        <w:spacing w:after="0"/>
      </w:pPr>
    </w:p>
    <w:p>
      <w:pPr>
        <w:spacing w:before="100" w:after="160"/>
        <w:ind w:left="115" w:right="58"/>
        <w:shd w:fill="FFF7E6"/>
        <w:pBdr>
          <w:left w:val="single" w:sz="18" w:space="6" w:color="7A5A00"/>
        </w:pBdr>
      </w:pPr>
      <w:r>
        <w:rPr>
          <w:rFonts w:ascii="Calibri" w:hAnsi="Calibri"/>
          <w:b/>
          <w:color w:val="7A5A00"/>
          <w:sz w:val="21"/>
        </w:rPr>
        <w:t xml:space="preserve">First principle: </w:t>
      </w:r>
      <w:r>
        <w:rPr>
          <w:rFonts w:ascii="Calibri" w:hAnsi="Calibri"/>
          <w:sz w:val="21"/>
        </w:rPr>
        <w:t>Treat current production behavior and the production-aligned main branch as the baseline. Re-verify both before making changes because this package is a dated snapshot.</w:t>
      </w:r>
    </w:p>
    <w:p>
      <w:pPr>
        <w:pStyle w:val="Heading1"/>
      </w:pPr>
      <w:r>
        <w:t>2. Source of truth and current evidence</w:t>
      </w:r>
    </w:p>
    <w:p>
      <w:pPr>
        <w:pStyle w:val="Heading2"/>
      </w:pPr>
      <w:r>
        <w:t>Repository identity</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cantSplit/>
        </w:trPr>
        <w:tc>
          <w:tcPr>
            <w:tcW w:type="dxa" w:w="2500"/>
            <w:shd w:fill="E8EEF5"/>
            <w:tcMar>
              <w:top w:w="80" w:type="dxa"/>
              <w:start w:w="120" w:type="dxa"/>
              <w:bottom w:w="80" w:type="dxa"/>
              <w:end w:w="120" w:type="dxa"/>
            </w:tcMar>
            <w:vAlign w:val="center"/>
          </w:tcPr>
          <w:p>
            <w:pPr>
              <w:spacing w:before="0" w:after="0" w:line="252" w:lineRule="auto"/>
            </w:pPr>
            <w:r>
              <w:rPr>
                <w:rFonts w:ascii="Calibri" w:hAnsi="Calibri"/>
                <w:b/>
                <w:color w:val="0B2545"/>
                <w:sz w:val="18"/>
              </w:rPr>
              <w:t>Property</w:t>
            </w:r>
          </w:p>
        </w:tc>
        <w:tc>
          <w:tcPr>
            <w:tcW w:type="dxa" w:w="6860"/>
            <w:shd w:fill="E8EEF5"/>
            <w:tcMar>
              <w:top w:w="80" w:type="dxa"/>
              <w:start w:w="120" w:type="dxa"/>
              <w:bottom w:w="80" w:type="dxa"/>
              <w:end w:w="120" w:type="dxa"/>
            </w:tcMar>
            <w:vAlign w:val="center"/>
          </w:tcPr>
          <w:p>
            <w:pPr>
              <w:spacing w:before="0" w:after="0" w:line="252" w:lineRule="auto"/>
            </w:pPr>
            <w:r>
              <w:rPr>
                <w:rFonts w:ascii="Calibri" w:hAnsi="Calibri"/>
                <w:b/>
                <w:color w:val="0B2545"/>
                <w:sz w:val="18"/>
              </w:rPr>
              <w:t>Confirmed value</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alibri" w:hAnsi="Calibri"/>
                <w:sz w:val="18"/>
              </w:rPr>
              <w:t>Repository</w:t>
            </w:r>
          </w:p>
        </w:tc>
        <w:tc>
          <w:tcPr>
            <w:tcW w:type="dxa" w:w="6860"/>
            <w:tcMar>
              <w:top w:w="80" w:type="dxa"/>
              <w:start w:w="120" w:type="dxa"/>
              <w:bottom w:w="80" w:type="dxa"/>
              <w:end w:w="120" w:type="dxa"/>
            </w:tcMar>
            <w:vAlign w:val="center"/>
          </w:tcPr>
          <w:p>
            <w:pPr>
              <w:spacing w:before="0" w:after="0" w:line="259" w:lineRule="auto"/>
            </w:pPr>
            <w:r>
              <w:rPr>
                <w:rFonts w:ascii="Calibri" w:hAnsi="Calibri"/>
                <w:sz w:val="18"/>
              </w:rPr>
              <w:t>gopalakrishnanplus-creator/FlexGCC-Outreach</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alibri" w:hAnsi="Calibri"/>
                <w:sz w:val="18"/>
              </w:rPr>
              <w:t>Visibility</w:t>
            </w:r>
          </w:p>
        </w:tc>
        <w:tc>
          <w:tcPr>
            <w:tcW w:type="dxa" w:w="6860"/>
            <w:tcMar>
              <w:top w:w="80" w:type="dxa"/>
              <w:start w:w="120" w:type="dxa"/>
              <w:bottom w:w="80" w:type="dxa"/>
              <w:end w:w="120" w:type="dxa"/>
            </w:tcMar>
            <w:vAlign w:val="center"/>
          </w:tcPr>
          <w:p>
            <w:pPr>
              <w:spacing w:before="0" w:after="0" w:line="259" w:lineRule="auto"/>
            </w:pPr>
            <w:r>
              <w:rPr>
                <w:rFonts w:ascii="Calibri" w:hAnsi="Calibri"/>
                <w:sz w:val="18"/>
              </w:rPr>
              <w:t>Private</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alibri" w:hAnsi="Calibri"/>
                <w:sz w:val="18"/>
              </w:rPr>
              <w:t>Default branch</w:t>
            </w:r>
          </w:p>
        </w:tc>
        <w:tc>
          <w:tcPr>
            <w:tcW w:type="dxa" w:w="6860"/>
            <w:tcMar>
              <w:top w:w="80" w:type="dxa"/>
              <w:start w:w="120" w:type="dxa"/>
              <w:bottom w:w="80" w:type="dxa"/>
              <w:end w:w="120" w:type="dxa"/>
            </w:tcMar>
            <w:vAlign w:val="center"/>
          </w:tcPr>
          <w:p>
            <w:pPr>
              <w:spacing w:before="0" w:after="0" w:line="259" w:lineRule="auto"/>
            </w:pPr>
            <w:r>
              <w:rPr>
                <w:rFonts w:ascii="Calibri" w:hAnsi="Calibri"/>
                <w:sz w:val="18"/>
              </w:rPr>
              <w:t>main</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alibri" w:hAnsi="Calibri"/>
                <w:sz w:val="18"/>
              </w:rPr>
              <w:t>Remote</w:t>
            </w:r>
          </w:p>
        </w:tc>
        <w:tc>
          <w:tcPr>
            <w:tcW w:type="dxa" w:w="6860"/>
            <w:tcMar>
              <w:top w:w="80" w:type="dxa"/>
              <w:start w:w="120" w:type="dxa"/>
              <w:bottom w:w="80" w:type="dxa"/>
              <w:end w:w="120" w:type="dxa"/>
            </w:tcMar>
            <w:vAlign w:val="center"/>
          </w:tcPr>
          <w:p>
            <w:pPr>
              <w:spacing w:before="0" w:after="0" w:line="259" w:lineRule="auto"/>
            </w:pPr>
            <w:r>
              <w:rPr>
                <w:rFonts w:ascii="Calibri" w:hAnsi="Calibri"/>
                <w:sz w:val="18"/>
              </w:rPr>
              <w:t>https://github.com/gopalakrishnanplus-creator/FlexGCC-Outreach.git</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alibri" w:hAnsi="Calibri"/>
                <w:sz w:val="18"/>
              </w:rPr>
              <w:t>Local source path</w:t>
            </w:r>
          </w:p>
        </w:tc>
        <w:tc>
          <w:tcPr>
            <w:tcW w:type="dxa" w:w="6860"/>
            <w:tcMar>
              <w:top w:w="80" w:type="dxa"/>
              <w:start w:w="120" w:type="dxa"/>
              <w:bottom w:w="80" w:type="dxa"/>
              <w:end w:w="120" w:type="dxa"/>
            </w:tcMar>
            <w:vAlign w:val="center"/>
          </w:tcPr>
          <w:p>
            <w:pPr>
              <w:spacing w:before="0" w:after="0" w:line="259" w:lineRule="auto"/>
            </w:pPr>
            <w:r>
              <w:rPr>
                <w:rFonts w:ascii="Calibri" w:hAnsi="Calibri"/>
                <w:sz w:val="18"/>
              </w:rPr>
              <w:t>/Users/gk/Documents/FlexGCC-Outreach</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alibri" w:hAnsi="Calibri"/>
                <w:sz w:val="18"/>
              </w:rPr>
              <w:t>HEAD / origin/main</w:t>
            </w:r>
          </w:p>
        </w:tc>
        <w:tc>
          <w:tcPr>
            <w:tcW w:type="dxa" w:w="6860"/>
            <w:tcMar>
              <w:top w:w="80" w:type="dxa"/>
              <w:start w:w="120" w:type="dxa"/>
              <w:bottom w:w="80" w:type="dxa"/>
              <w:end w:w="120" w:type="dxa"/>
            </w:tcMar>
            <w:vAlign w:val="center"/>
          </w:tcPr>
          <w:p>
            <w:pPr>
              <w:spacing w:before="0" w:after="0" w:line="259" w:lineRule="auto"/>
            </w:pPr>
            <w:r>
              <w:rPr>
                <w:rFonts w:ascii="Calibri" w:hAnsi="Calibri"/>
                <w:sz w:val="18"/>
              </w:rPr>
              <w:t>2f634ab53dbbffcaf1364f33b7c88fe5a2319109</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alibri" w:hAnsi="Calibri"/>
                <w:sz w:val="18"/>
              </w:rPr>
              <w:t>Tree</w:t>
            </w:r>
          </w:p>
        </w:tc>
        <w:tc>
          <w:tcPr>
            <w:tcW w:type="dxa" w:w="6860"/>
            <w:tcMar>
              <w:top w:w="80" w:type="dxa"/>
              <w:start w:w="120" w:type="dxa"/>
              <w:bottom w:w="80" w:type="dxa"/>
              <w:end w:w="120" w:type="dxa"/>
            </w:tcMar>
            <w:vAlign w:val="center"/>
          </w:tcPr>
          <w:p>
            <w:pPr>
              <w:spacing w:before="0" w:after="0" w:line="259" w:lineRule="auto"/>
            </w:pPr>
            <w:r>
              <w:rPr>
                <w:rFonts w:ascii="Calibri" w:hAnsi="Calibri"/>
                <w:sz w:val="18"/>
              </w:rPr>
              <w:t>8f6af4dfbde0dff4c3b79acb066caeef183f1be4</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alibri" w:hAnsi="Calibri"/>
                <w:sz w:val="18"/>
              </w:rPr>
              <w:t>Tracked files at baseline</w:t>
            </w:r>
          </w:p>
        </w:tc>
        <w:tc>
          <w:tcPr>
            <w:tcW w:type="dxa" w:w="6860"/>
            <w:tcMar>
              <w:top w:w="80" w:type="dxa"/>
              <w:start w:w="120" w:type="dxa"/>
              <w:bottom w:w="80" w:type="dxa"/>
              <w:end w:w="120" w:type="dxa"/>
            </w:tcMar>
            <w:vAlign w:val="center"/>
          </w:tcPr>
          <w:p>
            <w:pPr>
              <w:spacing w:before="0" w:after="0" w:line="259" w:lineRule="auto"/>
            </w:pPr>
            <w:r>
              <w:rPr>
                <w:rFonts w:ascii="Calibri" w:hAnsi="Calibri"/>
                <w:sz w:val="18"/>
              </w:rPr>
              <w:t>81</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alibri" w:hAnsi="Calibri"/>
                <w:sz w:val="18"/>
              </w:rPr>
              <w:t>Divergence</w:t>
            </w:r>
          </w:p>
        </w:tc>
        <w:tc>
          <w:tcPr>
            <w:tcW w:type="dxa" w:w="6860"/>
            <w:tcMar>
              <w:top w:w="80" w:type="dxa"/>
              <w:start w:w="120" w:type="dxa"/>
              <w:bottom w:w="80" w:type="dxa"/>
              <w:end w:w="120" w:type="dxa"/>
            </w:tcMar>
            <w:vAlign w:val="center"/>
          </w:tcPr>
          <w:p>
            <w:pPr>
              <w:spacing w:before="0" w:after="0" w:line="259" w:lineRule="auto"/>
            </w:pPr>
            <w:r>
              <w:rPr>
                <w:rFonts w:ascii="Calibri" w:hAnsi="Calibri"/>
                <w:sz w:val="18"/>
              </w:rPr>
              <w:t>0 ahead / 0 behind after fetch on 3 September 2026</w:t>
            </w:r>
          </w:p>
        </w:tc>
      </w:tr>
    </w:tbl>
    <w:p>
      <w:pPr>
        <w:spacing w:after="0"/>
      </w:pPr>
    </w:p>
    <w:p>
      <w:r>
        <w:t>The source snapshot in the ZIP is created from origin/main, then overlaid with the uncommitted handover documents and README links created for this transfer. The Git bundle preserves repository history separately.</w:t>
      </w:r>
    </w:p>
    <w:p>
      <w:pPr>
        <w:pStyle w:val="Heading2"/>
      </w:pPr>
      <w:r>
        <w:t>Verified GitHub runs for the baseline</w:t>
      </w:r>
    </w:p>
    <w:tbl>
      <w:tblPr>
        <w:tblStyle w:val="TableGrid"/>
        <w:tblW w:type="dxa" w:w="9360"/>
        <w:tblLayout w:type="fixed"/>
        <w:tblLook w:firstColumn="1" w:firstRow="1" w:lastColumn="0" w:lastRow="0" w:noHBand="0" w:noVBand="1" w:val="04A0"/>
        <w:tblInd w:w="120" w:type="dxa"/>
      </w:tblPr>
      <w:tblGrid>
        <w:gridCol w:w="2100"/>
        <w:gridCol w:w="1500"/>
        <w:gridCol w:w="1200"/>
        <w:gridCol w:w="4560"/>
      </w:tblGrid>
      <w:tr>
        <w:trPr>
          <w:tblHeader w:val="true"/>
          <w:cantSplit/>
        </w:trPr>
        <w:tc>
          <w:tcPr>
            <w:tcW w:type="dxa" w:w="2100"/>
            <w:shd w:fill="E8EEF5"/>
            <w:tcMar>
              <w:top w:w="80" w:type="dxa"/>
              <w:start w:w="120" w:type="dxa"/>
              <w:bottom w:w="80" w:type="dxa"/>
              <w:end w:w="120" w:type="dxa"/>
            </w:tcMar>
            <w:vAlign w:val="center"/>
          </w:tcPr>
          <w:p>
            <w:pPr>
              <w:spacing w:before="0" w:after="0" w:line="252" w:lineRule="auto"/>
            </w:pPr>
            <w:r>
              <w:rPr>
                <w:rFonts w:ascii="Calibri" w:hAnsi="Calibri"/>
                <w:b/>
                <w:color w:val="0B2545"/>
                <w:sz w:val="17"/>
              </w:rPr>
              <w:t>Workflow</w:t>
            </w:r>
          </w:p>
        </w:tc>
        <w:tc>
          <w:tcPr>
            <w:tcW w:type="dxa" w:w="1500"/>
            <w:shd w:fill="E8EEF5"/>
            <w:tcMar>
              <w:top w:w="80" w:type="dxa"/>
              <w:start w:w="120" w:type="dxa"/>
              <w:bottom w:w="80" w:type="dxa"/>
              <w:end w:w="120" w:type="dxa"/>
            </w:tcMar>
            <w:vAlign w:val="center"/>
          </w:tcPr>
          <w:p>
            <w:pPr>
              <w:spacing w:before="0" w:after="0" w:line="252" w:lineRule="auto"/>
            </w:pPr>
            <w:r>
              <w:rPr>
                <w:rFonts w:ascii="Calibri" w:hAnsi="Calibri"/>
                <w:b/>
                <w:color w:val="0B2545"/>
                <w:sz w:val="17"/>
              </w:rPr>
              <w:t>Run</w:t>
            </w:r>
          </w:p>
        </w:tc>
        <w:tc>
          <w:tcPr>
            <w:tcW w:type="dxa" w:w="1200"/>
            <w:shd w:fill="E8EEF5"/>
            <w:tcMar>
              <w:top w:w="80" w:type="dxa"/>
              <w:start w:w="120" w:type="dxa"/>
              <w:bottom w:w="80" w:type="dxa"/>
              <w:end w:w="120" w:type="dxa"/>
            </w:tcMar>
            <w:vAlign w:val="center"/>
          </w:tcPr>
          <w:p>
            <w:pPr>
              <w:spacing w:before="0" w:after="0" w:line="252" w:lineRule="auto"/>
            </w:pPr>
            <w:r>
              <w:rPr>
                <w:rFonts w:ascii="Calibri" w:hAnsi="Calibri"/>
                <w:b/>
                <w:color w:val="0B2545"/>
                <w:sz w:val="17"/>
              </w:rPr>
              <w:t>Result</w:t>
            </w:r>
          </w:p>
        </w:tc>
        <w:tc>
          <w:tcPr>
            <w:tcW w:type="dxa" w:w="4560"/>
            <w:shd w:fill="E8EEF5"/>
            <w:tcMar>
              <w:top w:w="80" w:type="dxa"/>
              <w:start w:w="120" w:type="dxa"/>
              <w:bottom w:w="80" w:type="dxa"/>
              <w:end w:w="120" w:type="dxa"/>
            </w:tcMar>
            <w:vAlign w:val="center"/>
          </w:tcPr>
          <w:p>
            <w:pPr>
              <w:spacing w:before="0" w:after="0" w:line="252" w:lineRule="auto"/>
            </w:pPr>
            <w:r>
              <w:rPr>
                <w:rFonts w:ascii="Calibri" w:hAnsi="Calibri"/>
                <w:b/>
                <w:color w:val="0B2545"/>
                <w:sz w:val="17"/>
              </w:rPr>
              <w:t>Meaning</w:t>
            </w:r>
          </w:p>
        </w:tc>
      </w:tr>
      <w:tr>
        <w:trPr>
          <w:cantSplit/>
        </w:trPr>
        <w:tc>
          <w:tcPr>
            <w:tcW w:type="dxa" w:w="2100"/>
            <w:tcMar>
              <w:top w:w="80" w:type="dxa"/>
              <w:start w:w="120" w:type="dxa"/>
              <w:bottom w:w="80" w:type="dxa"/>
              <w:end w:w="120" w:type="dxa"/>
            </w:tcMar>
            <w:vAlign w:val="center"/>
          </w:tcPr>
          <w:p>
            <w:pPr>
              <w:spacing w:before="0" w:after="0" w:line="259" w:lineRule="auto"/>
            </w:pPr>
            <w:r>
              <w:rPr>
                <w:rFonts w:ascii="Calibri" w:hAnsi="Calibri"/>
                <w:sz w:val="17"/>
              </w:rPr>
              <w:t>CI</w:t>
            </w:r>
          </w:p>
        </w:tc>
        <w:tc>
          <w:tcPr>
            <w:tcW w:type="dxa" w:w="1500"/>
            <w:tcMar>
              <w:top w:w="80" w:type="dxa"/>
              <w:start w:w="120" w:type="dxa"/>
              <w:bottom w:w="80" w:type="dxa"/>
              <w:end w:w="120" w:type="dxa"/>
            </w:tcMar>
            <w:vAlign w:val="center"/>
          </w:tcPr>
          <w:p>
            <w:pPr>
              <w:spacing w:before="0" w:after="0" w:line="259" w:lineRule="auto"/>
            </w:pPr>
            <w:r>
              <w:rPr>
                <w:rFonts w:ascii="Calibri" w:hAnsi="Calibri"/>
                <w:sz w:val="17"/>
              </w:rPr>
              <w:t>33174966118</w:t>
            </w:r>
          </w:p>
        </w:tc>
        <w:tc>
          <w:tcPr>
            <w:tcW w:type="dxa" w:w="1200"/>
            <w:tcMar>
              <w:top w:w="80" w:type="dxa"/>
              <w:start w:w="120" w:type="dxa"/>
              <w:bottom w:w="80" w:type="dxa"/>
              <w:end w:w="120" w:type="dxa"/>
            </w:tcMar>
            <w:vAlign w:val="center"/>
          </w:tcPr>
          <w:p>
            <w:pPr>
              <w:spacing w:before="0" w:after="0" w:line="259" w:lineRule="auto"/>
            </w:pPr>
            <w:r>
              <w:rPr>
                <w:rFonts w:ascii="Calibri" w:hAnsi="Calibri"/>
                <w:sz w:val="17"/>
              </w:rPr>
              <w:t>Success</w:t>
            </w:r>
          </w:p>
        </w:tc>
        <w:tc>
          <w:tcPr>
            <w:tcW w:type="dxa" w:w="4560"/>
            <w:tcMar>
              <w:top w:w="80" w:type="dxa"/>
              <w:start w:w="120" w:type="dxa"/>
              <w:bottom w:w="80" w:type="dxa"/>
              <w:end w:w="120" w:type="dxa"/>
            </w:tcMar>
            <w:vAlign w:val="center"/>
          </w:tcPr>
          <w:p>
            <w:pPr>
              <w:spacing w:before="0" w:after="0" w:line="259" w:lineRule="auto"/>
            </w:pPr>
            <w:r>
              <w:rPr>
                <w:rFonts w:ascii="Calibri" w:hAnsi="Calibri"/>
                <w:sz w:val="17"/>
              </w:rPr>
              <w:t>Migration, application, test, deploy-script, security, static, and container checks completed.</w:t>
            </w:r>
          </w:p>
        </w:tc>
      </w:tr>
      <w:tr>
        <w:trPr>
          <w:cantSplit/>
        </w:trPr>
        <w:tc>
          <w:tcPr>
            <w:tcW w:type="dxa" w:w="2100"/>
            <w:tcMar>
              <w:top w:w="80" w:type="dxa"/>
              <w:start w:w="120" w:type="dxa"/>
              <w:bottom w:w="80" w:type="dxa"/>
              <w:end w:w="120" w:type="dxa"/>
            </w:tcMar>
            <w:vAlign w:val="center"/>
          </w:tcPr>
          <w:p>
            <w:pPr>
              <w:spacing w:before="0" w:after="0" w:line="259" w:lineRule="auto"/>
            </w:pPr>
            <w:r>
              <w:rPr>
                <w:rFonts w:ascii="Calibri" w:hAnsi="Calibri"/>
                <w:sz w:val="17"/>
              </w:rPr>
              <w:t>Deploy LeadGen to AWS EC2</w:t>
            </w:r>
          </w:p>
        </w:tc>
        <w:tc>
          <w:tcPr>
            <w:tcW w:type="dxa" w:w="1500"/>
            <w:tcMar>
              <w:top w:w="80" w:type="dxa"/>
              <w:start w:w="120" w:type="dxa"/>
              <w:bottom w:w="80" w:type="dxa"/>
              <w:end w:w="120" w:type="dxa"/>
            </w:tcMar>
            <w:vAlign w:val="center"/>
          </w:tcPr>
          <w:p>
            <w:pPr>
              <w:spacing w:before="0" w:after="0" w:line="259" w:lineRule="auto"/>
            </w:pPr>
            <w:r>
              <w:rPr>
                <w:rFonts w:ascii="Calibri" w:hAnsi="Calibri"/>
                <w:sz w:val="17"/>
              </w:rPr>
              <w:t>33174966149</w:t>
            </w:r>
          </w:p>
        </w:tc>
        <w:tc>
          <w:tcPr>
            <w:tcW w:type="dxa" w:w="1200"/>
            <w:tcMar>
              <w:top w:w="80" w:type="dxa"/>
              <w:start w:w="120" w:type="dxa"/>
              <w:bottom w:w="80" w:type="dxa"/>
              <w:end w:w="120" w:type="dxa"/>
            </w:tcMar>
            <w:vAlign w:val="center"/>
          </w:tcPr>
          <w:p>
            <w:pPr>
              <w:spacing w:before="0" w:after="0" w:line="259" w:lineRule="auto"/>
            </w:pPr>
            <w:r>
              <w:rPr>
                <w:rFonts w:ascii="Calibri" w:hAnsi="Calibri"/>
                <w:sz w:val="17"/>
              </w:rPr>
              <w:t>Success</w:t>
            </w:r>
          </w:p>
        </w:tc>
        <w:tc>
          <w:tcPr>
            <w:tcW w:type="dxa" w:w="4560"/>
            <w:tcMar>
              <w:top w:w="80" w:type="dxa"/>
              <w:start w:w="120" w:type="dxa"/>
              <w:bottom w:w="80" w:type="dxa"/>
              <w:end w:w="120" w:type="dxa"/>
            </w:tcMar>
            <w:vAlign w:val="center"/>
          </w:tcPr>
          <w:p>
            <w:pPr>
              <w:spacing w:before="0" w:after="0" w:line="259" w:lineRule="auto"/>
            </w:pPr>
            <w:r>
              <w:rPr>
                <w:rFonts w:ascii="Calibri" w:hAnsi="Calibri"/>
                <w:sz w:val="17"/>
              </w:rPr>
              <w:t>Current native virtualenv EC2 path deployed the baseline commit.</w:t>
            </w:r>
          </w:p>
        </w:tc>
      </w:tr>
      <w:tr>
        <w:trPr>
          <w:cantSplit/>
        </w:trPr>
        <w:tc>
          <w:tcPr>
            <w:tcW w:type="dxa" w:w="2100"/>
            <w:tcMar>
              <w:top w:w="80" w:type="dxa"/>
              <w:start w:w="120" w:type="dxa"/>
              <w:bottom w:w="80" w:type="dxa"/>
              <w:end w:w="120" w:type="dxa"/>
            </w:tcMar>
            <w:vAlign w:val="center"/>
          </w:tcPr>
          <w:p>
            <w:pPr>
              <w:spacing w:before="0" w:after="0" w:line="259" w:lineRule="auto"/>
            </w:pPr>
            <w:r>
              <w:rPr>
                <w:rFonts w:ascii="Calibri" w:hAnsi="Calibri"/>
                <w:sz w:val="17"/>
              </w:rPr>
              <w:t>Deploy to AWS</w:t>
            </w:r>
          </w:p>
        </w:tc>
        <w:tc>
          <w:tcPr>
            <w:tcW w:type="dxa" w:w="1500"/>
            <w:tcMar>
              <w:top w:w="80" w:type="dxa"/>
              <w:start w:w="120" w:type="dxa"/>
              <w:bottom w:w="80" w:type="dxa"/>
              <w:end w:w="120" w:type="dxa"/>
            </w:tcMar>
            <w:vAlign w:val="center"/>
          </w:tcPr>
          <w:p>
            <w:pPr>
              <w:spacing w:before="0" w:after="0" w:line="259" w:lineRule="auto"/>
            </w:pPr>
            <w:r>
              <w:rPr>
                <w:rFonts w:ascii="Calibri" w:hAnsi="Calibri"/>
                <w:sz w:val="17"/>
              </w:rPr>
              <w:t>33174966196</w:t>
            </w:r>
          </w:p>
        </w:tc>
        <w:tc>
          <w:tcPr>
            <w:tcW w:type="dxa" w:w="1200"/>
            <w:tcMar>
              <w:top w:w="80" w:type="dxa"/>
              <w:start w:w="120" w:type="dxa"/>
              <w:bottom w:w="80" w:type="dxa"/>
              <w:end w:w="120" w:type="dxa"/>
            </w:tcMar>
            <w:vAlign w:val="center"/>
          </w:tcPr>
          <w:p>
            <w:pPr>
              <w:spacing w:before="0" w:after="0" w:line="259" w:lineRule="auto"/>
            </w:pPr>
            <w:r>
              <w:rPr>
                <w:rFonts w:ascii="Calibri" w:hAnsi="Calibri"/>
                <w:sz w:val="17"/>
              </w:rPr>
              <w:t>Skipped</w:t>
            </w:r>
          </w:p>
        </w:tc>
        <w:tc>
          <w:tcPr>
            <w:tcW w:type="dxa" w:w="4560"/>
            <w:tcMar>
              <w:top w:w="80" w:type="dxa"/>
              <w:start w:w="120" w:type="dxa"/>
              <w:bottom w:w="80" w:type="dxa"/>
              <w:end w:w="120" w:type="dxa"/>
            </w:tcMar>
            <w:vAlign w:val="center"/>
          </w:tcPr>
          <w:p>
            <w:pPr>
              <w:spacing w:before="0" w:after="0" w:line="259" w:lineRule="auto"/>
            </w:pPr>
            <w:r>
              <w:rPr>
                <w:rFonts w:ascii="Calibri" w:hAnsi="Calibri"/>
                <w:sz w:val="17"/>
              </w:rPr>
              <w:t>Alternate ECR/Systems Manager job conditions were not satisfied.</w:t>
            </w:r>
          </w:p>
        </w:tc>
      </w:tr>
    </w:tbl>
    <w:p>
      <w:pPr>
        <w:spacing w:after="0"/>
      </w:pPr>
    </w:p>
    <w:p>
      <w:pPr>
        <w:numPr>
          <w:ilvl w:val="0"/>
          <w:numId w:val="10"/>
        </w:numPr>
      </w:pPr>
      <w:r>
        <w:t>Repository secrets visible by name only: EC2_IP and EC2_SSH. Their values are not in this package.</w:t>
      </w:r>
    </w:p>
    <w:p>
      <w:pPr>
        <w:numPr>
          <w:ilvl w:val="0"/>
          <w:numId w:val="10"/>
        </w:numPr>
      </w:pPr>
      <w:r>
        <w:t>No repository Actions variables or GitHub environments were returned during the handoff check.</w:t>
      </w:r>
    </w:p>
    <w:p>
      <w:pPr>
        <w:numPr>
          <w:ilvl w:val="0"/>
          <w:numId w:val="10"/>
        </w:numPr>
      </w:pPr>
      <w:r>
        <w:t>The branch-protection API returned a GitHub plan limitation. Do not assume review, status-check, or administrator-bypass rules exist; verify repository governance during transfer.</w:t>
      </w:r>
    </w:p>
    <w:p>
      <w:pPr>
        <w:pStyle w:val="Heading1"/>
      </w:pPr>
      <w:r>
        <w:t>3. Product and architecture</w:t>
      </w:r>
    </w:p>
    <w:p>
      <w:pPr>
        <w:pStyle w:val="Heading2"/>
      </w:pPr>
      <w:r>
        <w:t>Runtime request path</w:t>
      </w:r>
    </w:p>
    <w:p>
      <w:pPr>
        <w:spacing w:before="80" w:after="160" w:line="240" w:lineRule="auto"/>
        <w:shd w:fill="F2F4F7"/>
      </w:pPr>
      <w:r>
        <w:rPr>
          <w:rFonts w:ascii="Courier New" w:hAnsi="Courier New"/>
          <w:color w:val="253447"/>
          <w:sz w:val="16"/>
        </w:rPr>
        <w:t>Browser or API client</w:t>
        <w:br/>
        <w:t xml:space="preserve">  -&gt; HTTPS at leadgen.flexgcc.com</w:t>
        <w:br/>
        <w:t xml:space="preserve">  -&gt; Nginx on Ubuntu EC2</w:t>
        <w:br/>
        <w:t xml:space="preserve">  -&gt; /run/leadgen/leadgen.sock</w:t>
        <w:br/>
        <w:t xml:space="preserve">  -&gt; Gunicorn systemd service: leadgen</w:t>
        <w:br/>
        <w:t xml:space="preserve">  -&gt; Django config.wsgi application</w:t>
        <w:br/>
        <w:t xml:space="preserve">  -&gt; PostgreSQL via DATABASE_URL</w:t>
        <w:br/>
        <w:t xml:space="preserve">  -&gt; Google OAuth via django-allauth</w:t>
      </w:r>
    </w:p>
    <w:p>
      <w:pPr>
        <w:pStyle w:val="Heading2"/>
      </w:pPr>
      <w:r>
        <w:t>Code map</w:t>
      </w:r>
    </w:p>
    <w:tbl>
      <w:tblPr>
        <w:tblStyle w:val="TableGrid"/>
        <w:tblW w:type="dxa" w:w="9360"/>
        <w:tblLayout w:type="fixed"/>
        <w:tblLook w:firstColumn="1" w:firstRow="1" w:lastColumn="0" w:lastRow="0" w:noHBand="0" w:noVBand="1" w:val="04A0"/>
        <w:tblInd w:w="120" w:type="dxa"/>
      </w:tblPr>
      <w:tblGrid>
        <w:gridCol w:w="3000"/>
        <w:gridCol w:w="6360"/>
      </w:tblGrid>
      <w:tr>
        <w:trPr>
          <w:tblHeader w:val="true"/>
          <w:cantSplit/>
        </w:trPr>
        <w:tc>
          <w:tcPr>
            <w:tcW w:type="dxa" w:w="3000"/>
            <w:shd w:fill="E8EEF5"/>
            <w:tcMar>
              <w:top w:w="80" w:type="dxa"/>
              <w:start w:w="120" w:type="dxa"/>
              <w:bottom w:w="80" w:type="dxa"/>
              <w:end w:w="120" w:type="dxa"/>
            </w:tcMar>
            <w:vAlign w:val="center"/>
          </w:tcPr>
          <w:p>
            <w:pPr>
              <w:spacing w:before="0" w:after="0" w:line="252" w:lineRule="auto"/>
            </w:pPr>
            <w:r>
              <w:rPr>
                <w:rFonts w:ascii="Calibri" w:hAnsi="Calibri"/>
                <w:b/>
                <w:color w:val="0B2545"/>
                <w:sz w:val="17"/>
              </w:rPr>
              <w:t>Path</w:t>
            </w:r>
          </w:p>
        </w:tc>
        <w:tc>
          <w:tcPr>
            <w:tcW w:type="dxa" w:w="6360"/>
            <w:shd w:fill="E8EEF5"/>
            <w:tcMar>
              <w:top w:w="80" w:type="dxa"/>
              <w:start w:w="120" w:type="dxa"/>
              <w:bottom w:w="80" w:type="dxa"/>
              <w:end w:w="120" w:type="dxa"/>
            </w:tcMar>
            <w:vAlign w:val="center"/>
          </w:tcPr>
          <w:p>
            <w:pPr>
              <w:spacing w:before="0" w:after="0" w:line="252" w:lineRule="auto"/>
            </w:pPr>
            <w:r>
              <w:rPr>
                <w:rFonts w:ascii="Calibri" w:hAnsi="Calibri"/>
                <w:b/>
                <w:color w:val="0B2545"/>
                <w:sz w:val="17"/>
              </w:rPr>
              <w:t>Responsibility</w:t>
            </w:r>
          </w:p>
        </w:tc>
      </w:tr>
      <w:tr>
        <w:trPr>
          <w:cantSplit/>
        </w:trPr>
        <w:tc>
          <w:tcPr>
            <w:tcW w:type="dxa" w:w="3000"/>
            <w:tcMar>
              <w:top w:w="80" w:type="dxa"/>
              <w:start w:w="120" w:type="dxa"/>
              <w:bottom w:w="80" w:type="dxa"/>
              <w:end w:w="120" w:type="dxa"/>
            </w:tcMar>
            <w:vAlign w:val="center"/>
          </w:tcPr>
          <w:p>
            <w:pPr>
              <w:spacing w:before="0" w:after="0" w:line="259" w:lineRule="auto"/>
            </w:pPr>
            <w:r>
              <w:rPr>
                <w:rFonts w:ascii="Calibri" w:hAnsi="Calibri"/>
                <w:sz w:val="17"/>
              </w:rPr>
              <w:t>config/settings.py</w:t>
            </w:r>
          </w:p>
        </w:tc>
        <w:tc>
          <w:tcPr>
            <w:tcW w:type="dxa" w:w="6360"/>
            <w:tcMar>
              <w:top w:w="80" w:type="dxa"/>
              <w:start w:w="120" w:type="dxa"/>
              <w:bottom w:w="80" w:type="dxa"/>
              <w:end w:w="120" w:type="dxa"/>
            </w:tcMar>
            <w:vAlign w:val="center"/>
          </w:tcPr>
          <w:p>
            <w:pPr>
              <w:spacing w:before="0" w:after="0" w:line="259" w:lineRule="auto"/>
            </w:pPr>
            <w:r>
              <w:rPr>
                <w:rFonts w:ascii="Calibri" w:hAnsi="Calibri"/>
                <w:sz w:val="17"/>
              </w:rPr>
              <w:t>Environment-driven Django, database, OAuth, security, static, token, and logging settings.</w:t>
            </w:r>
          </w:p>
        </w:tc>
      </w:tr>
      <w:tr>
        <w:trPr>
          <w:cantSplit/>
        </w:trPr>
        <w:tc>
          <w:tcPr>
            <w:tcW w:type="dxa" w:w="3000"/>
            <w:tcMar>
              <w:top w:w="80" w:type="dxa"/>
              <w:start w:w="120" w:type="dxa"/>
              <w:bottom w:w="80" w:type="dxa"/>
              <w:end w:w="120" w:type="dxa"/>
            </w:tcMar>
            <w:vAlign w:val="center"/>
          </w:tcPr>
          <w:p>
            <w:pPr>
              <w:spacing w:before="0" w:after="0" w:line="259" w:lineRule="auto"/>
            </w:pPr>
            <w:r>
              <w:rPr>
                <w:rFonts w:ascii="Calibri" w:hAnsi="Calibri"/>
                <w:sz w:val="17"/>
              </w:rPr>
              <w:t>config/urls.py; outreach/urls.py</w:t>
            </w:r>
          </w:p>
        </w:tc>
        <w:tc>
          <w:tcPr>
            <w:tcW w:type="dxa" w:w="6360"/>
            <w:tcMar>
              <w:top w:w="80" w:type="dxa"/>
              <w:start w:w="120" w:type="dxa"/>
              <w:bottom w:w="80" w:type="dxa"/>
              <w:end w:w="120" w:type="dxa"/>
            </w:tcMar>
            <w:vAlign w:val="center"/>
          </w:tcPr>
          <w:p>
            <w:pPr>
              <w:spacing w:before="0" w:after="0" w:line="259" w:lineRule="auto"/>
            </w:pPr>
            <w:r>
              <w:rPr>
                <w:rFonts w:ascii="Calibri" w:hAnsi="Calibri"/>
                <w:sz w:val="17"/>
              </w:rPr>
              <w:t>Browser, authentication, health, export, administration, and API routes.</w:t>
            </w:r>
          </w:p>
        </w:tc>
      </w:tr>
      <w:tr>
        <w:trPr>
          <w:cantSplit/>
        </w:trPr>
        <w:tc>
          <w:tcPr>
            <w:tcW w:type="dxa" w:w="3000"/>
            <w:tcMar>
              <w:top w:w="80" w:type="dxa"/>
              <w:start w:w="120" w:type="dxa"/>
              <w:bottom w:w="80" w:type="dxa"/>
              <w:end w:w="120" w:type="dxa"/>
            </w:tcMar>
            <w:vAlign w:val="center"/>
          </w:tcPr>
          <w:p>
            <w:pPr>
              <w:spacing w:before="0" w:after="0" w:line="259" w:lineRule="auto"/>
            </w:pPr>
            <w:r>
              <w:rPr>
                <w:rFonts w:ascii="Calibri" w:hAnsi="Calibri"/>
                <w:sz w:val="17"/>
              </w:rPr>
              <w:t>outreach/models.py</w:t>
            </w:r>
          </w:p>
        </w:tc>
        <w:tc>
          <w:tcPr>
            <w:tcW w:type="dxa" w:w="6360"/>
            <w:tcMar>
              <w:top w:w="80" w:type="dxa"/>
              <w:start w:w="120" w:type="dxa"/>
              <w:bottom w:w="80" w:type="dxa"/>
              <w:end w:w="120" w:type="dxa"/>
            </w:tcMar>
            <w:vAlign w:val="center"/>
          </w:tcPr>
          <w:p>
            <w:pPr>
              <w:spacing w:before="0" w:after="0" w:line="259" w:lineRule="auto"/>
            </w:pPr>
            <w:r>
              <w:rPr>
                <w:rFonts w:ascii="Calibri" w:hAnsi="Calibri"/>
                <w:sz w:val="17"/>
              </w:rPr>
              <w:t>Roles, company identity, prospects, outreach, tokens, audits, and import batches.</w:t>
            </w:r>
          </w:p>
        </w:tc>
      </w:tr>
      <w:tr>
        <w:trPr>
          <w:cantSplit/>
        </w:trPr>
        <w:tc>
          <w:tcPr>
            <w:tcW w:type="dxa" w:w="3000"/>
            <w:tcMar>
              <w:top w:w="80" w:type="dxa"/>
              <w:start w:w="120" w:type="dxa"/>
              <w:bottom w:w="80" w:type="dxa"/>
              <w:end w:w="120" w:type="dxa"/>
            </w:tcMar>
            <w:vAlign w:val="center"/>
          </w:tcPr>
          <w:p>
            <w:pPr>
              <w:spacing w:before="0" w:after="0" w:line="259" w:lineRule="auto"/>
            </w:pPr>
            <w:r>
              <w:rPr>
                <w:rFonts w:ascii="Calibri" w:hAnsi="Calibri"/>
                <w:sz w:val="17"/>
              </w:rPr>
              <w:t>outreach/forms.py</w:t>
            </w:r>
          </w:p>
        </w:tc>
        <w:tc>
          <w:tcPr>
            <w:tcW w:type="dxa" w:w="6360"/>
            <w:tcMar>
              <w:top w:w="80" w:type="dxa"/>
              <w:start w:w="120" w:type="dxa"/>
              <w:bottom w:w="80" w:type="dxa"/>
              <w:end w:w="120" w:type="dxa"/>
            </w:tcMar>
            <w:vAlign w:val="center"/>
          </w:tcPr>
          <w:p>
            <w:pPr>
              <w:spacing w:before="0" w:after="0" w:line="259" w:lineRule="auto"/>
            </w:pPr>
            <w:r>
              <w:rPr>
                <w:rFonts w:ascii="Calibri" w:hAnsi="Calibri"/>
                <w:sz w:val="17"/>
              </w:rPr>
              <w:t>Browser fields, duplicate checks, owner/workstream rules, and outreach sequencing.</w:t>
            </w:r>
          </w:p>
        </w:tc>
      </w:tr>
      <w:tr>
        <w:trPr>
          <w:cantSplit/>
        </w:trPr>
        <w:tc>
          <w:tcPr>
            <w:tcW w:type="dxa" w:w="3000"/>
            <w:tcMar>
              <w:top w:w="80" w:type="dxa"/>
              <w:start w:w="120" w:type="dxa"/>
              <w:bottom w:w="80" w:type="dxa"/>
              <w:end w:w="120" w:type="dxa"/>
            </w:tcMar>
            <w:vAlign w:val="center"/>
          </w:tcPr>
          <w:p>
            <w:pPr>
              <w:spacing w:before="0" w:after="0" w:line="259" w:lineRule="auto"/>
            </w:pPr>
            <w:r>
              <w:rPr>
                <w:rFonts w:ascii="Calibri" w:hAnsi="Calibri"/>
                <w:sz w:val="17"/>
              </w:rPr>
              <w:t>outreach/views.py</w:t>
            </w:r>
          </w:p>
        </w:tc>
        <w:tc>
          <w:tcPr>
            <w:tcW w:type="dxa" w:w="6360"/>
            <w:tcMar>
              <w:top w:w="80" w:type="dxa"/>
              <w:start w:w="120" w:type="dxa"/>
              <w:bottom w:w="80" w:type="dxa"/>
              <w:end w:w="120" w:type="dxa"/>
            </w:tcMar>
            <w:vAlign w:val="center"/>
          </w:tcPr>
          <w:p>
            <w:pPr>
              <w:spacing w:before="0" w:after="0" w:line="259" w:lineRule="auto"/>
            </w:pPr>
            <w:r>
              <w:rPr>
                <w:rFonts w:ascii="Calibri" w:hAnsi="Calibri"/>
                <w:sz w:val="17"/>
              </w:rPr>
              <w:t>Dashboard, CRUD, claim, imports/rollback, exports, outreach, and user lifecycle.</w:t>
            </w:r>
          </w:p>
        </w:tc>
      </w:tr>
      <w:tr>
        <w:trPr>
          <w:cantSplit/>
        </w:trPr>
        <w:tc>
          <w:tcPr>
            <w:tcW w:type="dxa" w:w="3000"/>
            <w:tcMar>
              <w:top w:w="80" w:type="dxa"/>
              <w:start w:w="120" w:type="dxa"/>
              <w:bottom w:w="80" w:type="dxa"/>
              <w:end w:w="120" w:type="dxa"/>
            </w:tcMar>
            <w:vAlign w:val="center"/>
          </w:tcPr>
          <w:p>
            <w:pPr>
              <w:spacing w:before="0" w:after="0" w:line="259" w:lineRule="auto"/>
            </w:pPr>
            <w:r>
              <w:rPr>
                <w:rFonts w:ascii="Calibri" w:hAnsi="Calibri"/>
                <w:sz w:val="17"/>
              </w:rPr>
              <w:t>outreach/api.py</w:t>
            </w:r>
          </w:p>
        </w:tc>
        <w:tc>
          <w:tcPr>
            <w:tcW w:type="dxa" w:w="6360"/>
            <w:tcMar>
              <w:top w:w="80" w:type="dxa"/>
              <w:start w:w="120" w:type="dxa"/>
              <w:bottom w:w="80" w:type="dxa"/>
              <w:end w:w="120" w:type="dxa"/>
            </w:tcMar>
            <w:vAlign w:val="center"/>
          </w:tcPr>
          <w:p>
            <w:pPr>
              <w:spacing w:before="0" w:after="0" w:line="259" w:lineRule="auto"/>
            </w:pPr>
            <w:r>
              <w:rPr>
                <w:rFonts w:ascii="Calibri" w:hAnsi="Calibri"/>
                <w:sz w:val="17"/>
              </w:rPr>
              <w:t>Bearer authentication, company/prospect/outreach APIs, validation, auditing, and token access UI.</w:t>
            </w:r>
          </w:p>
        </w:tc>
      </w:tr>
      <w:tr>
        <w:trPr>
          <w:cantSplit/>
        </w:trPr>
        <w:tc>
          <w:tcPr>
            <w:tcW w:type="dxa" w:w="3000"/>
            <w:tcMar>
              <w:top w:w="80" w:type="dxa"/>
              <w:start w:w="120" w:type="dxa"/>
              <w:bottom w:w="80" w:type="dxa"/>
              <w:end w:w="120" w:type="dxa"/>
            </w:tcMar>
            <w:vAlign w:val="center"/>
          </w:tcPr>
          <w:p>
            <w:pPr>
              <w:spacing w:before="0" w:after="0" w:line="259" w:lineRule="auto"/>
            </w:pPr>
            <w:r>
              <w:rPr>
                <w:rFonts w:ascii="Calibri" w:hAnsi="Calibri"/>
                <w:sz w:val="17"/>
              </w:rPr>
              <w:t>outreach/api_documentation.py</w:t>
            </w:r>
          </w:p>
        </w:tc>
        <w:tc>
          <w:tcPr>
            <w:tcW w:type="dxa" w:w="6360"/>
            <w:tcMar>
              <w:top w:w="80" w:type="dxa"/>
              <w:start w:w="120" w:type="dxa"/>
              <w:bottom w:w="80" w:type="dxa"/>
              <w:end w:w="120" w:type="dxa"/>
            </w:tcMar>
            <w:vAlign w:val="center"/>
          </w:tcPr>
          <w:p>
            <w:pPr>
              <w:spacing w:before="0" w:after="0" w:line="259" w:lineRule="auto"/>
            </w:pPr>
            <w:r>
              <w:rPr>
                <w:rFonts w:ascii="Calibri" w:hAnsi="Calibri"/>
                <w:sz w:val="17"/>
              </w:rPr>
              <w:t>Field types, choices, rules, examples, and curl commands shown under /api-access/.</w:t>
            </w:r>
          </w:p>
        </w:tc>
      </w:tr>
      <w:tr>
        <w:trPr>
          <w:cantSplit/>
        </w:trPr>
        <w:tc>
          <w:tcPr>
            <w:tcW w:type="dxa" w:w="3000"/>
            <w:tcMar>
              <w:top w:w="80" w:type="dxa"/>
              <w:start w:w="120" w:type="dxa"/>
              <w:bottom w:w="80" w:type="dxa"/>
              <w:end w:w="120" w:type="dxa"/>
            </w:tcMar>
            <w:vAlign w:val="center"/>
          </w:tcPr>
          <w:p>
            <w:pPr>
              <w:spacing w:before="0" w:after="0" w:line="259" w:lineRule="auto"/>
            </w:pPr>
            <w:r>
              <w:rPr>
                <w:rFonts w:ascii="Calibri" w:hAnsi="Calibri"/>
                <w:sz w:val="17"/>
              </w:rPr>
              <w:t>outreach/bulk_import.py</w:t>
            </w:r>
          </w:p>
        </w:tc>
        <w:tc>
          <w:tcPr>
            <w:tcW w:type="dxa" w:w="6360"/>
            <w:tcMar>
              <w:top w:w="80" w:type="dxa"/>
              <w:start w:w="120" w:type="dxa"/>
              <w:bottom w:w="80" w:type="dxa"/>
              <w:end w:w="120" w:type="dxa"/>
            </w:tcMar>
            <w:vAlign w:val="center"/>
          </w:tcPr>
          <w:p>
            <w:pPr>
              <w:spacing w:before="0" w:after="0" w:line="259" w:lineRule="auto"/>
            </w:pPr>
            <w:r>
              <w:rPr>
                <w:rFonts w:ascii="Calibri" w:hAnsi="Calibri"/>
                <w:sz w:val="17"/>
              </w:rPr>
              <w:t>Three-column CSV validation, batch persistence, row reporting, and protected rollback.</w:t>
            </w:r>
          </w:p>
        </w:tc>
      </w:tr>
      <w:tr>
        <w:trPr>
          <w:cantSplit/>
        </w:trPr>
        <w:tc>
          <w:tcPr>
            <w:tcW w:type="dxa" w:w="3000"/>
            <w:tcMar>
              <w:top w:w="80" w:type="dxa"/>
              <w:start w:w="120" w:type="dxa"/>
              <w:bottom w:w="80" w:type="dxa"/>
              <w:end w:w="120" w:type="dxa"/>
            </w:tcMar>
            <w:vAlign w:val="center"/>
          </w:tcPr>
          <w:p>
            <w:pPr>
              <w:spacing w:before="0" w:after="0" w:line="259" w:lineRule="auto"/>
            </w:pPr>
            <w:r>
              <w:rPr>
                <w:rFonts w:ascii="Calibri" w:hAnsi="Calibri"/>
                <w:sz w:val="17"/>
              </w:rPr>
              <w:t>outreach/workflows.py</w:t>
            </w:r>
          </w:p>
        </w:tc>
        <w:tc>
          <w:tcPr>
            <w:tcW w:type="dxa" w:w="6360"/>
            <w:tcMar>
              <w:top w:w="80" w:type="dxa"/>
              <w:start w:w="120" w:type="dxa"/>
              <w:bottom w:w="80" w:type="dxa"/>
              <w:end w:w="120" w:type="dxa"/>
            </w:tcMar>
            <w:vAlign w:val="center"/>
          </w:tcPr>
          <w:p>
            <w:pPr>
              <w:spacing w:before="0" w:after="0" w:line="259" w:lineRule="auto"/>
            </w:pPr>
            <w:r>
              <w:rPr>
                <w:rFonts w:ascii="Calibri" w:hAnsi="Calibri"/>
                <w:sz w:val="17"/>
              </w:rPr>
              <w:t>Prospect state changes implied by outreach activity.</w:t>
            </w:r>
          </w:p>
        </w:tc>
      </w:tr>
      <w:tr>
        <w:trPr>
          <w:cantSplit/>
        </w:trPr>
        <w:tc>
          <w:tcPr>
            <w:tcW w:type="dxa" w:w="3000"/>
            <w:tcMar>
              <w:top w:w="80" w:type="dxa"/>
              <w:start w:w="120" w:type="dxa"/>
              <w:bottom w:w="80" w:type="dxa"/>
              <w:end w:w="120" w:type="dxa"/>
            </w:tcMar>
            <w:vAlign w:val="center"/>
          </w:tcPr>
          <w:p>
            <w:pPr>
              <w:spacing w:before="0" w:after="0" w:line="259" w:lineRule="auto"/>
            </w:pPr>
            <w:r>
              <w:rPr>
                <w:rFonts w:ascii="Calibri" w:hAnsi="Calibri"/>
                <w:sz w:val="17"/>
              </w:rPr>
              <w:t>outreach/permissions.py</w:t>
            </w:r>
          </w:p>
        </w:tc>
        <w:tc>
          <w:tcPr>
            <w:tcW w:type="dxa" w:w="6360"/>
            <w:tcMar>
              <w:top w:w="80" w:type="dxa"/>
              <w:start w:w="120" w:type="dxa"/>
              <w:bottom w:w="80" w:type="dxa"/>
              <w:end w:w="120" w:type="dxa"/>
            </w:tcMar>
            <w:vAlign w:val="center"/>
          </w:tcPr>
          <w:p>
            <w:pPr>
              <w:spacing w:before="0" w:after="0" w:line="259" w:lineRule="auto"/>
            </w:pPr>
            <w:r>
              <w:rPr>
                <w:rFonts w:ascii="Calibri" w:hAnsi="Calibri"/>
                <w:sz w:val="17"/>
              </w:rPr>
              <w:t>Manager and system-administrator predicates.</w:t>
            </w:r>
          </w:p>
        </w:tc>
      </w:tr>
      <w:tr>
        <w:trPr>
          <w:cantSplit/>
        </w:trPr>
        <w:tc>
          <w:tcPr>
            <w:tcW w:type="dxa" w:w="3000"/>
            <w:tcMar>
              <w:top w:w="80" w:type="dxa"/>
              <w:start w:w="120" w:type="dxa"/>
              <w:bottom w:w="80" w:type="dxa"/>
              <w:end w:w="120" w:type="dxa"/>
            </w:tcMar>
            <w:vAlign w:val="center"/>
          </w:tcPr>
          <w:p>
            <w:pPr>
              <w:spacing w:before="0" w:after="0" w:line="259" w:lineRule="auto"/>
            </w:pPr>
            <w:r>
              <w:rPr>
                <w:rFonts w:ascii="Calibri" w:hAnsi="Calibri"/>
                <w:sz w:val="17"/>
              </w:rPr>
              <w:t>outreach/tests/; outreach/migrations/</w:t>
            </w:r>
          </w:p>
        </w:tc>
        <w:tc>
          <w:tcPr>
            <w:tcW w:type="dxa" w:w="6360"/>
            <w:tcMar>
              <w:top w:w="80" w:type="dxa"/>
              <w:start w:w="120" w:type="dxa"/>
              <w:bottom w:w="80" w:type="dxa"/>
              <w:end w:w="120" w:type="dxa"/>
            </w:tcMar>
            <w:vAlign w:val="center"/>
          </w:tcPr>
          <w:p>
            <w:pPr>
              <w:spacing w:before="0" w:after="0" w:line="259" w:lineRule="auto"/>
            </w:pPr>
            <w:r>
              <w:rPr>
                <w:rFonts w:ascii="Calibri" w:hAnsi="Calibri"/>
                <w:sz w:val="17"/>
              </w:rPr>
              <w:t>102 baseline tests and committed schema history through migration 0008.</w:t>
            </w:r>
          </w:p>
        </w:tc>
      </w:tr>
    </w:tbl>
    <w:p>
      <w:pPr>
        <w:spacing w:after="0"/>
      </w:pPr>
    </w:p>
    <w:p>
      <w:pPr>
        <w:pStyle w:val="Heading1"/>
      </w:pPr>
      <w:r>
        <w:t>4. Users and access model</w:t>
      </w:r>
    </w:p>
    <w:tbl>
      <w:tblPr>
        <w:tblStyle w:val="TableGrid"/>
        <w:tblW w:type="dxa" w:w="9360"/>
        <w:tblLayout w:type="fixed"/>
        <w:tblLook w:firstColumn="1" w:firstRow="1" w:lastColumn="0" w:lastRow="0" w:noHBand="0" w:noVBand="1" w:val="04A0"/>
        <w:tblInd w:w="120" w:type="dxa"/>
      </w:tblPr>
      <w:tblGrid>
        <w:gridCol w:w="1900"/>
        <w:gridCol w:w="3200"/>
        <w:gridCol w:w="4260"/>
      </w:tblGrid>
      <w:tr>
        <w:trPr>
          <w:tblHeader w:val="true"/>
          <w:cantSplit/>
        </w:trPr>
        <w:tc>
          <w:tcPr>
            <w:tcW w:type="dxa" w:w="1900"/>
            <w:shd w:fill="E8EEF5"/>
            <w:tcMar>
              <w:top w:w="80" w:type="dxa"/>
              <w:start w:w="120" w:type="dxa"/>
              <w:bottom w:w="80" w:type="dxa"/>
              <w:end w:w="120" w:type="dxa"/>
            </w:tcMar>
            <w:vAlign w:val="center"/>
          </w:tcPr>
          <w:p>
            <w:pPr>
              <w:spacing w:before="0" w:after="0" w:line="252" w:lineRule="auto"/>
            </w:pPr>
            <w:r>
              <w:rPr>
                <w:rFonts w:ascii="Calibri" w:hAnsi="Calibri"/>
                <w:b/>
                <w:color w:val="0B2545"/>
                <w:sz w:val="17"/>
              </w:rPr>
              <w:t>User class</w:t>
            </w:r>
          </w:p>
        </w:tc>
        <w:tc>
          <w:tcPr>
            <w:tcW w:type="dxa" w:w="3200"/>
            <w:shd w:fill="E8EEF5"/>
            <w:tcMar>
              <w:top w:w="80" w:type="dxa"/>
              <w:start w:w="120" w:type="dxa"/>
              <w:bottom w:w="80" w:type="dxa"/>
              <w:end w:w="120" w:type="dxa"/>
            </w:tcMar>
            <w:vAlign w:val="center"/>
          </w:tcPr>
          <w:p>
            <w:pPr>
              <w:spacing w:before="0" w:after="0" w:line="252" w:lineRule="auto"/>
            </w:pPr>
            <w:r>
              <w:rPr>
                <w:rFonts w:ascii="Calibri" w:hAnsi="Calibri"/>
                <w:b/>
                <w:color w:val="0B2545"/>
                <w:sz w:val="17"/>
              </w:rPr>
              <w:t>Visibility</w:t>
            </w:r>
          </w:p>
        </w:tc>
        <w:tc>
          <w:tcPr>
            <w:tcW w:type="dxa" w:w="4260"/>
            <w:shd w:fill="E8EEF5"/>
            <w:tcMar>
              <w:top w:w="80" w:type="dxa"/>
              <w:start w:w="120" w:type="dxa"/>
              <w:bottom w:w="80" w:type="dxa"/>
              <w:end w:w="120" w:type="dxa"/>
            </w:tcMar>
            <w:vAlign w:val="center"/>
          </w:tcPr>
          <w:p>
            <w:pPr>
              <w:spacing w:before="0" w:after="0" w:line="252" w:lineRule="auto"/>
            </w:pPr>
            <w:r>
              <w:rPr>
                <w:rFonts w:ascii="Calibri" w:hAnsi="Calibri"/>
                <w:b/>
                <w:color w:val="0B2545"/>
                <w:sz w:val="17"/>
              </w:rPr>
              <w:t>Primary capability</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sz w:val="17"/>
              </w:rPr>
              <w:t>Sales intern</w:t>
            </w:r>
          </w:p>
        </w:tc>
        <w:tc>
          <w:tcPr>
            <w:tcW w:type="dxa" w:w="3200"/>
            <w:tcMar>
              <w:top w:w="80" w:type="dxa"/>
              <w:start w:w="120" w:type="dxa"/>
              <w:bottom w:w="80" w:type="dxa"/>
              <w:end w:w="120" w:type="dxa"/>
            </w:tcMar>
            <w:vAlign w:val="center"/>
          </w:tcPr>
          <w:p>
            <w:pPr>
              <w:spacing w:before="0" w:after="0" w:line="259" w:lineRule="auto"/>
            </w:pPr>
            <w:r>
              <w:rPr>
                <w:rFonts w:ascii="Calibri" w:hAnsi="Calibri"/>
                <w:sz w:val="17"/>
              </w:rPr>
              <w:t>Owned prospects plus unassigned Sales intern queue</w:t>
            </w:r>
          </w:p>
        </w:tc>
        <w:tc>
          <w:tcPr>
            <w:tcW w:type="dxa" w:w="4260"/>
            <w:tcMar>
              <w:top w:w="80" w:type="dxa"/>
              <w:start w:w="120" w:type="dxa"/>
              <w:bottom w:w="80" w:type="dxa"/>
              <w:end w:w="120" w:type="dxa"/>
            </w:tcMar>
            <w:vAlign w:val="center"/>
          </w:tcPr>
          <w:p>
            <w:pPr>
              <w:spacing w:before="0" w:after="0" w:line="259" w:lineRule="auto"/>
            </w:pPr>
            <w:r>
              <w:rPr>
                <w:rFonts w:ascii="Calibri" w:hAnsi="Calibri"/>
                <w:sz w:val="17"/>
              </w:rPr>
              <w:t>Research, qualify, claim, record outreach, update follow-up and handoff.</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sz w:val="17"/>
              </w:rPr>
              <w:t>Inside sales</w:t>
            </w:r>
          </w:p>
        </w:tc>
        <w:tc>
          <w:tcPr>
            <w:tcW w:type="dxa" w:w="3200"/>
            <w:tcMar>
              <w:top w:w="80" w:type="dxa"/>
              <w:start w:w="120" w:type="dxa"/>
              <w:bottom w:w="80" w:type="dxa"/>
              <w:end w:w="120" w:type="dxa"/>
            </w:tcMar>
            <w:vAlign w:val="center"/>
          </w:tcPr>
          <w:p>
            <w:pPr>
              <w:spacing w:before="0" w:after="0" w:line="259" w:lineRule="auto"/>
            </w:pPr>
            <w:r>
              <w:rPr>
                <w:rFonts w:ascii="Calibri" w:hAnsi="Calibri"/>
                <w:sz w:val="17"/>
              </w:rPr>
              <w:t>Owned prospects plus unassigned Inside sales queue</w:t>
            </w:r>
          </w:p>
        </w:tc>
        <w:tc>
          <w:tcPr>
            <w:tcW w:type="dxa" w:w="4260"/>
            <w:tcMar>
              <w:top w:w="80" w:type="dxa"/>
              <w:start w:w="120" w:type="dxa"/>
              <w:bottom w:w="80" w:type="dxa"/>
              <w:end w:w="120" w:type="dxa"/>
            </w:tcMar>
            <w:vAlign w:val="center"/>
          </w:tcPr>
          <w:p>
            <w:pPr>
              <w:spacing w:before="0" w:after="0" w:line="259" w:lineRule="auto"/>
            </w:pPr>
            <w:r>
              <w:rPr>
                <w:rFonts w:ascii="Calibri" w:hAnsi="Calibri"/>
                <w:sz w:val="17"/>
              </w:rPr>
              <w:t>Run the multi-channel cadence and convert responses to meetings.</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sz w:val="17"/>
              </w:rPr>
              <w:t>LinkedIn outreach</w:t>
            </w:r>
          </w:p>
        </w:tc>
        <w:tc>
          <w:tcPr>
            <w:tcW w:type="dxa" w:w="3200"/>
            <w:tcMar>
              <w:top w:w="80" w:type="dxa"/>
              <w:start w:w="120" w:type="dxa"/>
              <w:bottom w:w="80" w:type="dxa"/>
              <w:end w:w="120" w:type="dxa"/>
            </w:tcMar>
            <w:vAlign w:val="center"/>
          </w:tcPr>
          <w:p>
            <w:pPr>
              <w:spacing w:before="0" w:after="0" w:line="259" w:lineRule="auto"/>
            </w:pPr>
            <w:r>
              <w:rPr>
                <w:rFonts w:ascii="Calibri" w:hAnsi="Calibri"/>
                <w:sz w:val="17"/>
              </w:rPr>
              <w:t>Owned prospects plus unassigned LinkedIn queue</w:t>
            </w:r>
          </w:p>
        </w:tc>
        <w:tc>
          <w:tcPr>
            <w:tcW w:type="dxa" w:w="4260"/>
            <w:tcMar>
              <w:top w:w="80" w:type="dxa"/>
              <w:start w:w="120" w:type="dxa"/>
              <w:bottom w:w="80" w:type="dxa"/>
              <w:end w:w="120" w:type="dxa"/>
            </w:tcMar>
            <w:vAlign w:val="center"/>
          </w:tcPr>
          <w:p>
            <w:pPr>
              <w:spacing w:before="0" w:after="0" w:line="259" w:lineRule="auto"/>
            </w:pPr>
            <w:r>
              <w:rPr>
                <w:rFonts w:ascii="Calibri" w:hAnsi="Calibri"/>
                <w:sz w:val="17"/>
              </w:rPr>
              <w:t>Operate one founder account per prospect and follow connection sequencing.</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sz w:val="17"/>
              </w:rPr>
              <w:t>Manager</w:t>
            </w:r>
          </w:p>
        </w:tc>
        <w:tc>
          <w:tcPr>
            <w:tcW w:type="dxa" w:w="3200"/>
            <w:tcMar>
              <w:top w:w="80" w:type="dxa"/>
              <w:start w:w="120" w:type="dxa"/>
              <w:bottom w:w="80" w:type="dxa"/>
              <w:end w:w="120" w:type="dxa"/>
            </w:tcMar>
            <w:vAlign w:val="center"/>
          </w:tcPr>
          <w:p>
            <w:pPr>
              <w:spacing w:before="0" w:after="0" w:line="259" w:lineRule="auto"/>
            </w:pPr>
            <w:r>
              <w:rPr>
                <w:rFonts w:ascii="Calibri" w:hAnsi="Calibri"/>
                <w:sz w:val="17"/>
              </w:rPr>
              <w:t>All prospects and workstreams</w:t>
            </w:r>
          </w:p>
        </w:tc>
        <w:tc>
          <w:tcPr>
            <w:tcW w:type="dxa" w:w="4260"/>
            <w:tcMar>
              <w:top w:w="80" w:type="dxa"/>
              <w:start w:w="120" w:type="dxa"/>
              <w:bottom w:w="80" w:type="dxa"/>
              <w:end w:w="120" w:type="dxa"/>
            </w:tcMar>
            <w:vAlign w:val="center"/>
          </w:tcPr>
          <w:p>
            <w:pPr>
              <w:spacing w:before="0" w:after="0" w:line="259" w:lineRule="auto"/>
            </w:pPr>
            <w:r>
              <w:rPr>
                <w:rFonts w:ascii="Calibri" w:hAnsi="Calibri"/>
                <w:sz w:val="17"/>
              </w:rPr>
              <w:t>Assign/reassign, monitor queues, correct records, import, rollback, export, and use APIs.</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sz w:val="17"/>
              </w:rPr>
              <w:t>System admin</w:t>
            </w:r>
          </w:p>
        </w:tc>
        <w:tc>
          <w:tcPr>
            <w:tcW w:type="dxa" w:w="3200"/>
            <w:tcMar>
              <w:top w:w="80" w:type="dxa"/>
              <w:start w:w="120" w:type="dxa"/>
              <w:bottom w:w="80" w:type="dxa"/>
              <w:end w:w="120" w:type="dxa"/>
            </w:tcMar>
            <w:vAlign w:val="center"/>
          </w:tcPr>
          <w:p>
            <w:pPr>
              <w:spacing w:before="0" w:after="0" w:line="259" w:lineRule="auto"/>
            </w:pPr>
            <w:r>
              <w:rPr>
                <w:rFonts w:ascii="Calibri" w:hAnsi="Calibri"/>
                <w:sz w:val="17"/>
              </w:rPr>
              <w:t>Manager visibility plus Users area</w:t>
            </w:r>
          </w:p>
        </w:tc>
        <w:tc>
          <w:tcPr>
            <w:tcW w:type="dxa" w:w="4260"/>
            <w:tcMar>
              <w:top w:w="80" w:type="dxa"/>
              <w:start w:w="120" w:type="dxa"/>
              <w:bottom w:w="80" w:type="dxa"/>
              <w:end w:w="120" w:type="dxa"/>
            </w:tcMar>
            <w:vAlign w:val="center"/>
          </w:tcPr>
          <w:p>
            <w:pPr>
              <w:spacing w:before="0" w:after="0" w:line="259" w:lineRule="auto"/>
            </w:pPr>
            <w:r>
              <w:rPr>
                <w:rFonts w:ascii="Calibri" w:hAnsi="Calibri"/>
                <w:sz w:val="17"/>
              </w:rPr>
              <w:t>Pre-provision, edit, disable, restore, or delete accounts subject to last-admin protections.</w:t>
            </w:r>
          </w:p>
        </w:tc>
      </w:tr>
      <w:tr>
        <w:trPr>
          <w:cantSplit/>
        </w:trPr>
        <w:tc>
          <w:tcPr>
            <w:tcW w:type="dxa" w:w="1900"/>
            <w:tcMar>
              <w:top w:w="80" w:type="dxa"/>
              <w:start w:w="120" w:type="dxa"/>
              <w:bottom w:w="80" w:type="dxa"/>
              <w:end w:w="120" w:type="dxa"/>
            </w:tcMar>
            <w:vAlign w:val="center"/>
          </w:tcPr>
          <w:p>
            <w:pPr>
              <w:spacing w:before="0" w:after="0" w:line="259" w:lineRule="auto"/>
            </w:pPr>
            <w:r>
              <w:rPr>
                <w:rFonts w:ascii="Calibri" w:hAnsi="Calibri"/>
                <w:sz w:val="17"/>
              </w:rPr>
              <w:t>Founder</w:t>
            </w:r>
          </w:p>
        </w:tc>
        <w:tc>
          <w:tcPr>
            <w:tcW w:type="dxa" w:w="3200"/>
            <w:tcMar>
              <w:top w:w="80" w:type="dxa"/>
              <w:start w:w="120" w:type="dxa"/>
              <w:bottom w:w="80" w:type="dxa"/>
              <w:end w:w="120" w:type="dxa"/>
            </w:tcMar>
            <w:vAlign w:val="center"/>
          </w:tcPr>
          <w:p>
            <w:pPr>
              <w:spacing w:before="0" w:after="0" w:line="259" w:lineRule="auto"/>
            </w:pPr>
            <w:r>
              <w:rPr>
                <w:rFonts w:ascii="Calibri" w:hAnsi="Calibri"/>
                <w:sz w:val="17"/>
              </w:rPr>
              <w:t>No distinct application role in the baseline</w:t>
            </w:r>
          </w:p>
        </w:tc>
        <w:tc>
          <w:tcPr>
            <w:tcW w:type="dxa" w:w="4260"/>
            <w:tcMar>
              <w:top w:w="80" w:type="dxa"/>
              <w:start w:w="120" w:type="dxa"/>
              <w:bottom w:w="80" w:type="dxa"/>
              <w:end w:w="120" w:type="dxa"/>
            </w:tcMar>
            <w:vAlign w:val="center"/>
          </w:tcPr>
          <w:p>
            <w:pPr>
              <w:spacing w:before="0" w:after="0" w:line="259" w:lineRule="auto"/>
            </w:pPr>
            <w:r>
              <w:rPr>
                <w:rFonts w:ascii="Calibri" w:hAnsi="Calibri"/>
                <w:sz w:val="17"/>
              </w:rPr>
              <w:t>Receives structured handoff through the operating process; access requires an approved application role if needed.</w:t>
            </w:r>
          </w:p>
        </w:tc>
      </w:tr>
    </w:tbl>
    <w:p>
      <w:pPr>
        <w:spacing w:after="0"/>
      </w:pPr>
    </w:p>
    <w:p>
      <w:pPr>
        <w:numPr>
          <w:ilvl w:val="0"/>
          <w:numId w:val="10"/>
        </w:numPr>
      </w:pPr>
      <w:r>
        <w:t>Interactive login uses Google OAuth. With REQUIRE_PREPROVISIONED_USERS=True, the exact email must exist before first sign-in unless it is a configured bootstrap manager or system administrator.</w:t>
      </w:r>
    </w:p>
    <w:p>
      <w:pPr>
        <w:numPr>
          <w:ilvl w:val="0"/>
          <w:numId w:val="10"/>
        </w:numPr>
      </w:pPr>
      <w:r>
        <w:t>Frontline users must claim an unassigned prospect before editing or recording outreach. Their role must match the prospect workstream.</w:t>
      </w:r>
    </w:p>
    <w:p>
      <w:pPr>
        <w:numPr>
          <w:ilvl w:val="0"/>
          <w:numId w:val="10"/>
        </w:numPr>
      </w:pPr>
      <w:r>
        <w:t>Managers and system administrators share supervisory prospect access. Only system administrators manage user lifecycle.</w:t>
      </w:r>
    </w:p>
    <w:p>
      <w:pPr>
        <w:numPr>
          <w:ilvl w:val="0"/>
          <w:numId w:val="10"/>
        </w:numPr>
      </w:pPr>
      <w:r>
        <w:t>Disabling a user blocks interactive and API access while preserving protected audit and sales-history references.</w:t>
      </w:r>
    </w:p>
    <w:p>
      <w:pPr>
        <w:pStyle w:val="Heading1"/>
      </w:pPr>
      <w:r>
        <w:t>5. End-to-end user flows</w:t>
      </w:r>
    </w:p>
    <w:p>
      <w:pPr>
        <w:pStyle w:val="Heading2"/>
      </w:pPr>
      <w:r>
        <w:t>5.1 Sign-in and provisioning</w:t>
      </w:r>
    </w:p>
    <w:p>
      <w:pPr>
        <w:numPr>
          <w:ilvl w:val="0"/>
          <w:numId w:val="11"/>
        </w:numPr>
      </w:pPr>
      <w:r>
        <w:t>A system administrator adds the user's exact Google email and assigns one of the five application roles.</w:t>
      </w:r>
    </w:p>
    <w:p>
      <w:pPr>
        <w:numPr>
          <w:ilvl w:val="0"/>
          <w:numId w:val="11"/>
        </w:numPr>
      </w:pPr>
      <w:r>
        <w:t>The user opens /login/, selects Google, and completes OAuth with the approved account.</w:t>
      </w:r>
    </w:p>
    <w:p>
      <w:pPr>
        <w:numPr>
          <w:ilvl w:val="0"/>
          <w:numId w:val="11"/>
        </w:numPr>
      </w:pPr>
      <w:r>
        <w:t>The adapter rejects unknown, disabled, or disallowed users; successful users land on /dashboard/ with role-scoped data.</w:t>
      </w:r>
    </w:p>
    <w:p>
      <w:pPr>
        <w:numPr>
          <w:ilvl w:val="0"/>
          <w:numId w:val="11"/>
        </w:numPr>
      </w:pPr>
      <w:r>
        <w:t>If access changes, a system administrator edits, disables, restores, or deletes the account. Protected records cause deletion to become disablement.</w:t>
      </w:r>
    </w:p>
    <w:p>
      <w:pPr>
        <w:pStyle w:val="Heading2"/>
      </w:pPr>
      <w:r>
        <w:t>5.2 Claim, research, and qualify</w:t>
      </w:r>
    </w:p>
    <w:p>
      <w:pPr>
        <w:numPr>
          <w:ilvl w:val="0"/>
          <w:numId w:val="12"/>
        </w:numPr>
      </w:pPr>
      <w:r>
        <w:t>The user opens the role queue and atomically claims an unassigned prospect. Managers assign instead of claiming.</w:t>
      </w:r>
    </w:p>
    <w:p>
      <w:pPr>
        <w:numPr>
          <w:ilvl w:val="0"/>
          <w:numId w:val="12"/>
        </w:numPr>
      </w:pPr>
      <w:r>
        <w:t>The owner verifies company name, website, location, consulting focus, client segment, evidence, senior contact, and at least one contact method.</w:t>
      </w:r>
    </w:p>
    <w:p>
      <w:pPr>
        <w:numPr>
          <w:ilvl w:val="0"/>
          <w:numId w:val="12"/>
        </w:numPr>
      </w:pPr>
      <w:r>
        <w:t>LinkedIn work additionally requires a contact LinkedIn URL, one founder account, a connection state, and factual personalization.</w:t>
      </w:r>
    </w:p>
    <w:p>
      <w:pPr>
        <w:numPr>
          <w:ilvl w:val="0"/>
          <w:numId w:val="12"/>
        </w:numPr>
      </w:pPr>
      <w:r>
        <w:t>Saving a completed Research required record advances it to Eligible. Duplicate website domains or contact LinkedIn profiles are blocked within the same workstream.</w:t>
      </w:r>
    </w:p>
    <w:p>
      <w:pPr>
        <w:pStyle w:val="Heading2"/>
      </w:pPr>
      <w:r>
        <w:t>5.3 Record outreach</w:t>
      </w:r>
    </w:p>
    <w:p>
      <w:pPr>
        <w:numPr>
          <w:ilvl w:val="0"/>
          <w:numId w:val="13"/>
        </w:numPr>
      </w:pPr>
      <w:r>
        <w:t>Complete the communication in the external channel, then open the prospect and add the actual activity.</w:t>
      </w:r>
    </w:p>
    <w:p>
      <w:pPr>
        <w:numPr>
          <w:ilvl w:val="0"/>
          <w:numId w:val="13"/>
        </w:numPr>
      </w:pPr>
      <w:r>
        <w:t>Choose the allowed activity type and medium, enter a non-future date, and add only a factual response or note.</w:t>
      </w:r>
    </w:p>
    <w:p>
      <w:pPr>
        <w:numPr>
          <w:ilvl w:val="0"/>
          <w:numId w:val="13"/>
        </w:numPr>
      </w:pPr>
      <w:r>
        <w:t>The system locks the prospect row, assigns the first free sequence number from 1 to 5, and rejects a sixth record or a concurrent collision.</w:t>
      </w:r>
    </w:p>
    <w:p>
      <w:pPr>
        <w:numPr>
          <w:ilvl w:val="0"/>
          <w:numId w:val="13"/>
        </w:numPr>
      </w:pPr>
      <w:r>
        <w:t>State changes may move Eligible to Contacted, move a responded record to Responded, or update LinkedIn connection, material, and escalation fields.</w:t>
      </w:r>
    </w:p>
    <w:p>
      <w:pPr>
        <w:numPr>
          <w:ilvl w:val="0"/>
          <w:numId w:val="13"/>
        </w:numPr>
      </w:pPr>
      <w:r>
        <w:t>Correct factual errors through Edit. Outreach identity, prospect, sequence, and original recorder remain fixed; there is no delete route.</w:t>
      </w:r>
    </w:p>
    <w:p>
      <w:pPr>
        <w:pStyle w:val="Heading2"/>
      </w:pPr>
      <w:r>
        <w:t>5.4 LinkedIn founder-account sequence</w:t>
      </w:r>
    </w:p>
    <w:p>
      <w:pPr>
        <w:numPr>
          <w:ilvl w:val="0"/>
          <w:numId w:val="14"/>
        </w:numPr>
      </w:pPr>
      <w:r>
        <w:t>Assign exactly one founder account: Kandarp Soni (Chicago) or Sunit Kala (Florida).</w:t>
      </w:r>
    </w:p>
    <w:p>
      <w:pPr>
        <w:numPr>
          <w:ilvl w:val="0"/>
          <w:numId w:val="14"/>
        </w:numPr>
      </w:pPr>
      <w:r>
        <w:t>Record Connection request sent only from state not sent, then record acceptance only after request sent.</w:t>
      </w:r>
    </w:p>
    <w:p>
      <w:pPr>
        <w:numPr>
          <w:ilvl w:val="0"/>
          <w:numId w:val="14"/>
        </w:numPr>
      </w:pPr>
      <w:r>
        <w:t>Only after acceptance, record proposition/material, entry-point follow-up, close-the-loop, or founder handoff activities.</w:t>
      </w:r>
    </w:p>
    <w:p>
      <w:pPr>
        <w:numPr>
          <w:ilvl w:val="0"/>
          <w:numId w:val="14"/>
        </w:numPr>
      </w:pPr>
      <w:r>
        <w:t>Set founder escalation only after acceptance plus an evidenced response or interest signal; record the exact founder action required.</w:t>
      </w:r>
    </w:p>
    <w:p>
      <w:pPr>
        <w:numPr>
          <w:ilvl w:val="0"/>
          <w:numId w:val="14"/>
        </w:numPr>
      </w:pPr>
      <w:r>
        <w:t>Do not contact the same person or firm through both founder accounts. Correct the existing record instead.</w:t>
      </w:r>
    </w:p>
    <w:p>
      <w:pPr>
        <w:pStyle w:val="Heading2"/>
      </w:pPr>
      <w:r>
        <w:t>5.5 Interest, follow-up, and meeting</w:t>
      </w:r>
    </w:p>
    <w:p>
      <w:pPr>
        <w:numPr>
          <w:ilvl w:val="0"/>
          <w:numId w:val="15"/>
        </w:numPr>
      </w:pPr>
      <w:r>
        <w:t>Record the approved material already shared, the exact interest signal, and only questions explicitly raised for founders.</w:t>
      </w:r>
    </w:p>
    <w:p>
      <w:pPr>
        <w:numPr>
          <w:ilvl w:val="0"/>
          <w:numId w:val="15"/>
        </w:numPr>
      </w:pPr>
      <w:r>
        <w:t>Maintain one concrete next action and one date; both must be present or cleared together.</w:t>
      </w:r>
    </w:p>
    <w:p>
      <w:pPr>
        <w:numPr>
          <w:ilvl w:val="0"/>
          <w:numId w:val="15"/>
        </w:numPr>
      </w:pPr>
      <w:r>
        <w:t>Use Meeting to be scheduled when interest is confirmed. Meeting scheduled requires date/time with offset, time zone, and participants.</w:t>
      </w:r>
    </w:p>
    <w:p>
      <w:pPr>
        <w:numPr>
          <w:ilvl w:val="0"/>
          <w:numId w:val="15"/>
        </w:numPr>
      </w:pPr>
      <w:r>
        <w:t>Status changes synchronize later stages: Not interested to Closed, Meeting to be scheduled to Interested, Meeting scheduled to Founder meeting booked, and Meeting done to Meeting completed.</w:t>
      </w:r>
    </w:p>
    <w:p>
      <w:pPr>
        <w:numPr>
          <w:ilvl w:val="0"/>
          <w:numId w:val="15"/>
        </w:numPr>
      </w:pPr>
      <w:r>
        <w:t>The founder receives the structured context; the operator keeps the record current after the founder acts or the outcome changes.</w:t>
      </w:r>
    </w:p>
    <w:p>
      <w:pPr>
        <w:pStyle w:val="Heading2"/>
      </w:pPr>
      <w:r>
        <w:t>5.6 Manager and system-administrator operations</w:t>
      </w:r>
    </w:p>
    <w:p>
      <w:pPr>
        <w:numPr>
          <w:ilvl w:val="0"/>
          <w:numId w:val="10"/>
        </w:numPr>
      </w:pPr>
      <w:r>
        <w:t>Review unassigned, today, overdue, stage, status, owner, workstream, and outreach-count queues; assign a matching active operator.</w:t>
      </w:r>
    </w:p>
    <w:p>
      <w:pPr>
        <w:numPr>
          <w:ilvl w:val="0"/>
          <w:numId w:val="10"/>
        </w:numPr>
      </w:pPr>
      <w:r>
        <w:t>Correct factual data without creating replacement duplicates or rewriting outreach history.</w:t>
      </w:r>
    </w:p>
    <w:p>
      <w:pPr>
        <w:numPr>
          <w:ilvl w:val="0"/>
          <w:numId w:val="10"/>
        </w:numPr>
      </w:pPr>
      <w:r>
        <w:t>Export the role-scoped company list in CSV or XLSX for approved downstream use.</w:t>
      </w:r>
    </w:p>
    <w:p>
      <w:pPr>
        <w:numPr>
          <w:ilvl w:val="0"/>
          <w:numId w:val="10"/>
        </w:numPr>
      </w:pPr>
      <w:r>
        <w:t>System administrators keep at least one active system administrator and cannot remove their own administrative role or account.</w:t>
      </w:r>
    </w:p>
    <w:p>
      <w:pPr>
        <w:pStyle w:val="Heading1"/>
      </w:pPr>
      <w:r>
        <w:t>6. Bulk ingestion and safe undo</w:t>
      </w:r>
    </w:p>
    <w:p>
      <w:r>
        <w:t>The browser accepts a UTF-8 CSV of at most 5 MB with exactly these headers and order:</w:t>
      </w:r>
    </w:p>
    <w:p>
      <w:pPr>
        <w:spacing w:before="80" w:after="160" w:line="240" w:lineRule="auto"/>
        <w:shd w:fill="F2F4F7"/>
      </w:pPr>
      <w:r>
        <w:rPr>
          <w:rFonts w:ascii="Courier New" w:hAnsi="Courier New"/>
          <w:color w:val="253447"/>
          <w:sz w:val="16"/>
        </w:rPr>
        <w:t>Company Name,Website,Area</w:t>
        <w:br/>
        <w:t>Example Advisory,https://example.com,Austin, Texas</w:t>
      </w:r>
    </w:p>
    <w:p>
      <w:pPr>
        <w:numPr>
          <w:ilvl w:val="0"/>
          <w:numId w:val="16"/>
        </w:numPr>
      </w:pPr>
      <w:r>
        <w:t>Open Add prospect -&gt; Upload prospect CSV, or Import CSV from the dashboard.</w:t>
      </w:r>
    </w:p>
    <w:p>
      <w:pPr>
        <w:numPr>
          <w:ilvl w:val="0"/>
          <w:numId w:val="16"/>
        </w:numPr>
      </w:pPr>
      <w:r>
        <w:t>Frontline users import into their own workstream and ownership. Managers/admins select a workstream and optional matching owner.</w:t>
      </w:r>
    </w:p>
    <w:p>
      <w:pPr>
        <w:numPr>
          <w:ilvl w:val="0"/>
          <w:numId w:val="16"/>
        </w:numPr>
      </w:pPr>
      <w:r>
        <w:t>The parser processes valid rows and lists every ignored row with a reason; one invalid row does not block the batch.</w:t>
      </w:r>
    </w:p>
    <w:p>
      <w:pPr>
        <w:numPr>
          <w:ilvl w:val="0"/>
          <w:numId w:val="16"/>
        </w:numPr>
      </w:pPr>
      <w:r>
        <w:t>Duplicate company names or normalized website domains in the file or target workstream, blank cells, invalid URLs, wrong column counts, and oversized values are ignored.</w:t>
      </w:r>
    </w:p>
    <w:p>
      <w:pPr>
        <w:numPr>
          <w:ilvl w:val="0"/>
          <w:numId w:val="16"/>
        </w:numPr>
      </w:pPr>
      <w:r>
        <w:t>Rollback removes only unchanged prospects created by that batch. Edited records and records with outreach or API activity remain protected and are listed.</w:t>
      </w:r>
    </w:p>
    <w:p>
      <w:pPr>
        <w:spacing w:before="100" w:after="160"/>
        <w:ind w:left="115" w:right="58"/>
        <w:shd w:fill="FCE8E8"/>
        <w:pBdr>
          <w:left w:val="single" w:sz="18" w:space="6" w:color="9B1C1C"/>
        </w:pBdr>
      </w:pPr>
      <w:r>
        <w:rPr>
          <w:rFonts w:ascii="Calibri" w:hAnsi="Calibri"/>
          <w:b/>
          <w:color w:val="9B1C1C"/>
          <w:sz w:val="21"/>
        </w:rPr>
        <w:t xml:space="preserve">Data safety: </w:t>
      </w:r>
      <w:r>
        <w:rPr>
          <w:rFonts w:ascii="Calibri" w:hAnsi="Calibri"/>
          <w:sz w:val="21"/>
        </w:rPr>
        <w:t>Never test production ingestion with disposable rows. Validate locally or in an approved non-production environment; production rollback is intentionally partial when records have gained business history.</w:t>
      </w:r>
    </w:p>
    <w:p>
      <w:pPr>
        <w:pStyle w:val="Heading1"/>
      </w:pPr>
      <w:r>
        <w:t>7. API and automation surface</w:t>
      </w:r>
    </w:p>
    <w:p>
      <w:r>
        <w:t>Every active user can generate a persistent opaque bearer token under /api-access/. The raw token is shown once; only a SHA-256 hash and identifying prefix are stored. Tokens inherit the user's current role and scope and remain valid until revoked or the user is disabled.</w:t>
      </w:r>
    </w:p>
    <w:tbl>
      <w:tblPr>
        <w:tblStyle w:val="TableGrid"/>
        <w:tblW w:type="dxa" w:w="9360"/>
        <w:tblLayout w:type="fixed"/>
        <w:tblLook w:firstColumn="1" w:firstRow="1" w:lastColumn="0" w:lastRow="0" w:noHBand="0" w:noVBand="1" w:val="04A0"/>
        <w:tblInd w:w="120" w:type="dxa"/>
      </w:tblPr>
      <w:tblGrid>
        <w:gridCol w:w="2600"/>
        <w:gridCol w:w="1500"/>
        <w:gridCol w:w="5260"/>
      </w:tblGrid>
      <w:tr>
        <w:trPr>
          <w:tblHeader w:val="true"/>
          <w:cantSplit/>
        </w:trPr>
        <w:tc>
          <w:tcPr>
            <w:tcW w:type="dxa" w:w="2600"/>
            <w:shd w:fill="E8EEF5"/>
            <w:tcMar>
              <w:top w:w="80" w:type="dxa"/>
              <w:start w:w="120" w:type="dxa"/>
              <w:bottom w:w="80" w:type="dxa"/>
              <w:end w:w="120" w:type="dxa"/>
            </w:tcMar>
            <w:vAlign w:val="center"/>
          </w:tcPr>
          <w:p>
            <w:pPr>
              <w:spacing w:before="0" w:after="0" w:line="252" w:lineRule="auto"/>
            </w:pPr>
            <w:r>
              <w:rPr>
                <w:rFonts w:ascii="Calibri" w:hAnsi="Calibri"/>
                <w:b/>
                <w:color w:val="0B2545"/>
                <w:sz w:val="17"/>
              </w:rPr>
              <w:t>Capability</w:t>
            </w:r>
          </w:p>
        </w:tc>
        <w:tc>
          <w:tcPr>
            <w:tcW w:type="dxa" w:w="1500"/>
            <w:shd w:fill="E8EEF5"/>
            <w:tcMar>
              <w:top w:w="80" w:type="dxa"/>
              <w:start w:w="120" w:type="dxa"/>
              <w:bottom w:w="80" w:type="dxa"/>
              <w:end w:w="120" w:type="dxa"/>
            </w:tcMar>
            <w:vAlign w:val="center"/>
          </w:tcPr>
          <w:p>
            <w:pPr>
              <w:spacing w:before="0" w:after="0" w:line="252" w:lineRule="auto"/>
            </w:pPr>
            <w:r>
              <w:rPr>
                <w:rFonts w:ascii="Calibri" w:hAnsi="Calibri"/>
                <w:b/>
                <w:color w:val="0B2545"/>
                <w:sz w:val="17"/>
              </w:rPr>
              <w:t>Methods</w:t>
            </w:r>
          </w:p>
        </w:tc>
        <w:tc>
          <w:tcPr>
            <w:tcW w:type="dxa" w:w="5260"/>
            <w:shd w:fill="E8EEF5"/>
            <w:tcMar>
              <w:top w:w="80" w:type="dxa"/>
              <w:start w:w="120" w:type="dxa"/>
              <w:bottom w:w="80" w:type="dxa"/>
              <w:end w:w="120" w:type="dxa"/>
            </w:tcMar>
            <w:vAlign w:val="center"/>
          </w:tcPr>
          <w:p>
            <w:pPr>
              <w:spacing w:before="0" w:after="0" w:line="252" w:lineRule="auto"/>
            </w:pPr>
            <w:r>
              <w:rPr>
                <w:rFonts w:ascii="Calibri" w:hAnsi="Calibri"/>
                <w:b/>
                <w:color w:val="0B2545"/>
                <w:sz w:val="17"/>
              </w:rPr>
              <w:t>Endpoint</w:t>
            </w:r>
          </w:p>
        </w:tc>
      </w:tr>
      <w:tr>
        <w:trPr>
          <w:cantSplit/>
        </w:trPr>
        <w:tc>
          <w:tcPr>
            <w:tcW w:type="dxa" w:w="2600"/>
            <w:tcMar>
              <w:top w:w="80" w:type="dxa"/>
              <w:start w:w="120" w:type="dxa"/>
              <w:bottom w:w="80" w:type="dxa"/>
              <w:end w:w="120" w:type="dxa"/>
            </w:tcMar>
            <w:vAlign w:val="center"/>
          </w:tcPr>
          <w:p>
            <w:pPr>
              <w:spacing w:before="0" w:after="0" w:line="259" w:lineRule="auto"/>
            </w:pPr>
            <w:r>
              <w:rPr>
                <w:rFonts w:ascii="Calibri" w:hAnsi="Calibri"/>
                <w:sz w:val="17"/>
              </w:rPr>
              <w:t>Company details</w:t>
            </w:r>
          </w:p>
        </w:tc>
        <w:tc>
          <w:tcPr>
            <w:tcW w:type="dxa" w:w="1500"/>
            <w:tcMar>
              <w:top w:w="80" w:type="dxa"/>
              <w:start w:w="120" w:type="dxa"/>
              <w:bottom w:w="80" w:type="dxa"/>
              <w:end w:w="120" w:type="dxa"/>
            </w:tcMar>
            <w:vAlign w:val="center"/>
          </w:tcPr>
          <w:p>
            <w:pPr>
              <w:spacing w:before="0" w:after="0" w:line="259" w:lineRule="auto"/>
            </w:pPr>
            <w:r>
              <w:rPr>
                <w:rFonts w:ascii="Calibri" w:hAnsi="Calibri"/>
                <w:sz w:val="17"/>
              </w:rPr>
              <w:t>GET, PATCH</w:t>
            </w:r>
          </w:p>
        </w:tc>
        <w:tc>
          <w:tcPr>
            <w:tcW w:type="dxa" w:w="5260"/>
            <w:tcMar>
              <w:top w:w="80" w:type="dxa"/>
              <w:start w:w="120" w:type="dxa"/>
              <w:bottom w:w="80" w:type="dxa"/>
              <w:end w:w="120" w:type="dxa"/>
            </w:tcMar>
            <w:vAlign w:val="center"/>
          </w:tcPr>
          <w:p>
            <w:pPr>
              <w:spacing w:before="0" w:after="0" w:line="259" w:lineRule="auto"/>
            </w:pPr>
            <w:r>
              <w:rPr>
                <w:rFonts w:ascii="Calibri" w:hAnsi="Calibri"/>
                <w:sz w:val="17"/>
              </w:rPr>
              <w:t>/api/v1/companies/&lt;company_uuid&gt;/</w:t>
            </w:r>
          </w:p>
        </w:tc>
      </w:tr>
      <w:tr>
        <w:trPr>
          <w:cantSplit/>
        </w:trPr>
        <w:tc>
          <w:tcPr>
            <w:tcW w:type="dxa" w:w="2600"/>
            <w:tcMar>
              <w:top w:w="80" w:type="dxa"/>
              <w:start w:w="120" w:type="dxa"/>
              <w:bottom w:w="80" w:type="dxa"/>
              <w:end w:w="120" w:type="dxa"/>
            </w:tcMar>
            <w:vAlign w:val="center"/>
          </w:tcPr>
          <w:p>
            <w:pPr>
              <w:spacing w:before="0" w:after="0" w:line="259" w:lineRule="auto"/>
            </w:pPr>
            <w:r>
              <w:rPr>
                <w:rFonts w:ascii="Calibri" w:hAnsi="Calibri"/>
                <w:sz w:val="17"/>
              </w:rPr>
              <w:t>Claim company prospect</w:t>
            </w:r>
          </w:p>
        </w:tc>
        <w:tc>
          <w:tcPr>
            <w:tcW w:type="dxa" w:w="1500"/>
            <w:tcMar>
              <w:top w:w="80" w:type="dxa"/>
              <w:start w:w="120" w:type="dxa"/>
              <w:bottom w:w="80" w:type="dxa"/>
              <w:end w:w="120" w:type="dxa"/>
            </w:tcMar>
            <w:vAlign w:val="center"/>
          </w:tcPr>
          <w:p>
            <w:pPr>
              <w:spacing w:before="0" w:after="0" w:line="259" w:lineRule="auto"/>
            </w:pPr>
            <w:r>
              <w:rPr>
                <w:rFonts w:ascii="Calibri" w:hAnsi="Calibri"/>
                <w:sz w:val="17"/>
              </w:rPr>
              <w:t>POST</w:t>
            </w:r>
          </w:p>
        </w:tc>
        <w:tc>
          <w:tcPr>
            <w:tcW w:type="dxa" w:w="5260"/>
            <w:tcMar>
              <w:top w:w="80" w:type="dxa"/>
              <w:start w:w="120" w:type="dxa"/>
              <w:bottom w:w="80" w:type="dxa"/>
              <w:end w:w="120" w:type="dxa"/>
            </w:tcMar>
            <w:vAlign w:val="center"/>
          </w:tcPr>
          <w:p>
            <w:pPr>
              <w:spacing w:before="0" w:after="0" w:line="259" w:lineRule="auto"/>
            </w:pPr>
            <w:r>
              <w:rPr>
                <w:rFonts w:ascii="Calibri" w:hAnsi="Calibri"/>
                <w:sz w:val="17"/>
              </w:rPr>
              <w:t>/api/v1/companies/&lt;company_uuid&gt;/claim/</w:t>
            </w:r>
          </w:p>
        </w:tc>
      </w:tr>
      <w:tr>
        <w:trPr>
          <w:cantSplit/>
        </w:trPr>
        <w:tc>
          <w:tcPr>
            <w:tcW w:type="dxa" w:w="2600"/>
            <w:tcMar>
              <w:top w:w="80" w:type="dxa"/>
              <w:start w:w="120" w:type="dxa"/>
              <w:bottom w:w="80" w:type="dxa"/>
              <w:end w:w="120" w:type="dxa"/>
            </w:tcMar>
            <w:vAlign w:val="center"/>
          </w:tcPr>
          <w:p>
            <w:pPr>
              <w:spacing w:before="0" w:after="0" w:line="259" w:lineRule="auto"/>
            </w:pPr>
            <w:r>
              <w:rPr>
                <w:rFonts w:ascii="Calibri" w:hAnsi="Calibri"/>
                <w:sz w:val="17"/>
              </w:rPr>
              <w:t>General prospect</w:t>
            </w:r>
          </w:p>
        </w:tc>
        <w:tc>
          <w:tcPr>
            <w:tcW w:type="dxa" w:w="1500"/>
            <w:tcMar>
              <w:top w:w="80" w:type="dxa"/>
              <w:start w:w="120" w:type="dxa"/>
              <w:bottom w:w="80" w:type="dxa"/>
              <w:end w:w="120" w:type="dxa"/>
            </w:tcMar>
            <w:vAlign w:val="center"/>
          </w:tcPr>
          <w:p>
            <w:pPr>
              <w:spacing w:before="0" w:after="0" w:line="259" w:lineRule="auto"/>
            </w:pPr>
            <w:r>
              <w:rPr>
                <w:rFonts w:ascii="Calibri" w:hAnsi="Calibri"/>
                <w:sz w:val="17"/>
              </w:rPr>
              <w:t>GET, PATCH</w:t>
            </w:r>
          </w:p>
        </w:tc>
        <w:tc>
          <w:tcPr>
            <w:tcW w:type="dxa" w:w="5260"/>
            <w:tcMar>
              <w:top w:w="80" w:type="dxa"/>
              <w:start w:w="120" w:type="dxa"/>
              <w:bottom w:w="80" w:type="dxa"/>
              <w:end w:w="120" w:type="dxa"/>
            </w:tcMar>
            <w:vAlign w:val="center"/>
          </w:tcPr>
          <w:p>
            <w:pPr>
              <w:spacing w:before="0" w:after="0" w:line="259" w:lineRule="auto"/>
            </w:pPr>
            <w:r>
              <w:rPr>
                <w:rFonts w:ascii="Calibri" w:hAnsi="Calibri"/>
                <w:sz w:val="17"/>
              </w:rPr>
              <w:t>/api/v1/prospects/&lt;prospect_id&gt;/</w:t>
            </w:r>
          </w:p>
        </w:tc>
      </w:tr>
      <w:tr>
        <w:trPr>
          <w:cantSplit/>
        </w:trPr>
        <w:tc>
          <w:tcPr>
            <w:tcW w:type="dxa" w:w="2600"/>
            <w:tcMar>
              <w:top w:w="80" w:type="dxa"/>
              <w:start w:w="120" w:type="dxa"/>
              <w:bottom w:w="80" w:type="dxa"/>
              <w:end w:w="120" w:type="dxa"/>
            </w:tcMar>
            <w:vAlign w:val="center"/>
          </w:tcPr>
          <w:p>
            <w:pPr>
              <w:spacing w:before="0" w:after="0" w:line="259" w:lineRule="auto"/>
            </w:pPr>
            <w:r>
              <w:rPr>
                <w:rFonts w:ascii="Calibri" w:hAnsi="Calibri"/>
                <w:sz w:val="17"/>
              </w:rPr>
              <w:t>Prospect sent</w:t>
            </w:r>
          </w:p>
        </w:tc>
        <w:tc>
          <w:tcPr>
            <w:tcW w:type="dxa" w:w="1500"/>
            <w:tcMar>
              <w:top w:w="80" w:type="dxa"/>
              <w:start w:w="120" w:type="dxa"/>
              <w:bottom w:w="80" w:type="dxa"/>
              <w:end w:w="120" w:type="dxa"/>
            </w:tcMar>
            <w:vAlign w:val="center"/>
          </w:tcPr>
          <w:p>
            <w:pPr>
              <w:spacing w:before="0" w:after="0" w:line="259" w:lineRule="auto"/>
            </w:pPr>
            <w:r>
              <w:rPr>
                <w:rFonts w:ascii="Calibri" w:hAnsi="Calibri"/>
                <w:sz w:val="17"/>
              </w:rPr>
              <w:t>GET, PATCH</w:t>
            </w:r>
          </w:p>
        </w:tc>
        <w:tc>
          <w:tcPr>
            <w:tcW w:type="dxa" w:w="5260"/>
            <w:tcMar>
              <w:top w:w="80" w:type="dxa"/>
              <w:start w:w="120" w:type="dxa"/>
              <w:bottom w:w="80" w:type="dxa"/>
              <w:end w:w="120" w:type="dxa"/>
            </w:tcMar>
            <w:vAlign w:val="center"/>
          </w:tcPr>
          <w:p>
            <w:pPr>
              <w:spacing w:before="0" w:after="0" w:line="259" w:lineRule="auto"/>
            </w:pPr>
            <w:r>
              <w:rPr>
                <w:rFonts w:ascii="Calibri" w:hAnsi="Calibri"/>
                <w:sz w:val="17"/>
              </w:rPr>
              <w:t>/api/v1/prospects/&lt;prospect_id&gt;/prospect-sent/</w:t>
            </w:r>
          </w:p>
        </w:tc>
      </w:tr>
      <w:tr>
        <w:trPr>
          <w:cantSplit/>
        </w:trPr>
        <w:tc>
          <w:tcPr>
            <w:tcW w:type="dxa" w:w="2600"/>
            <w:tcMar>
              <w:top w:w="80" w:type="dxa"/>
              <w:start w:w="120" w:type="dxa"/>
              <w:bottom w:w="80" w:type="dxa"/>
              <w:end w:w="120" w:type="dxa"/>
            </w:tcMar>
            <w:vAlign w:val="center"/>
          </w:tcPr>
          <w:p>
            <w:pPr>
              <w:spacing w:before="0" w:after="0" w:line="259" w:lineRule="auto"/>
            </w:pPr>
            <w:r>
              <w:rPr>
                <w:rFonts w:ascii="Calibri" w:hAnsi="Calibri"/>
                <w:sz w:val="17"/>
              </w:rPr>
              <w:t>Founder LinkedIn</w:t>
            </w:r>
          </w:p>
        </w:tc>
        <w:tc>
          <w:tcPr>
            <w:tcW w:type="dxa" w:w="1500"/>
            <w:tcMar>
              <w:top w:w="80" w:type="dxa"/>
              <w:start w:w="120" w:type="dxa"/>
              <w:bottom w:w="80" w:type="dxa"/>
              <w:end w:w="120" w:type="dxa"/>
            </w:tcMar>
            <w:vAlign w:val="center"/>
          </w:tcPr>
          <w:p>
            <w:pPr>
              <w:spacing w:before="0" w:after="0" w:line="259" w:lineRule="auto"/>
            </w:pPr>
            <w:r>
              <w:rPr>
                <w:rFonts w:ascii="Calibri" w:hAnsi="Calibri"/>
                <w:sz w:val="17"/>
              </w:rPr>
              <w:t>GET, PATCH</w:t>
            </w:r>
          </w:p>
        </w:tc>
        <w:tc>
          <w:tcPr>
            <w:tcW w:type="dxa" w:w="5260"/>
            <w:tcMar>
              <w:top w:w="80" w:type="dxa"/>
              <w:start w:w="120" w:type="dxa"/>
              <w:bottom w:w="80" w:type="dxa"/>
              <w:end w:w="120" w:type="dxa"/>
            </w:tcMar>
            <w:vAlign w:val="center"/>
          </w:tcPr>
          <w:p>
            <w:pPr>
              <w:spacing w:before="0" w:after="0" w:line="259" w:lineRule="auto"/>
            </w:pPr>
            <w:r>
              <w:rPr>
                <w:rFonts w:ascii="Calibri" w:hAnsi="Calibri"/>
                <w:sz w:val="17"/>
              </w:rPr>
              <w:t>/api/v1/prospects/&lt;prospect_id&gt;/founder-linkedin/</w:t>
            </w:r>
          </w:p>
        </w:tc>
      </w:tr>
      <w:tr>
        <w:trPr>
          <w:cantSplit/>
        </w:trPr>
        <w:tc>
          <w:tcPr>
            <w:tcW w:type="dxa" w:w="2600"/>
            <w:tcMar>
              <w:top w:w="80" w:type="dxa"/>
              <w:start w:w="120" w:type="dxa"/>
              <w:bottom w:w="80" w:type="dxa"/>
              <w:end w:w="120" w:type="dxa"/>
            </w:tcMar>
            <w:vAlign w:val="center"/>
          </w:tcPr>
          <w:p>
            <w:pPr>
              <w:spacing w:before="0" w:after="0" w:line="259" w:lineRule="auto"/>
            </w:pPr>
            <w:r>
              <w:rPr>
                <w:rFonts w:ascii="Calibri" w:hAnsi="Calibri"/>
                <w:sz w:val="17"/>
              </w:rPr>
              <w:t>Interest and handoff</w:t>
            </w:r>
          </w:p>
        </w:tc>
        <w:tc>
          <w:tcPr>
            <w:tcW w:type="dxa" w:w="1500"/>
            <w:tcMar>
              <w:top w:w="80" w:type="dxa"/>
              <w:start w:w="120" w:type="dxa"/>
              <w:bottom w:w="80" w:type="dxa"/>
              <w:end w:w="120" w:type="dxa"/>
            </w:tcMar>
            <w:vAlign w:val="center"/>
          </w:tcPr>
          <w:p>
            <w:pPr>
              <w:spacing w:before="0" w:after="0" w:line="259" w:lineRule="auto"/>
            </w:pPr>
            <w:r>
              <w:rPr>
                <w:rFonts w:ascii="Calibri" w:hAnsi="Calibri"/>
                <w:sz w:val="17"/>
              </w:rPr>
              <w:t>GET, PATCH</w:t>
            </w:r>
          </w:p>
        </w:tc>
        <w:tc>
          <w:tcPr>
            <w:tcW w:type="dxa" w:w="5260"/>
            <w:tcMar>
              <w:top w:w="80" w:type="dxa"/>
              <w:start w:w="120" w:type="dxa"/>
              <w:bottom w:w="80" w:type="dxa"/>
              <w:end w:w="120" w:type="dxa"/>
            </w:tcMar>
            <w:vAlign w:val="center"/>
          </w:tcPr>
          <w:p>
            <w:pPr>
              <w:spacing w:before="0" w:after="0" w:line="259" w:lineRule="auto"/>
            </w:pPr>
            <w:r>
              <w:rPr>
                <w:rFonts w:ascii="Calibri" w:hAnsi="Calibri"/>
                <w:sz w:val="17"/>
              </w:rPr>
              <w:t>/api/v1/prospects/&lt;prospect_id&gt;/interest-handoff/</w:t>
            </w:r>
          </w:p>
        </w:tc>
      </w:tr>
      <w:tr>
        <w:trPr>
          <w:cantSplit/>
        </w:trPr>
        <w:tc>
          <w:tcPr>
            <w:tcW w:type="dxa" w:w="2600"/>
            <w:tcMar>
              <w:top w:w="80" w:type="dxa"/>
              <w:start w:w="120" w:type="dxa"/>
              <w:bottom w:w="80" w:type="dxa"/>
              <w:end w:w="120" w:type="dxa"/>
            </w:tcMar>
            <w:vAlign w:val="center"/>
          </w:tcPr>
          <w:p>
            <w:pPr>
              <w:spacing w:before="0" w:after="0" w:line="259" w:lineRule="auto"/>
            </w:pPr>
            <w:r>
              <w:rPr>
                <w:rFonts w:ascii="Calibri" w:hAnsi="Calibri"/>
                <w:sz w:val="17"/>
              </w:rPr>
              <w:t>Follow-up</w:t>
            </w:r>
          </w:p>
        </w:tc>
        <w:tc>
          <w:tcPr>
            <w:tcW w:type="dxa" w:w="1500"/>
            <w:tcMar>
              <w:top w:w="80" w:type="dxa"/>
              <w:start w:w="120" w:type="dxa"/>
              <w:bottom w:w="80" w:type="dxa"/>
              <w:end w:w="120" w:type="dxa"/>
            </w:tcMar>
            <w:vAlign w:val="center"/>
          </w:tcPr>
          <w:p>
            <w:pPr>
              <w:spacing w:before="0" w:after="0" w:line="259" w:lineRule="auto"/>
            </w:pPr>
            <w:r>
              <w:rPr>
                <w:rFonts w:ascii="Calibri" w:hAnsi="Calibri"/>
                <w:sz w:val="17"/>
              </w:rPr>
              <w:t>GET, PATCH</w:t>
            </w:r>
          </w:p>
        </w:tc>
        <w:tc>
          <w:tcPr>
            <w:tcW w:type="dxa" w:w="5260"/>
            <w:tcMar>
              <w:top w:w="80" w:type="dxa"/>
              <w:start w:w="120" w:type="dxa"/>
              <w:bottom w:w="80" w:type="dxa"/>
              <w:end w:w="120" w:type="dxa"/>
            </w:tcMar>
            <w:vAlign w:val="center"/>
          </w:tcPr>
          <w:p>
            <w:pPr>
              <w:spacing w:before="0" w:after="0" w:line="259" w:lineRule="auto"/>
            </w:pPr>
            <w:r>
              <w:rPr>
                <w:rFonts w:ascii="Calibri" w:hAnsi="Calibri"/>
                <w:sz w:val="17"/>
              </w:rPr>
              <w:t>/api/v1/prospects/&lt;prospect_id&gt;/follow-up/</w:t>
            </w:r>
          </w:p>
        </w:tc>
      </w:tr>
      <w:tr>
        <w:trPr>
          <w:cantSplit/>
        </w:trPr>
        <w:tc>
          <w:tcPr>
            <w:tcW w:type="dxa" w:w="2600"/>
            <w:tcMar>
              <w:top w:w="80" w:type="dxa"/>
              <w:start w:w="120" w:type="dxa"/>
              <w:bottom w:w="80" w:type="dxa"/>
              <w:end w:w="120" w:type="dxa"/>
            </w:tcMar>
            <w:vAlign w:val="center"/>
          </w:tcPr>
          <w:p>
            <w:pPr>
              <w:spacing w:before="0" w:after="0" w:line="259" w:lineRule="auto"/>
            </w:pPr>
            <w:r>
              <w:rPr>
                <w:rFonts w:ascii="Calibri" w:hAnsi="Calibri"/>
                <w:sz w:val="17"/>
              </w:rPr>
              <w:t>Outreach history</w:t>
            </w:r>
          </w:p>
        </w:tc>
        <w:tc>
          <w:tcPr>
            <w:tcW w:type="dxa" w:w="1500"/>
            <w:tcMar>
              <w:top w:w="80" w:type="dxa"/>
              <w:start w:w="120" w:type="dxa"/>
              <w:bottom w:w="80" w:type="dxa"/>
              <w:end w:w="120" w:type="dxa"/>
            </w:tcMar>
            <w:vAlign w:val="center"/>
          </w:tcPr>
          <w:p>
            <w:pPr>
              <w:spacing w:before="0" w:after="0" w:line="259" w:lineRule="auto"/>
            </w:pPr>
            <w:r>
              <w:rPr>
                <w:rFonts w:ascii="Calibri" w:hAnsi="Calibri"/>
                <w:sz w:val="17"/>
              </w:rPr>
              <w:t>GET, POST</w:t>
            </w:r>
          </w:p>
        </w:tc>
        <w:tc>
          <w:tcPr>
            <w:tcW w:type="dxa" w:w="5260"/>
            <w:tcMar>
              <w:top w:w="80" w:type="dxa"/>
              <w:start w:w="120" w:type="dxa"/>
              <w:bottom w:w="80" w:type="dxa"/>
              <w:end w:w="120" w:type="dxa"/>
            </w:tcMar>
            <w:vAlign w:val="center"/>
          </w:tcPr>
          <w:p>
            <w:pPr>
              <w:spacing w:before="0" w:after="0" w:line="259" w:lineRule="auto"/>
            </w:pPr>
            <w:r>
              <w:rPr>
                <w:rFonts w:ascii="Calibri" w:hAnsi="Calibri"/>
                <w:sz w:val="17"/>
              </w:rPr>
              <w:t>/api/v1/prospects/&lt;prospect_id&gt;/outreaches/</w:t>
            </w:r>
          </w:p>
        </w:tc>
      </w:tr>
      <w:tr>
        <w:trPr>
          <w:cantSplit/>
        </w:trPr>
        <w:tc>
          <w:tcPr>
            <w:tcW w:type="dxa" w:w="2600"/>
            <w:tcMar>
              <w:top w:w="80" w:type="dxa"/>
              <w:start w:w="120" w:type="dxa"/>
              <w:bottom w:w="80" w:type="dxa"/>
              <w:end w:w="120" w:type="dxa"/>
            </w:tcMar>
            <w:vAlign w:val="center"/>
          </w:tcPr>
          <w:p>
            <w:pPr>
              <w:spacing w:before="0" w:after="0" w:line="259" w:lineRule="auto"/>
            </w:pPr>
            <w:r>
              <w:rPr>
                <w:rFonts w:ascii="Calibri" w:hAnsi="Calibri"/>
                <w:sz w:val="17"/>
              </w:rPr>
              <w:t>Outreach detail</w:t>
            </w:r>
          </w:p>
        </w:tc>
        <w:tc>
          <w:tcPr>
            <w:tcW w:type="dxa" w:w="1500"/>
            <w:tcMar>
              <w:top w:w="80" w:type="dxa"/>
              <w:start w:w="120" w:type="dxa"/>
              <w:bottom w:w="80" w:type="dxa"/>
              <w:end w:w="120" w:type="dxa"/>
            </w:tcMar>
            <w:vAlign w:val="center"/>
          </w:tcPr>
          <w:p>
            <w:pPr>
              <w:spacing w:before="0" w:after="0" w:line="259" w:lineRule="auto"/>
            </w:pPr>
            <w:r>
              <w:rPr>
                <w:rFonts w:ascii="Calibri" w:hAnsi="Calibri"/>
                <w:sz w:val="17"/>
              </w:rPr>
              <w:t>GET, PATCH</w:t>
            </w:r>
          </w:p>
        </w:tc>
        <w:tc>
          <w:tcPr>
            <w:tcW w:type="dxa" w:w="5260"/>
            <w:tcMar>
              <w:top w:w="80" w:type="dxa"/>
              <w:start w:w="120" w:type="dxa"/>
              <w:bottom w:w="80" w:type="dxa"/>
              <w:end w:w="120" w:type="dxa"/>
            </w:tcMar>
            <w:vAlign w:val="center"/>
          </w:tcPr>
          <w:p>
            <w:pPr>
              <w:spacing w:before="0" w:after="0" w:line="259" w:lineRule="auto"/>
            </w:pPr>
            <w:r>
              <w:rPr>
                <w:rFonts w:ascii="Calibri" w:hAnsi="Calibri"/>
                <w:sz w:val="17"/>
              </w:rPr>
              <w:t>/api/v1/outreaches/&lt;outreach_id&gt;/</w:t>
            </w:r>
          </w:p>
        </w:tc>
      </w:tr>
      <w:tr>
        <w:trPr>
          <w:cantSplit/>
        </w:trPr>
        <w:tc>
          <w:tcPr>
            <w:tcW w:type="dxa" w:w="2600"/>
            <w:tcMar>
              <w:top w:w="80" w:type="dxa"/>
              <w:start w:w="120" w:type="dxa"/>
              <w:bottom w:w="80" w:type="dxa"/>
              <w:end w:w="120" w:type="dxa"/>
            </w:tcMar>
            <w:vAlign w:val="center"/>
          </w:tcPr>
          <w:p>
            <w:pPr>
              <w:spacing w:before="0" w:after="0" w:line="259" w:lineRule="auto"/>
            </w:pPr>
            <w:r>
              <w:rPr>
                <w:rFonts w:ascii="Calibri" w:hAnsi="Calibri"/>
                <w:sz w:val="17"/>
              </w:rPr>
              <w:t>Legacy refresh exchange</w:t>
            </w:r>
          </w:p>
        </w:tc>
        <w:tc>
          <w:tcPr>
            <w:tcW w:type="dxa" w:w="1500"/>
            <w:tcMar>
              <w:top w:w="80" w:type="dxa"/>
              <w:start w:w="120" w:type="dxa"/>
              <w:bottom w:w="80" w:type="dxa"/>
              <w:end w:w="120" w:type="dxa"/>
            </w:tcMar>
            <w:vAlign w:val="center"/>
          </w:tcPr>
          <w:p>
            <w:pPr>
              <w:spacing w:before="0" w:after="0" w:line="259" w:lineRule="auto"/>
            </w:pPr>
            <w:r>
              <w:rPr>
                <w:rFonts w:ascii="Calibri" w:hAnsi="Calibri"/>
                <w:sz w:val="17"/>
              </w:rPr>
              <w:t>POST</w:t>
            </w:r>
          </w:p>
        </w:tc>
        <w:tc>
          <w:tcPr>
            <w:tcW w:type="dxa" w:w="5260"/>
            <w:tcMar>
              <w:top w:w="80" w:type="dxa"/>
              <w:start w:w="120" w:type="dxa"/>
              <w:bottom w:w="80" w:type="dxa"/>
              <w:end w:w="120" w:type="dxa"/>
            </w:tcMar>
            <w:vAlign w:val="center"/>
          </w:tcPr>
          <w:p>
            <w:pPr>
              <w:spacing w:before="0" w:after="0" w:line="259" w:lineRule="auto"/>
            </w:pPr>
            <w:r>
              <w:rPr>
                <w:rFonts w:ascii="Calibri" w:hAnsi="Calibri"/>
                <w:sz w:val="17"/>
              </w:rPr>
              <w:t>/api/v1/token/refresh/</w:t>
            </w:r>
          </w:p>
        </w:tc>
      </w:tr>
    </w:tbl>
    <w:p>
      <w:pPr>
        <w:spacing w:after="0"/>
      </w:pPr>
    </w:p>
    <w:p>
      <w:pPr>
        <w:numPr>
          <w:ilvl w:val="0"/>
          <w:numId w:val="10"/>
        </w:numPr>
      </w:pPr>
      <w:r>
        <w:t>Browser and API paths enforce the same ownership, role, contact-method, sequencing, date, and meeting rules.</w:t>
      </w:r>
    </w:p>
    <w:p>
      <w:pPr>
        <w:numPr>
          <w:ilvl w:val="0"/>
          <w:numId w:val="10"/>
        </w:numPr>
      </w:pPr>
      <w:r>
        <w:t>Successful API company, prospect, and outreach changes create before/after audit records with the authenticated modifier and timestamp.</w:t>
      </w:r>
    </w:p>
    <w:p>
      <w:pPr>
        <w:numPr>
          <w:ilvl w:val="0"/>
          <w:numId w:val="10"/>
        </w:numPr>
      </w:pPr>
      <w:r>
        <w:t>API documentation is rendered as a separate page per workflow under /api-access/docs/&lt;slug&gt;/ and includes types, executable choices, examples, and response meanings.</w:t>
      </w:r>
    </w:p>
    <w:p>
      <w:pPr>
        <w:numPr>
          <w:ilvl w:val="0"/>
          <w:numId w:val="10"/>
        </w:numPr>
      </w:pPr>
      <w:r>
        <w:t>There is no API delete for prospect or outreach workflow records.</w:t>
      </w:r>
    </w:p>
    <w:p>
      <w:pPr>
        <w:pStyle w:val="Heading1"/>
      </w:pPr>
      <w:r>
        <w:t>8. Local development environment</w:t>
      </w:r>
    </w:p>
    <w:p>
      <w:pPr>
        <w:pStyle w:val="Heading2"/>
      </w:pPr>
      <w:r>
        <w:t>Recommended native setup</w:t>
      </w:r>
    </w:p>
    <w:p>
      <w:r>
        <w:t>Use Python 3.13 to match GitHub CI and the container image. A fresh package validation also passed on Python 3.12. Do not copy a virtual environment between machines.</w:t>
      </w:r>
    </w:p>
    <w:p>
      <w:pPr>
        <w:spacing w:before="80" w:after="160" w:line="240" w:lineRule="auto"/>
        <w:shd w:fill="F2F4F7"/>
      </w:pPr>
      <w:r>
        <w:rPr>
          <w:rFonts w:ascii="Courier New" w:hAnsi="Courier New"/>
          <w:color w:val="253447"/>
          <w:sz w:val="16"/>
        </w:rPr>
        <w:t>python3 -m venv .venv</w:t>
        <w:br/>
        <w:t>source .venv/bin/activate</w:t>
        <w:br/>
        <w:t>python -m pip install --upgrade pip</w:t>
        <w:br/>
        <w:t>python -m pip install -r requirements.lock.txt</w:t>
        <w:br/>
        <w:t>cp .env.example .env</w:t>
        <w:br/>
        <w:t>python manage.py migrate</w:t>
        <w:br/>
        <w:t>python manage.py runserver</w:t>
      </w:r>
    </w:p>
    <w:p>
      <w:r>
        <w:t>When DATABASE_URL is absent, Django uses local db.sqlite3. That is convenient for isolated development but must never be mistaken for production. For PostgreSQL parity, use a dedicated development database or Docker Compose.</w:t>
      </w:r>
    </w:p>
    <w:p>
      <w:pPr>
        <w:pStyle w:val="Heading2"/>
      </w:pPr>
      <w:r>
        <w:t>Docker Compose setup</w:t>
      </w:r>
    </w:p>
    <w:p>
      <w:pPr>
        <w:spacing w:before="80" w:after="160" w:line="240" w:lineRule="auto"/>
        <w:shd w:fill="F2F4F7"/>
      </w:pPr>
      <w:r>
        <w:rPr>
          <w:rFonts w:ascii="Courier New" w:hAnsi="Courier New"/>
          <w:color w:val="253447"/>
          <w:sz w:val="16"/>
        </w:rPr>
        <w:t>cp .env.example .env</w:t>
        <w:br/>
        <w:t># Populate local Google OAuth and bootstrap-user values if needed.</w:t>
        <w:br/>
        <w:t>docker compose up --build</w:t>
      </w:r>
    </w:p>
    <w:p>
      <w:r>
        <w:t>compose.yml provides PostgreSQL 16 and a development Django container on http://localhost:8000. The exact local Google OAuth callback is http://localhost:8000/accounts/google/login/callback/.</w:t>
      </w:r>
    </w:p>
    <w:p>
      <w:pPr>
        <w:pStyle w:val="Heading2"/>
      </w:pPr>
      <w:r>
        <w:t>Required validation before change</w:t>
      </w:r>
    </w:p>
    <w:p>
      <w:pPr>
        <w:spacing w:before="80" w:after="160" w:line="240" w:lineRule="auto"/>
        <w:shd w:fill="F2F4F7"/>
      </w:pPr>
      <w:r>
        <w:rPr>
          <w:rFonts w:ascii="Courier New" w:hAnsi="Courier New"/>
          <w:color w:val="253447"/>
          <w:sz w:val="16"/>
        </w:rPr>
        <w:t>python manage.py makemigrations --check --dry-run</w:t>
        <w:br/>
        <w:t>python manage.py check</w:t>
        <w:br/>
        <w:t>python manage.py test --noinput</w:t>
        <w:br/>
        <w:t>bash -n deploy.sh deploy/aws/deploy.sh</w:t>
        <w:br/>
        <w:t>python manage.py collectstatic --noinput</w:t>
      </w:r>
    </w:p>
    <w:p>
      <w:pPr>
        <w:spacing w:before="100" w:after="160"/>
        <w:ind w:left="115" w:right="58"/>
        <w:shd w:fill="FCE8E8"/>
        <w:pBdr>
          <w:left w:val="single" w:sz="18" w:space="6" w:color="9B1C1C"/>
        </w:pBdr>
      </w:pPr>
      <w:r>
        <w:rPr>
          <w:rFonts w:ascii="Calibri" w:hAnsi="Calibri"/>
          <w:b/>
          <w:color w:val="9B1C1C"/>
          <w:sz w:val="21"/>
        </w:rPr>
        <w:t xml:space="preserve">Database boundary: </w:t>
      </w:r>
      <w:r>
        <w:rPr>
          <w:rFonts w:ascii="Calibri" w:hAnsi="Calibri"/>
          <w:sz w:val="21"/>
        </w:rPr>
        <w:t>Keep DATABASE_URL unset for isolated SQLite checks unless a dedicated non-production PostgreSQL database has been approved. Never run exploratory tests or destructive management commands against production.</w:t>
      </w:r>
    </w:p>
    <w:p>
      <w:pPr>
        <w:pStyle w:val="Heading1"/>
      </w:pPr>
      <w:r>
        <w:t>9. Environment-variable contract</w:t>
      </w:r>
    </w:p>
    <w:tbl>
      <w:tblPr>
        <w:tblStyle w:val="TableGrid"/>
        <w:tblW w:type="dxa" w:w="9360"/>
        <w:tblLayout w:type="fixed"/>
        <w:tblLook w:firstColumn="1" w:firstRow="1" w:lastColumn="0" w:lastRow="0" w:noHBand="0" w:noVBand="1" w:val="04A0"/>
        <w:tblInd w:w="120" w:type="dxa"/>
      </w:tblPr>
      <w:tblGrid>
        <w:gridCol w:w="3300"/>
        <w:gridCol w:w="6060"/>
      </w:tblGrid>
      <w:tr>
        <w:trPr>
          <w:tblHeader w:val="true"/>
          <w:cantSplit/>
        </w:trPr>
        <w:tc>
          <w:tcPr>
            <w:tcW w:type="dxa" w:w="3300"/>
            <w:shd w:fill="E8EEF5"/>
            <w:tcMar>
              <w:top w:w="80" w:type="dxa"/>
              <w:start w:w="120" w:type="dxa"/>
              <w:bottom w:w="80" w:type="dxa"/>
              <w:end w:w="120" w:type="dxa"/>
            </w:tcMar>
            <w:vAlign w:val="center"/>
          </w:tcPr>
          <w:p>
            <w:pPr>
              <w:spacing w:before="0" w:after="0" w:line="252" w:lineRule="auto"/>
            </w:pPr>
            <w:r>
              <w:rPr>
                <w:rFonts w:ascii="Calibri" w:hAnsi="Calibri"/>
                <w:b/>
                <w:color w:val="0B2545"/>
                <w:sz w:val="17"/>
              </w:rPr>
              <w:t>Variable/group</w:t>
            </w:r>
          </w:p>
        </w:tc>
        <w:tc>
          <w:tcPr>
            <w:tcW w:type="dxa" w:w="6060"/>
            <w:shd w:fill="E8EEF5"/>
            <w:tcMar>
              <w:top w:w="80" w:type="dxa"/>
              <w:start w:w="120" w:type="dxa"/>
              <w:bottom w:w="80" w:type="dxa"/>
              <w:end w:w="120" w:type="dxa"/>
            </w:tcMar>
            <w:vAlign w:val="center"/>
          </w:tcPr>
          <w:p>
            <w:pPr>
              <w:spacing w:before="0" w:after="0" w:line="252" w:lineRule="auto"/>
            </w:pPr>
            <w:r>
              <w:rPr>
                <w:rFonts w:ascii="Calibri" w:hAnsi="Calibri"/>
                <w:b/>
                <w:color w:val="0B2545"/>
                <w:sz w:val="17"/>
              </w:rPr>
              <w:t>Purpose and expectation</w:t>
            </w:r>
          </w:p>
        </w:tc>
      </w:tr>
      <w:tr>
        <w:trPr>
          <w:cantSplit/>
        </w:trPr>
        <w:tc>
          <w:tcPr>
            <w:tcW w:type="dxa" w:w="3300"/>
            <w:tcMar>
              <w:top w:w="80" w:type="dxa"/>
              <w:start w:w="120" w:type="dxa"/>
              <w:bottom w:w="80" w:type="dxa"/>
              <w:end w:w="120" w:type="dxa"/>
            </w:tcMar>
            <w:vAlign w:val="center"/>
          </w:tcPr>
          <w:p>
            <w:pPr>
              <w:spacing w:before="0" w:after="0" w:line="259" w:lineRule="auto"/>
            </w:pPr>
            <w:r>
              <w:rPr>
                <w:rFonts w:ascii="Calibri" w:hAnsi="Calibri"/>
                <w:sz w:val="17"/>
              </w:rPr>
              <w:t>DJANGO_DEBUG</w:t>
            </w:r>
          </w:p>
        </w:tc>
        <w:tc>
          <w:tcPr>
            <w:tcW w:type="dxa" w:w="6060"/>
            <w:tcMar>
              <w:top w:w="80" w:type="dxa"/>
              <w:start w:w="120" w:type="dxa"/>
              <w:bottom w:w="80" w:type="dxa"/>
              <w:end w:w="120" w:type="dxa"/>
            </w:tcMar>
            <w:vAlign w:val="center"/>
          </w:tcPr>
          <w:p>
            <w:pPr>
              <w:spacing w:before="0" w:after="0" w:line="259" w:lineRule="auto"/>
            </w:pPr>
            <w:r>
              <w:rPr>
                <w:rFonts w:ascii="Calibri" w:hAnsi="Calibri"/>
                <w:sz w:val="17"/>
              </w:rPr>
              <w:t>True locally; False in production.</w:t>
            </w:r>
          </w:p>
        </w:tc>
      </w:tr>
      <w:tr>
        <w:trPr>
          <w:cantSplit/>
        </w:trPr>
        <w:tc>
          <w:tcPr>
            <w:tcW w:type="dxa" w:w="3300"/>
            <w:tcMar>
              <w:top w:w="80" w:type="dxa"/>
              <w:start w:w="120" w:type="dxa"/>
              <w:bottom w:w="80" w:type="dxa"/>
              <w:end w:w="120" w:type="dxa"/>
            </w:tcMar>
            <w:vAlign w:val="center"/>
          </w:tcPr>
          <w:p>
            <w:pPr>
              <w:spacing w:before="0" w:after="0" w:line="259" w:lineRule="auto"/>
            </w:pPr>
            <w:r>
              <w:rPr>
                <w:rFonts w:ascii="Calibri" w:hAnsi="Calibri"/>
                <w:sz w:val="17"/>
              </w:rPr>
              <w:t>DJANGO_SECRET_KEY</w:t>
            </w:r>
          </w:p>
        </w:tc>
        <w:tc>
          <w:tcPr>
            <w:tcW w:type="dxa" w:w="6060"/>
            <w:tcMar>
              <w:top w:w="80" w:type="dxa"/>
              <w:start w:w="120" w:type="dxa"/>
              <w:bottom w:w="80" w:type="dxa"/>
              <w:end w:w="120" w:type="dxa"/>
            </w:tcMar>
            <w:vAlign w:val="center"/>
          </w:tcPr>
          <w:p>
            <w:pPr>
              <w:spacing w:before="0" w:after="0" w:line="259" w:lineRule="auto"/>
            </w:pPr>
            <w:r>
              <w:rPr>
                <w:rFonts w:ascii="Calibri" w:hAnsi="Calibri"/>
                <w:sz w:val="17"/>
              </w:rPr>
              <w:t>Required and long when DEBUG is false.</w:t>
            </w:r>
          </w:p>
        </w:tc>
      </w:tr>
      <w:tr>
        <w:trPr>
          <w:cantSplit/>
        </w:trPr>
        <w:tc>
          <w:tcPr>
            <w:tcW w:type="dxa" w:w="3300"/>
            <w:tcMar>
              <w:top w:w="80" w:type="dxa"/>
              <w:start w:w="120" w:type="dxa"/>
              <w:bottom w:w="80" w:type="dxa"/>
              <w:end w:w="120" w:type="dxa"/>
            </w:tcMar>
            <w:vAlign w:val="center"/>
          </w:tcPr>
          <w:p>
            <w:pPr>
              <w:spacing w:before="0" w:after="0" w:line="259" w:lineRule="auto"/>
            </w:pPr>
            <w:r>
              <w:rPr>
                <w:rFonts w:ascii="Calibri" w:hAnsi="Calibri"/>
                <w:sz w:val="17"/>
              </w:rPr>
              <w:t>DJANGO_ALLOWED_HOSTS</w:t>
            </w:r>
          </w:p>
        </w:tc>
        <w:tc>
          <w:tcPr>
            <w:tcW w:type="dxa" w:w="6060"/>
            <w:tcMar>
              <w:top w:w="80" w:type="dxa"/>
              <w:start w:w="120" w:type="dxa"/>
              <w:bottom w:w="80" w:type="dxa"/>
              <w:end w:w="120" w:type="dxa"/>
            </w:tcMar>
            <w:vAlign w:val="center"/>
          </w:tcPr>
          <w:p>
            <w:pPr>
              <w:spacing w:before="0" w:after="0" w:line="259" w:lineRule="auto"/>
            </w:pPr>
            <w:r>
              <w:rPr>
                <w:rFonts w:ascii="Calibri" w:hAnsi="Calibri"/>
                <w:sz w:val="17"/>
              </w:rPr>
              <w:t>Approved hostnames; production includes leadgen.flexgcc.com.</w:t>
            </w:r>
          </w:p>
        </w:tc>
      </w:tr>
      <w:tr>
        <w:trPr>
          <w:cantSplit/>
        </w:trPr>
        <w:tc>
          <w:tcPr>
            <w:tcW w:type="dxa" w:w="3300"/>
            <w:tcMar>
              <w:top w:w="80" w:type="dxa"/>
              <w:start w:w="120" w:type="dxa"/>
              <w:bottom w:w="80" w:type="dxa"/>
              <w:end w:w="120" w:type="dxa"/>
            </w:tcMar>
            <w:vAlign w:val="center"/>
          </w:tcPr>
          <w:p>
            <w:pPr>
              <w:spacing w:before="0" w:after="0" w:line="259" w:lineRule="auto"/>
            </w:pPr>
            <w:r>
              <w:rPr>
                <w:rFonts w:ascii="Calibri" w:hAnsi="Calibri"/>
                <w:sz w:val="17"/>
              </w:rPr>
              <w:t>DJANGO_CSRF_TRUSTED_ORIGINS</w:t>
            </w:r>
          </w:p>
        </w:tc>
        <w:tc>
          <w:tcPr>
            <w:tcW w:type="dxa" w:w="6060"/>
            <w:tcMar>
              <w:top w:w="80" w:type="dxa"/>
              <w:start w:w="120" w:type="dxa"/>
              <w:bottom w:w="80" w:type="dxa"/>
              <w:end w:w="120" w:type="dxa"/>
            </w:tcMar>
            <w:vAlign w:val="center"/>
          </w:tcPr>
          <w:p>
            <w:pPr>
              <w:spacing w:before="0" w:after="0" w:line="259" w:lineRule="auto"/>
            </w:pPr>
            <w:r>
              <w:rPr>
                <w:rFonts w:ascii="Calibri" w:hAnsi="Calibri"/>
                <w:sz w:val="17"/>
              </w:rPr>
              <w:t>Approved HTTPS origins for production form and OAuth flows.</w:t>
            </w:r>
          </w:p>
        </w:tc>
      </w:tr>
      <w:tr>
        <w:trPr>
          <w:cantSplit/>
        </w:trPr>
        <w:tc>
          <w:tcPr>
            <w:tcW w:type="dxa" w:w="3300"/>
            <w:tcMar>
              <w:top w:w="80" w:type="dxa"/>
              <w:start w:w="120" w:type="dxa"/>
              <w:bottom w:w="80" w:type="dxa"/>
              <w:end w:w="120" w:type="dxa"/>
            </w:tcMar>
            <w:vAlign w:val="center"/>
          </w:tcPr>
          <w:p>
            <w:pPr>
              <w:spacing w:before="0" w:after="0" w:line="259" w:lineRule="auto"/>
            </w:pPr>
            <w:r>
              <w:rPr>
                <w:rFonts w:ascii="Calibri" w:hAnsi="Calibri"/>
                <w:sz w:val="17"/>
              </w:rPr>
              <w:t>DJANGO_TIME_ZONE</w:t>
            </w:r>
          </w:p>
        </w:tc>
        <w:tc>
          <w:tcPr>
            <w:tcW w:type="dxa" w:w="6060"/>
            <w:tcMar>
              <w:top w:w="80" w:type="dxa"/>
              <w:start w:w="120" w:type="dxa"/>
              <w:bottom w:w="80" w:type="dxa"/>
              <w:end w:w="120" w:type="dxa"/>
            </w:tcMar>
            <w:vAlign w:val="center"/>
          </w:tcPr>
          <w:p>
            <w:pPr>
              <w:spacing w:before="0" w:after="0" w:line="259" w:lineRule="auto"/>
            </w:pPr>
            <w:r>
              <w:rPr>
                <w:rFonts w:ascii="Calibri" w:hAnsi="Calibri"/>
                <w:sz w:val="17"/>
              </w:rPr>
              <w:t>Defaults to Asia/Kolkata.</w:t>
            </w:r>
          </w:p>
        </w:tc>
      </w:tr>
      <w:tr>
        <w:trPr>
          <w:cantSplit/>
        </w:trPr>
        <w:tc>
          <w:tcPr>
            <w:tcW w:type="dxa" w:w="3300"/>
            <w:tcMar>
              <w:top w:w="80" w:type="dxa"/>
              <w:start w:w="120" w:type="dxa"/>
              <w:bottom w:w="80" w:type="dxa"/>
              <w:end w:w="120" w:type="dxa"/>
            </w:tcMar>
            <w:vAlign w:val="center"/>
          </w:tcPr>
          <w:p>
            <w:pPr>
              <w:spacing w:before="0" w:after="0" w:line="259" w:lineRule="auto"/>
            </w:pPr>
            <w:r>
              <w:rPr>
                <w:rFonts w:ascii="Calibri" w:hAnsi="Calibri"/>
                <w:sz w:val="17"/>
              </w:rPr>
              <w:t>DJANGO_SECURE_SSL_REDIRECT / HSTS</w:t>
            </w:r>
          </w:p>
        </w:tc>
        <w:tc>
          <w:tcPr>
            <w:tcW w:type="dxa" w:w="6060"/>
            <w:tcMar>
              <w:top w:w="80" w:type="dxa"/>
              <w:start w:w="120" w:type="dxa"/>
              <w:bottom w:w="80" w:type="dxa"/>
              <w:end w:w="120" w:type="dxa"/>
            </w:tcMar>
            <w:vAlign w:val="center"/>
          </w:tcPr>
          <w:p>
            <w:pPr>
              <w:spacing w:before="0" w:after="0" w:line="259" w:lineRule="auto"/>
            </w:pPr>
            <w:r>
              <w:rPr>
                <w:rFonts w:ascii="Calibri" w:hAnsi="Calibri"/>
                <w:sz w:val="17"/>
              </w:rPr>
              <w:t>Production HTTPS and browser transport policy.</w:t>
            </w:r>
          </w:p>
        </w:tc>
      </w:tr>
      <w:tr>
        <w:trPr>
          <w:cantSplit/>
        </w:trPr>
        <w:tc>
          <w:tcPr>
            <w:tcW w:type="dxa" w:w="3300"/>
            <w:tcMar>
              <w:top w:w="80" w:type="dxa"/>
              <w:start w:w="120" w:type="dxa"/>
              <w:bottom w:w="80" w:type="dxa"/>
              <w:end w:w="120" w:type="dxa"/>
            </w:tcMar>
            <w:vAlign w:val="center"/>
          </w:tcPr>
          <w:p>
            <w:pPr>
              <w:spacing w:before="0" w:after="0" w:line="259" w:lineRule="auto"/>
            </w:pPr>
            <w:r>
              <w:rPr>
                <w:rFonts w:ascii="Calibri" w:hAnsi="Calibri"/>
                <w:sz w:val="17"/>
              </w:rPr>
              <w:t>DATABASE_URL / DB_CONN_MAX_AGE</w:t>
            </w:r>
          </w:p>
        </w:tc>
        <w:tc>
          <w:tcPr>
            <w:tcW w:type="dxa" w:w="6060"/>
            <w:tcMar>
              <w:top w:w="80" w:type="dxa"/>
              <w:start w:w="120" w:type="dxa"/>
              <w:bottom w:w="80" w:type="dxa"/>
              <w:end w:w="120" w:type="dxa"/>
            </w:tcMar>
            <w:vAlign w:val="center"/>
          </w:tcPr>
          <w:p>
            <w:pPr>
              <w:spacing w:before="0" w:after="0" w:line="259" w:lineRule="auto"/>
            </w:pPr>
            <w:r>
              <w:rPr>
                <w:rFonts w:ascii="Calibri" w:hAnsi="Calibri"/>
                <w:sz w:val="17"/>
              </w:rPr>
              <w:t>PostgreSQL connection and persistent connection lifetime; production requires PostgreSQL.</w:t>
            </w:r>
          </w:p>
        </w:tc>
      </w:tr>
      <w:tr>
        <w:trPr>
          <w:cantSplit/>
        </w:trPr>
        <w:tc>
          <w:tcPr>
            <w:tcW w:type="dxa" w:w="3300"/>
            <w:tcMar>
              <w:top w:w="80" w:type="dxa"/>
              <w:start w:w="120" w:type="dxa"/>
              <w:bottom w:w="80" w:type="dxa"/>
              <w:end w:w="120" w:type="dxa"/>
            </w:tcMar>
            <w:vAlign w:val="center"/>
          </w:tcPr>
          <w:p>
            <w:pPr>
              <w:spacing w:before="0" w:after="0" w:line="259" w:lineRule="auto"/>
            </w:pPr>
            <w:r>
              <w:rPr>
                <w:rFonts w:ascii="Calibri" w:hAnsi="Calibri"/>
                <w:sz w:val="17"/>
              </w:rPr>
              <w:t>GOOGLE_OAUTH_CLIENT_ID / SECRET</w:t>
            </w:r>
          </w:p>
        </w:tc>
        <w:tc>
          <w:tcPr>
            <w:tcW w:type="dxa" w:w="6060"/>
            <w:tcMar>
              <w:top w:w="80" w:type="dxa"/>
              <w:start w:w="120" w:type="dxa"/>
              <w:bottom w:w="80" w:type="dxa"/>
              <w:end w:w="120" w:type="dxa"/>
            </w:tcMar>
            <w:vAlign w:val="center"/>
          </w:tcPr>
          <w:p>
            <w:pPr>
              <w:spacing w:before="0" w:after="0" w:line="259" w:lineRule="auto"/>
            </w:pPr>
            <w:r>
              <w:rPr>
                <w:rFonts w:ascii="Calibri" w:hAnsi="Calibri"/>
                <w:sz w:val="17"/>
              </w:rPr>
              <w:t>Google Web application credentials; secret values stay outside Git.</w:t>
            </w:r>
          </w:p>
        </w:tc>
      </w:tr>
      <w:tr>
        <w:trPr>
          <w:cantSplit/>
        </w:trPr>
        <w:tc>
          <w:tcPr>
            <w:tcW w:type="dxa" w:w="3300"/>
            <w:tcMar>
              <w:top w:w="80" w:type="dxa"/>
              <w:start w:w="120" w:type="dxa"/>
              <w:bottom w:w="80" w:type="dxa"/>
              <w:end w:w="120" w:type="dxa"/>
            </w:tcMar>
            <w:vAlign w:val="center"/>
          </w:tcPr>
          <w:p>
            <w:pPr>
              <w:spacing w:before="0" w:after="0" w:line="259" w:lineRule="auto"/>
            </w:pPr>
            <w:r>
              <w:rPr>
                <w:rFonts w:ascii="Calibri" w:hAnsi="Calibri"/>
                <w:sz w:val="17"/>
              </w:rPr>
              <w:t>GOOGLE_ALLOWED_DOMAINS</w:t>
            </w:r>
          </w:p>
        </w:tc>
        <w:tc>
          <w:tcPr>
            <w:tcW w:type="dxa" w:w="6060"/>
            <w:tcMar>
              <w:top w:w="80" w:type="dxa"/>
              <w:start w:w="120" w:type="dxa"/>
              <w:bottom w:w="80" w:type="dxa"/>
              <w:end w:w="120" w:type="dxa"/>
            </w:tcMar>
            <w:vAlign w:val="center"/>
          </w:tcPr>
          <w:p>
            <w:pPr>
              <w:spacing w:before="0" w:after="0" w:line="259" w:lineRule="auto"/>
            </w:pPr>
            <w:r>
              <w:rPr>
                <w:rFonts w:ascii="Calibri" w:hAnsi="Calibri"/>
                <w:sz w:val="17"/>
              </w:rPr>
              <w:t>Optional domain allowlist in addition to exact-email pre-provisioning.</w:t>
            </w:r>
          </w:p>
        </w:tc>
      </w:tr>
      <w:tr>
        <w:trPr>
          <w:cantSplit/>
        </w:trPr>
        <w:tc>
          <w:tcPr>
            <w:tcW w:type="dxa" w:w="3300"/>
            <w:tcMar>
              <w:top w:w="80" w:type="dxa"/>
              <w:start w:w="120" w:type="dxa"/>
              <w:bottom w:w="80" w:type="dxa"/>
              <w:end w:w="120" w:type="dxa"/>
            </w:tcMar>
            <w:vAlign w:val="center"/>
          </w:tcPr>
          <w:p>
            <w:pPr>
              <w:spacing w:before="0" w:after="0" w:line="259" w:lineRule="auto"/>
            </w:pPr>
            <w:r>
              <w:rPr>
                <w:rFonts w:ascii="Calibri" w:hAnsi="Calibri"/>
                <w:sz w:val="17"/>
              </w:rPr>
              <w:t>REQUIRE_PREPROVISIONED_USERS</w:t>
            </w:r>
          </w:p>
        </w:tc>
        <w:tc>
          <w:tcPr>
            <w:tcW w:type="dxa" w:w="6060"/>
            <w:tcMar>
              <w:top w:w="80" w:type="dxa"/>
              <w:start w:w="120" w:type="dxa"/>
              <w:bottom w:w="80" w:type="dxa"/>
              <w:end w:w="120" w:type="dxa"/>
            </w:tcMar>
            <w:vAlign w:val="center"/>
          </w:tcPr>
          <w:p>
            <w:pPr>
              <w:spacing w:before="0" w:after="0" w:line="259" w:lineRule="auto"/>
            </w:pPr>
            <w:r>
              <w:rPr>
                <w:rFonts w:ascii="Calibri" w:hAnsi="Calibri"/>
                <w:sz w:val="17"/>
              </w:rPr>
              <w:t>Defaults true; rejects unknown exact emails.</w:t>
            </w:r>
          </w:p>
        </w:tc>
      </w:tr>
      <w:tr>
        <w:trPr>
          <w:cantSplit/>
        </w:trPr>
        <w:tc>
          <w:tcPr>
            <w:tcW w:type="dxa" w:w="3300"/>
            <w:tcMar>
              <w:top w:w="80" w:type="dxa"/>
              <w:start w:w="120" w:type="dxa"/>
              <w:bottom w:w="80" w:type="dxa"/>
              <w:end w:w="120" w:type="dxa"/>
            </w:tcMar>
            <w:vAlign w:val="center"/>
          </w:tcPr>
          <w:p>
            <w:pPr>
              <w:spacing w:before="0" w:after="0" w:line="259" w:lineRule="auto"/>
            </w:pPr>
            <w:r>
              <w:rPr>
                <w:rFonts w:ascii="Calibri" w:hAnsi="Calibri"/>
                <w:sz w:val="17"/>
              </w:rPr>
              <w:t>SYSTEM_ADMIN_EMAILS / MANAGER_EMAILS</w:t>
            </w:r>
          </w:p>
        </w:tc>
        <w:tc>
          <w:tcPr>
            <w:tcW w:type="dxa" w:w="6060"/>
            <w:tcMar>
              <w:top w:w="80" w:type="dxa"/>
              <w:start w:w="120" w:type="dxa"/>
              <w:bottom w:w="80" w:type="dxa"/>
              <w:end w:w="120" w:type="dxa"/>
            </w:tcMar>
            <w:vAlign w:val="center"/>
          </w:tcPr>
          <w:p>
            <w:pPr>
              <w:spacing w:before="0" w:after="0" w:line="259" w:lineRule="auto"/>
            </w:pPr>
            <w:r>
              <w:rPr>
                <w:rFonts w:ascii="Calibri" w:hAnsi="Calibri"/>
                <w:sz w:val="17"/>
              </w:rPr>
              <w:t>Bootstrap or enforce supervisory roles; retain at least one recoverable system admin.</w:t>
            </w:r>
          </w:p>
        </w:tc>
      </w:tr>
      <w:tr>
        <w:trPr>
          <w:cantSplit/>
        </w:trPr>
        <w:tc>
          <w:tcPr>
            <w:tcW w:type="dxa" w:w="3300"/>
            <w:tcMar>
              <w:top w:w="80" w:type="dxa"/>
              <w:start w:w="120" w:type="dxa"/>
              <w:bottom w:w="80" w:type="dxa"/>
              <w:end w:w="120" w:type="dxa"/>
            </w:tcMar>
            <w:vAlign w:val="center"/>
          </w:tcPr>
          <w:p>
            <w:pPr>
              <w:spacing w:before="0" w:after="0" w:line="259" w:lineRule="auto"/>
            </w:pPr>
            <w:r>
              <w:rPr>
                <w:rFonts w:ascii="Calibri" w:hAnsi="Calibri"/>
                <w:sz w:val="17"/>
              </w:rPr>
              <w:t>API_TOKEN_ISSUER / AUDIENCE / SIGNING_KEY</w:t>
            </w:r>
          </w:p>
        </w:tc>
        <w:tc>
          <w:tcPr>
            <w:tcW w:type="dxa" w:w="6060"/>
            <w:tcMar>
              <w:top w:w="80" w:type="dxa"/>
              <w:start w:w="120" w:type="dxa"/>
              <w:bottom w:w="80" w:type="dxa"/>
              <w:end w:w="120" w:type="dxa"/>
            </w:tcMar>
            <w:vAlign w:val="center"/>
          </w:tcPr>
          <w:p>
            <w:pPr>
              <w:spacing w:before="0" w:after="0" w:line="259" w:lineRule="auto"/>
            </w:pPr>
            <w:r>
              <w:rPr>
                <w:rFonts w:ascii="Calibri" w:hAnsi="Calibri"/>
                <w:sz w:val="17"/>
              </w:rPr>
              <w:t>Legacy JWT compatibility; persistent opaque tokens use stored hashes.</w:t>
            </w:r>
          </w:p>
        </w:tc>
      </w:tr>
      <w:tr>
        <w:trPr>
          <w:cantSplit/>
        </w:trPr>
        <w:tc>
          <w:tcPr>
            <w:tcW w:type="dxa" w:w="3300"/>
            <w:tcMar>
              <w:top w:w="80" w:type="dxa"/>
              <w:start w:w="120" w:type="dxa"/>
              <w:bottom w:w="80" w:type="dxa"/>
              <w:end w:w="120" w:type="dxa"/>
            </w:tcMar>
            <w:vAlign w:val="center"/>
          </w:tcPr>
          <w:p>
            <w:pPr>
              <w:spacing w:before="0" w:after="0" w:line="259" w:lineRule="auto"/>
            </w:pPr>
            <w:r>
              <w:rPr>
                <w:rFonts w:ascii="Calibri" w:hAnsi="Calibri"/>
                <w:sz w:val="17"/>
              </w:rPr>
              <w:t>FLEXGCC_*</w:t>
            </w:r>
          </w:p>
        </w:tc>
        <w:tc>
          <w:tcPr>
            <w:tcW w:type="dxa" w:w="6060"/>
            <w:tcMar>
              <w:top w:w="80" w:type="dxa"/>
              <w:start w:w="120" w:type="dxa"/>
              <w:bottom w:w="80" w:type="dxa"/>
              <w:end w:w="120" w:type="dxa"/>
            </w:tcMar>
            <w:vAlign w:val="center"/>
          </w:tcPr>
          <w:p>
            <w:pPr>
              <w:spacing w:before="0" w:after="0" w:line="259" w:lineRule="auto"/>
            </w:pPr>
            <w:r>
              <w:rPr>
                <w:rFonts w:ascii="Calibri" w:hAnsi="Calibri"/>
                <w:sz w:val="17"/>
              </w:rPr>
              <w:t>Native deployment service, health, socket, retry, test, and lock controls.</w:t>
            </w:r>
          </w:p>
        </w:tc>
      </w:tr>
    </w:tbl>
    <w:p>
      <w:pPr>
        <w:spacing w:after="0"/>
      </w:pPr>
    </w:p>
    <w:p>
      <w:pPr>
        <w:pStyle w:val="Heading1"/>
      </w:pPr>
      <w:r>
        <w:t>10. GitHub repository and delivery</w:t>
      </w:r>
    </w:p>
    <w:p>
      <w:pPr>
        <w:pStyle w:val="Heading2"/>
      </w:pPr>
      <w:r>
        <w:t>CI</w:t>
      </w:r>
    </w:p>
    <w:p>
      <w:pPr>
        <w:numPr>
          <w:ilvl w:val="0"/>
          <w:numId w:val="10"/>
        </w:numPr>
      </w:pPr>
      <w:r>
        <w:t>Runs on pull requests and pushes to main using Ubuntu, Python 3.13, and pinned dependencies.</w:t>
      </w:r>
    </w:p>
    <w:p>
      <w:pPr>
        <w:numPr>
          <w:ilvl w:val="0"/>
          <w:numId w:val="10"/>
        </w:numPr>
      </w:pPr>
      <w:r>
        <w:t>Checks missing migrations, Django configuration, deploy-script syntax, 102 tests, production security settings, static collection, and a Docker build.</w:t>
      </w:r>
    </w:p>
    <w:p>
      <w:pPr>
        <w:numPr>
          <w:ilvl w:val="0"/>
          <w:numId w:val="10"/>
        </w:numPr>
      </w:pPr>
      <w:r>
        <w:t>Has read-only repository content permission and a 15-minute timeout.</w:t>
      </w:r>
    </w:p>
    <w:p>
      <w:pPr>
        <w:pStyle w:val="Heading2"/>
      </w:pPr>
      <w:r>
        <w:t>Current production workflow</w:t>
      </w:r>
    </w:p>
    <w:p>
      <w:r>
        <w:t>deploy-production.yml runs on every push to main and manual dispatch. It uses repository secrets EC2_IP and EC2_SSH to connect as ubuntu, resets the server checkout to origin/main, loads the protected .env, installs dependencies, validates and applies migrations, collects static files, runs deployment checks, restarts leadgen, verifies the Gunicorn socket and Nginx, then checks public HTTPS health.</w:t>
      </w:r>
    </w:p>
    <w:p>
      <w:pPr>
        <w:spacing w:before="100" w:after="160"/>
        <w:ind w:left="115" w:right="58"/>
        <w:shd w:fill="FCE8E8"/>
        <w:pBdr>
          <w:left w:val="single" w:sz="18" w:space="6" w:color="9B1C1C"/>
        </w:pBdr>
      </w:pPr>
      <w:r>
        <w:rPr>
          <w:rFonts w:ascii="Calibri" w:hAnsi="Calibri"/>
          <w:b/>
          <w:color w:val="9B1C1C"/>
          <w:sz w:val="21"/>
        </w:rPr>
        <w:t xml:space="preserve">Production impact: </w:t>
      </w:r>
      <w:r>
        <w:rPr>
          <w:rFonts w:ascii="Calibri" w:hAnsi="Calibri"/>
          <w:sz w:val="21"/>
        </w:rPr>
        <w:t>A push to main is a production action under the checked-in workflow. Do not commit, push, merge, or rerun a deployment unless the accountable owner has authorized the release and rollback path.</w:t>
      </w:r>
    </w:p>
    <w:p>
      <w:pPr>
        <w:pStyle w:val="Heading2"/>
      </w:pPr>
      <w:r>
        <w:t>Alternate AWS workflow</w:t>
      </w:r>
    </w:p>
    <w:p>
      <w:r>
        <w:t>deploy-aws.yml is a separate immutable-container design using GitHub OIDC, ECR, Systems Manager, compose.prod.yml, and /opt/flexgcc-outreach. It runs only when AWS_REGION, AWS_ROLE_ARN, ECR_REPOSITORY, and EC2_INSTANCE_ID variables exist. No repository variables or GitHub environments were returned at handoff, and the baseline run was skipped. Treat this as reference architecture, not the live path, until verified.</w:t>
      </w:r>
    </w:p>
    <w:p>
      <w:pPr>
        <w:pStyle w:val="Heading2"/>
      </w:pPr>
      <w:r>
        <w:t>Repository change workflow</w:t>
      </w:r>
    </w:p>
    <w:p>
      <w:pPr>
        <w:numPr>
          <w:ilvl w:val="0"/>
          <w:numId w:val="17"/>
        </w:numPr>
      </w:pPr>
      <w:r>
        <w:t>Confirm issue scope, user impact, acceptance criteria, data/migration effect, and rollback expectation.</w:t>
      </w:r>
    </w:p>
    <w:p>
      <w:pPr>
        <w:numPr>
          <w:ilvl w:val="0"/>
          <w:numId w:val="17"/>
        </w:numPr>
      </w:pPr>
      <w:r>
        <w:t>Create a codex/ branch from current main unless the future repository policy specifies otherwise.</w:t>
      </w:r>
    </w:p>
    <w:p>
      <w:pPr>
        <w:numPr>
          <w:ilvl w:val="0"/>
          <w:numId w:val="17"/>
        </w:numPr>
      </w:pPr>
      <w:r>
        <w:t>Make the smallest coherent change and preserve unrelated work.</w:t>
      </w:r>
    </w:p>
    <w:p>
      <w:pPr>
        <w:numPr>
          <w:ilvl w:val="0"/>
          <w:numId w:val="17"/>
        </w:numPr>
      </w:pPr>
      <w:r>
        <w:t>Add tests for visible behavior, permissions, validation, API contracts, migrations, and regressions.</w:t>
      </w:r>
    </w:p>
    <w:p>
      <w:pPr>
        <w:numPr>
          <w:ilvl w:val="0"/>
          <w:numId w:val="17"/>
        </w:numPr>
      </w:pPr>
      <w:r>
        <w:t>Run the local validation set, inspect the diff, and update affected documentation.</w:t>
      </w:r>
    </w:p>
    <w:p>
      <w:pPr>
        <w:numPr>
          <w:ilvl w:val="0"/>
          <w:numId w:val="17"/>
        </w:numPr>
      </w:pPr>
      <w:r>
        <w:t>Open a pull request and obtain the required human approval established during transfer.</w:t>
      </w:r>
    </w:p>
    <w:p>
      <w:pPr>
        <w:numPr>
          <w:ilvl w:val="0"/>
          <w:numId w:val="17"/>
        </w:numPr>
      </w:pPr>
      <w:r>
        <w:t>Merge or push only after release authorization; monitor both CI and the active production workflow.</w:t>
      </w:r>
    </w:p>
    <w:p>
      <w:pPr>
        <w:numPr>
          <w:ilvl w:val="0"/>
          <w:numId w:val="17"/>
        </w:numPr>
      </w:pPr>
      <w:r>
        <w:t>Record commit, workflow run, health result, affected journeys, owner, time, and residual risk.</w:t>
      </w:r>
    </w:p>
    <w:p>
      <w:pPr>
        <w:pStyle w:val="Heading1"/>
      </w:pPr>
      <w:r>
        <w:t>11. Current production/server environment</w:t>
      </w:r>
    </w:p>
    <w:tbl>
      <w:tblPr>
        <w:tblStyle w:val="TableGrid"/>
        <w:tblW w:type="dxa" w:w="9360"/>
        <w:tblLayout w:type="fixed"/>
        <w:tblLook w:firstColumn="1" w:firstRow="1" w:lastColumn="0" w:lastRow="0" w:noHBand="0" w:noVBand="1" w:val="04A0"/>
        <w:tblInd w:w="120" w:type="dxa"/>
      </w:tblPr>
      <w:tblGrid>
        <w:gridCol w:w="2900"/>
        <w:gridCol w:w="6460"/>
      </w:tblGrid>
      <w:tr>
        <w:trPr>
          <w:tblHeader w:val="true"/>
          <w:cantSplit/>
        </w:trPr>
        <w:tc>
          <w:tcPr>
            <w:tcW w:type="dxa" w:w="2900"/>
            <w:shd w:fill="E8EEF5"/>
            <w:tcMar>
              <w:top w:w="80" w:type="dxa"/>
              <w:start w:w="120" w:type="dxa"/>
              <w:bottom w:w="80" w:type="dxa"/>
              <w:end w:w="120" w:type="dxa"/>
            </w:tcMar>
            <w:vAlign w:val="center"/>
          </w:tcPr>
          <w:p>
            <w:pPr>
              <w:spacing w:before="0" w:after="0" w:line="252" w:lineRule="auto"/>
            </w:pPr>
            <w:r>
              <w:rPr>
                <w:rFonts w:ascii="Calibri" w:hAnsi="Calibri"/>
                <w:b/>
                <w:color w:val="0B2545"/>
                <w:sz w:val="17"/>
              </w:rPr>
              <w:t>Component</w:t>
            </w:r>
          </w:p>
        </w:tc>
        <w:tc>
          <w:tcPr>
            <w:tcW w:type="dxa" w:w="6460"/>
            <w:shd w:fill="E8EEF5"/>
            <w:tcMar>
              <w:top w:w="80" w:type="dxa"/>
              <w:start w:w="120" w:type="dxa"/>
              <w:bottom w:w="80" w:type="dxa"/>
              <w:end w:w="120" w:type="dxa"/>
            </w:tcMar>
            <w:vAlign w:val="center"/>
          </w:tcPr>
          <w:p>
            <w:pPr>
              <w:spacing w:before="0" w:after="0" w:line="252" w:lineRule="auto"/>
            </w:pPr>
            <w:r>
              <w:rPr>
                <w:rFonts w:ascii="Calibri" w:hAnsi="Calibri"/>
                <w:b/>
                <w:color w:val="0B2545"/>
                <w:sz w:val="17"/>
              </w:rPr>
              <w:t>Confirmed or source-documented value</w:t>
            </w:r>
          </w:p>
        </w:tc>
      </w:tr>
      <w:tr>
        <w:trPr>
          <w:cantSplit/>
        </w:trPr>
        <w:tc>
          <w:tcPr>
            <w:tcW w:type="dxa" w:w="2900"/>
            <w:tcMar>
              <w:top w:w="80" w:type="dxa"/>
              <w:start w:w="120" w:type="dxa"/>
              <w:bottom w:w="80" w:type="dxa"/>
              <w:end w:w="120" w:type="dxa"/>
            </w:tcMar>
            <w:vAlign w:val="center"/>
          </w:tcPr>
          <w:p>
            <w:pPr>
              <w:spacing w:before="0" w:after="0" w:line="259" w:lineRule="auto"/>
            </w:pPr>
            <w:r>
              <w:rPr>
                <w:rFonts w:ascii="Calibri" w:hAnsi="Calibri"/>
                <w:sz w:val="17"/>
              </w:rPr>
              <w:t>Public domain</w:t>
            </w:r>
          </w:p>
        </w:tc>
        <w:tc>
          <w:tcPr>
            <w:tcW w:type="dxa" w:w="6460"/>
            <w:tcMar>
              <w:top w:w="80" w:type="dxa"/>
              <w:start w:w="120" w:type="dxa"/>
              <w:bottom w:w="80" w:type="dxa"/>
              <w:end w:w="120" w:type="dxa"/>
            </w:tcMar>
            <w:vAlign w:val="center"/>
          </w:tcPr>
          <w:p>
            <w:pPr>
              <w:spacing w:before="0" w:after="0" w:line="259" w:lineRule="auto"/>
            </w:pPr>
            <w:r>
              <w:rPr>
                <w:rFonts w:ascii="Calibri" w:hAnsi="Calibri"/>
                <w:sz w:val="17"/>
              </w:rPr>
              <w:t>leadgen.flexgcc.com</w:t>
            </w:r>
          </w:p>
        </w:tc>
      </w:tr>
      <w:tr>
        <w:trPr>
          <w:cantSplit/>
        </w:trPr>
        <w:tc>
          <w:tcPr>
            <w:tcW w:type="dxa" w:w="2900"/>
            <w:tcMar>
              <w:top w:w="80" w:type="dxa"/>
              <w:start w:w="120" w:type="dxa"/>
              <w:bottom w:w="80" w:type="dxa"/>
              <w:end w:w="120" w:type="dxa"/>
            </w:tcMar>
            <w:vAlign w:val="center"/>
          </w:tcPr>
          <w:p>
            <w:pPr>
              <w:spacing w:before="0" w:after="0" w:line="259" w:lineRule="auto"/>
            </w:pPr>
            <w:r>
              <w:rPr>
                <w:rFonts w:ascii="Calibri" w:hAnsi="Calibri"/>
                <w:sz w:val="17"/>
              </w:rPr>
              <w:t>Observed edge</w:t>
            </w:r>
          </w:p>
        </w:tc>
        <w:tc>
          <w:tcPr>
            <w:tcW w:type="dxa" w:w="6460"/>
            <w:tcMar>
              <w:top w:w="80" w:type="dxa"/>
              <w:start w:w="120" w:type="dxa"/>
              <w:bottom w:w="80" w:type="dxa"/>
              <w:end w:w="120" w:type="dxa"/>
            </w:tcMar>
            <w:vAlign w:val="center"/>
          </w:tcPr>
          <w:p>
            <w:pPr>
              <w:spacing w:before="0" w:after="0" w:line="259" w:lineRule="auto"/>
            </w:pPr>
            <w:r>
              <w:rPr>
                <w:rFonts w:ascii="Calibri" w:hAnsi="Calibri"/>
                <w:sz w:val="17"/>
              </w:rPr>
              <w:t>Nginx 1.28.3 on Ubuntu, read from live HTTP headers on 3 September 2026.</w:t>
            </w:r>
          </w:p>
        </w:tc>
      </w:tr>
      <w:tr>
        <w:trPr>
          <w:cantSplit/>
        </w:trPr>
        <w:tc>
          <w:tcPr>
            <w:tcW w:type="dxa" w:w="2900"/>
            <w:tcMar>
              <w:top w:w="80" w:type="dxa"/>
              <w:start w:w="120" w:type="dxa"/>
              <w:bottom w:w="80" w:type="dxa"/>
              <w:end w:w="120" w:type="dxa"/>
            </w:tcMar>
            <w:vAlign w:val="center"/>
          </w:tcPr>
          <w:p>
            <w:pPr>
              <w:spacing w:before="0" w:after="0" w:line="259" w:lineRule="auto"/>
            </w:pPr>
            <w:r>
              <w:rPr>
                <w:rFonts w:ascii="Calibri" w:hAnsi="Calibri"/>
                <w:sz w:val="17"/>
              </w:rPr>
              <w:t>Live health</w:t>
            </w:r>
          </w:p>
        </w:tc>
        <w:tc>
          <w:tcPr>
            <w:tcW w:type="dxa" w:w="6460"/>
            <w:tcMar>
              <w:top w:w="80" w:type="dxa"/>
              <w:start w:w="120" w:type="dxa"/>
              <w:bottom w:w="80" w:type="dxa"/>
              <w:end w:w="120" w:type="dxa"/>
            </w:tcMar>
            <w:vAlign w:val="center"/>
          </w:tcPr>
          <w:p>
            <w:pPr>
              <w:spacing w:before="0" w:after="0" w:line="259" w:lineRule="auto"/>
            </w:pPr>
            <w:r>
              <w:rPr>
                <w:rFonts w:ascii="Calibri" w:hAnsi="Calibri"/>
                <w:sz w:val="17"/>
              </w:rPr>
              <w:t>GET /health/ returned HTTP 200 and {status: ok}.</w:t>
            </w:r>
          </w:p>
        </w:tc>
      </w:tr>
      <w:tr>
        <w:trPr>
          <w:cantSplit/>
        </w:trPr>
        <w:tc>
          <w:tcPr>
            <w:tcW w:type="dxa" w:w="2900"/>
            <w:tcMar>
              <w:top w:w="80" w:type="dxa"/>
              <w:start w:w="120" w:type="dxa"/>
              <w:bottom w:w="80" w:type="dxa"/>
              <w:end w:w="120" w:type="dxa"/>
            </w:tcMar>
            <w:vAlign w:val="center"/>
          </w:tcPr>
          <w:p>
            <w:pPr>
              <w:spacing w:before="0" w:after="0" w:line="259" w:lineRule="auto"/>
            </w:pPr>
            <w:r>
              <w:rPr>
                <w:rFonts w:ascii="Calibri" w:hAnsi="Calibri"/>
                <w:sz w:val="17"/>
              </w:rPr>
              <w:t>TLS</w:t>
            </w:r>
          </w:p>
        </w:tc>
        <w:tc>
          <w:tcPr>
            <w:tcW w:type="dxa" w:w="6460"/>
            <w:tcMar>
              <w:top w:w="80" w:type="dxa"/>
              <w:start w:w="120" w:type="dxa"/>
              <w:bottom w:w="80" w:type="dxa"/>
              <w:end w:w="120" w:type="dxa"/>
            </w:tcMar>
            <w:vAlign w:val="center"/>
          </w:tcPr>
          <w:p>
            <w:pPr>
              <w:spacing w:before="0" w:after="0" w:line="259" w:lineRule="auto"/>
            </w:pPr>
            <w:r>
              <w:rPr>
                <w:rFonts w:ascii="Calibri" w:hAnsi="Calibri"/>
                <w:sz w:val="17"/>
              </w:rPr>
              <w:t>Let's Encrypt certificate for leadgen.flexgcc.com; observed validity 20 July to 18 October 2026.</w:t>
            </w:r>
          </w:p>
        </w:tc>
      </w:tr>
      <w:tr>
        <w:trPr>
          <w:cantSplit/>
        </w:trPr>
        <w:tc>
          <w:tcPr>
            <w:tcW w:type="dxa" w:w="2900"/>
            <w:tcMar>
              <w:top w:w="80" w:type="dxa"/>
              <w:start w:w="120" w:type="dxa"/>
              <w:bottom w:w="80" w:type="dxa"/>
              <w:end w:w="120" w:type="dxa"/>
            </w:tcMar>
            <w:vAlign w:val="center"/>
          </w:tcPr>
          <w:p>
            <w:pPr>
              <w:spacing w:before="0" w:after="0" w:line="259" w:lineRule="auto"/>
            </w:pPr>
            <w:r>
              <w:rPr>
                <w:rFonts w:ascii="Calibri" w:hAnsi="Calibri"/>
                <w:sz w:val="17"/>
              </w:rPr>
              <w:t>Server access path</w:t>
            </w:r>
          </w:p>
        </w:tc>
        <w:tc>
          <w:tcPr>
            <w:tcW w:type="dxa" w:w="6460"/>
            <w:tcMar>
              <w:top w:w="80" w:type="dxa"/>
              <w:start w:w="120" w:type="dxa"/>
              <w:bottom w:w="80" w:type="dxa"/>
              <w:end w:w="120" w:type="dxa"/>
            </w:tcMar>
            <w:vAlign w:val="center"/>
          </w:tcPr>
          <w:p>
            <w:pPr>
              <w:spacing w:before="0" w:after="0" w:line="259" w:lineRule="auto"/>
            </w:pPr>
            <w:r>
              <w:rPr>
                <w:rFonts w:ascii="Calibri" w:hAnsi="Calibri"/>
                <w:sz w:val="17"/>
              </w:rPr>
              <w:t>GitHub Actions SSH to ubuntu using EC2_IP and EC2_SSH repository secrets.</w:t>
            </w:r>
          </w:p>
        </w:tc>
      </w:tr>
      <w:tr>
        <w:trPr>
          <w:cantSplit/>
        </w:trPr>
        <w:tc>
          <w:tcPr>
            <w:tcW w:type="dxa" w:w="2900"/>
            <w:tcMar>
              <w:top w:w="80" w:type="dxa"/>
              <w:start w:w="120" w:type="dxa"/>
              <w:bottom w:w="80" w:type="dxa"/>
              <w:end w:w="120" w:type="dxa"/>
            </w:tcMar>
            <w:vAlign w:val="center"/>
          </w:tcPr>
          <w:p>
            <w:pPr>
              <w:spacing w:before="0" w:after="0" w:line="259" w:lineRule="auto"/>
            </w:pPr>
            <w:r>
              <w:rPr>
                <w:rFonts w:ascii="Calibri" w:hAnsi="Calibri"/>
                <w:sz w:val="17"/>
              </w:rPr>
              <w:t>Application directory</w:t>
            </w:r>
          </w:p>
        </w:tc>
        <w:tc>
          <w:tcPr>
            <w:tcW w:type="dxa" w:w="6460"/>
            <w:tcMar>
              <w:top w:w="80" w:type="dxa"/>
              <w:start w:w="120" w:type="dxa"/>
              <w:bottom w:w="80" w:type="dxa"/>
              <w:end w:w="120" w:type="dxa"/>
            </w:tcMar>
            <w:vAlign w:val="center"/>
          </w:tcPr>
          <w:p>
            <w:pPr>
              <w:spacing w:before="0" w:after="0" w:line="259" w:lineRule="auto"/>
            </w:pPr>
            <w:r>
              <w:rPr>
                <w:rFonts w:ascii="Calibri" w:hAnsi="Calibri"/>
                <w:sz w:val="17"/>
              </w:rPr>
              <w:t>/var/www/leadgen</w:t>
            </w:r>
          </w:p>
        </w:tc>
      </w:tr>
      <w:tr>
        <w:trPr>
          <w:cantSplit/>
        </w:trPr>
        <w:tc>
          <w:tcPr>
            <w:tcW w:type="dxa" w:w="2900"/>
            <w:tcMar>
              <w:top w:w="80" w:type="dxa"/>
              <w:start w:w="120" w:type="dxa"/>
              <w:bottom w:w="80" w:type="dxa"/>
              <w:end w:w="120" w:type="dxa"/>
            </w:tcMar>
            <w:vAlign w:val="center"/>
          </w:tcPr>
          <w:p>
            <w:pPr>
              <w:spacing w:before="0" w:after="0" w:line="259" w:lineRule="auto"/>
            </w:pPr>
            <w:r>
              <w:rPr>
                <w:rFonts w:ascii="Calibri" w:hAnsi="Calibri"/>
                <w:sz w:val="17"/>
              </w:rPr>
              <w:t>Repository checkout</w:t>
            </w:r>
          </w:p>
        </w:tc>
        <w:tc>
          <w:tcPr>
            <w:tcW w:type="dxa" w:w="6460"/>
            <w:tcMar>
              <w:top w:w="80" w:type="dxa"/>
              <w:start w:w="120" w:type="dxa"/>
              <w:bottom w:w="80" w:type="dxa"/>
              <w:end w:w="120" w:type="dxa"/>
            </w:tcMar>
            <w:vAlign w:val="center"/>
          </w:tcPr>
          <w:p>
            <w:pPr>
              <w:spacing w:before="0" w:after="0" w:line="259" w:lineRule="auto"/>
            </w:pPr>
            <w:r>
              <w:rPr>
                <w:rFonts w:ascii="Calibri" w:hAnsi="Calibri"/>
                <w:sz w:val="17"/>
              </w:rPr>
              <w:t>/var/www/leadgen/repo</w:t>
            </w:r>
          </w:p>
        </w:tc>
      </w:tr>
      <w:tr>
        <w:trPr>
          <w:cantSplit/>
        </w:trPr>
        <w:tc>
          <w:tcPr>
            <w:tcW w:type="dxa" w:w="2900"/>
            <w:tcMar>
              <w:top w:w="80" w:type="dxa"/>
              <w:start w:w="120" w:type="dxa"/>
              <w:bottom w:w="80" w:type="dxa"/>
              <w:end w:w="120" w:type="dxa"/>
            </w:tcMar>
            <w:vAlign w:val="center"/>
          </w:tcPr>
          <w:p>
            <w:pPr>
              <w:spacing w:before="0" w:after="0" w:line="259" w:lineRule="auto"/>
            </w:pPr>
            <w:r>
              <w:rPr>
                <w:rFonts w:ascii="Calibri" w:hAnsi="Calibri"/>
                <w:sz w:val="17"/>
              </w:rPr>
              <w:t>Python virtualenv</w:t>
            </w:r>
          </w:p>
        </w:tc>
        <w:tc>
          <w:tcPr>
            <w:tcW w:type="dxa" w:w="6460"/>
            <w:tcMar>
              <w:top w:w="80" w:type="dxa"/>
              <w:start w:w="120" w:type="dxa"/>
              <w:bottom w:w="80" w:type="dxa"/>
              <w:end w:w="120" w:type="dxa"/>
            </w:tcMar>
            <w:vAlign w:val="center"/>
          </w:tcPr>
          <w:p>
            <w:pPr>
              <w:spacing w:before="0" w:after="0" w:line="259" w:lineRule="auto"/>
            </w:pPr>
            <w:r>
              <w:rPr>
                <w:rFonts w:ascii="Calibri" w:hAnsi="Calibri"/>
                <w:sz w:val="17"/>
              </w:rPr>
              <w:t>/var/www/leadgen/venv</w:t>
            </w:r>
          </w:p>
        </w:tc>
      </w:tr>
      <w:tr>
        <w:trPr>
          <w:cantSplit/>
        </w:trPr>
        <w:tc>
          <w:tcPr>
            <w:tcW w:type="dxa" w:w="2900"/>
            <w:tcMar>
              <w:top w:w="80" w:type="dxa"/>
              <w:start w:w="120" w:type="dxa"/>
              <w:bottom w:w="80" w:type="dxa"/>
              <w:end w:w="120" w:type="dxa"/>
            </w:tcMar>
            <w:vAlign w:val="center"/>
          </w:tcPr>
          <w:p>
            <w:pPr>
              <w:spacing w:before="0" w:after="0" w:line="259" w:lineRule="auto"/>
            </w:pPr>
            <w:r>
              <w:rPr>
                <w:rFonts w:ascii="Calibri" w:hAnsi="Calibri"/>
                <w:sz w:val="17"/>
              </w:rPr>
              <w:t>Protected environment</w:t>
            </w:r>
          </w:p>
        </w:tc>
        <w:tc>
          <w:tcPr>
            <w:tcW w:type="dxa" w:w="6460"/>
            <w:tcMar>
              <w:top w:w="80" w:type="dxa"/>
              <w:start w:w="120" w:type="dxa"/>
              <w:bottom w:w="80" w:type="dxa"/>
              <w:end w:w="120" w:type="dxa"/>
            </w:tcMar>
            <w:vAlign w:val="center"/>
          </w:tcPr>
          <w:p>
            <w:pPr>
              <w:spacing w:before="0" w:after="0" w:line="259" w:lineRule="auto"/>
            </w:pPr>
            <w:r>
              <w:rPr>
                <w:rFonts w:ascii="Calibri" w:hAnsi="Calibri"/>
                <w:sz w:val="17"/>
              </w:rPr>
              <w:t>/var/www/leadgen/repo/.env; maintained on EC2 and not committed.</w:t>
            </w:r>
          </w:p>
        </w:tc>
      </w:tr>
      <w:tr>
        <w:trPr>
          <w:cantSplit/>
        </w:trPr>
        <w:tc>
          <w:tcPr>
            <w:tcW w:type="dxa" w:w="2900"/>
            <w:tcMar>
              <w:top w:w="80" w:type="dxa"/>
              <w:start w:w="120" w:type="dxa"/>
              <w:bottom w:w="80" w:type="dxa"/>
              <w:end w:w="120" w:type="dxa"/>
            </w:tcMar>
            <w:vAlign w:val="center"/>
          </w:tcPr>
          <w:p>
            <w:pPr>
              <w:spacing w:before="0" w:after="0" w:line="259" w:lineRule="auto"/>
            </w:pPr>
            <w:r>
              <w:rPr>
                <w:rFonts w:ascii="Calibri" w:hAnsi="Calibri"/>
                <w:sz w:val="17"/>
              </w:rPr>
              <w:t>Systemd service</w:t>
            </w:r>
          </w:p>
        </w:tc>
        <w:tc>
          <w:tcPr>
            <w:tcW w:type="dxa" w:w="6460"/>
            <w:tcMar>
              <w:top w:w="80" w:type="dxa"/>
              <w:start w:w="120" w:type="dxa"/>
              <w:bottom w:w="80" w:type="dxa"/>
              <w:end w:w="120" w:type="dxa"/>
            </w:tcMar>
            <w:vAlign w:val="center"/>
          </w:tcPr>
          <w:p>
            <w:pPr>
              <w:spacing w:before="0" w:after="0" w:line="259" w:lineRule="auto"/>
            </w:pPr>
            <w:r>
              <w:rPr>
                <w:rFonts w:ascii="Calibri" w:hAnsi="Calibri"/>
                <w:sz w:val="17"/>
              </w:rPr>
              <w:t>leadgen</w:t>
            </w:r>
          </w:p>
        </w:tc>
      </w:tr>
      <w:tr>
        <w:trPr>
          <w:cantSplit/>
        </w:trPr>
        <w:tc>
          <w:tcPr>
            <w:tcW w:type="dxa" w:w="2900"/>
            <w:tcMar>
              <w:top w:w="80" w:type="dxa"/>
              <w:start w:w="120" w:type="dxa"/>
              <w:bottom w:w="80" w:type="dxa"/>
              <w:end w:w="120" w:type="dxa"/>
            </w:tcMar>
            <w:vAlign w:val="center"/>
          </w:tcPr>
          <w:p>
            <w:pPr>
              <w:spacing w:before="0" w:after="0" w:line="259" w:lineRule="auto"/>
            </w:pPr>
            <w:r>
              <w:rPr>
                <w:rFonts w:ascii="Calibri" w:hAnsi="Calibri"/>
                <w:sz w:val="17"/>
              </w:rPr>
              <w:t>Gunicorn socket</w:t>
            </w:r>
          </w:p>
        </w:tc>
        <w:tc>
          <w:tcPr>
            <w:tcW w:type="dxa" w:w="6460"/>
            <w:tcMar>
              <w:top w:w="80" w:type="dxa"/>
              <w:start w:w="120" w:type="dxa"/>
              <w:bottom w:w="80" w:type="dxa"/>
              <w:end w:w="120" w:type="dxa"/>
            </w:tcMar>
            <w:vAlign w:val="center"/>
          </w:tcPr>
          <w:p>
            <w:pPr>
              <w:spacing w:before="0" w:after="0" w:line="259" w:lineRule="auto"/>
            </w:pPr>
            <w:r>
              <w:rPr>
                <w:rFonts w:ascii="Calibri" w:hAnsi="Calibri"/>
                <w:sz w:val="17"/>
              </w:rPr>
              <w:t>/run/leadgen/leadgen.sock</w:t>
            </w:r>
          </w:p>
        </w:tc>
      </w:tr>
      <w:tr>
        <w:trPr>
          <w:cantSplit/>
        </w:trPr>
        <w:tc>
          <w:tcPr>
            <w:tcW w:type="dxa" w:w="2900"/>
            <w:tcMar>
              <w:top w:w="80" w:type="dxa"/>
              <w:start w:w="120" w:type="dxa"/>
              <w:bottom w:w="80" w:type="dxa"/>
              <w:end w:w="120" w:type="dxa"/>
            </w:tcMar>
            <w:vAlign w:val="center"/>
          </w:tcPr>
          <w:p>
            <w:pPr>
              <w:spacing w:before="0" w:after="0" w:line="259" w:lineRule="auto"/>
            </w:pPr>
            <w:r>
              <w:rPr>
                <w:rFonts w:ascii="Calibri" w:hAnsi="Calibri"/>
                <w:sz w:val="17"/>
              </w:rPr>
              <w:t>Database</w:t>
            </w:r>
          </w:p>
        </w:tc>
        <w:tc>
          <w:tcPr>
            <w:tcW w:type="dxa" w:w="6460"/>
            <w:tcMar>
              <w:top w:w="80" w:type="dxa"/>
              <w:start w:w="120" w:type="dxa"/>
              <w:bottom w:w="80" w:type="dxa"/>
              <w:end w:w="120" w:type="dxa"/>
            </w:tcMar>
            <w:vAlign w:val="center"/>
          </w:tcPr>
          <w:p>
            <w:pPr>
              <w:spacing w:before="0" w:after="0" w:line="259" w:lineRule="auto"/>
            </w:pPr>
            <w:r>
              <w:rPr>
                <w:rFonts w:ascii="Calibri" w:hAnsi="Calibri"/>
                <w:sz w:val="17"/>
              </w:rPr>
              <w:t>PostgreSQL required by deploy workflow; exact host, version, backup configuration, and owner are not in source.</w:t>
            </w:r>
          </w:p>
        </w:tc>
      </w:tr>
      <w:tr>
        <w:trPr>
          <w:cantSplit/>
        </w:trPr>
        <w:tc>
          <w:tcPr>
            <w:tcW w:type="dxa" w:w="2900"/>
            <w:tcMar>
              <w:top w:w="80" w:type="dxa"/>
              <w:start w:w="120" w:type="dxa"/>
              <w:bottom w:w="80" w:type="dxa"/>
              <w:end w:w="120" w:type="dxa"/>
            </w:tcMar>
            <w:vAlign w:val="center"/>
          </w:tcPr>
          <w:p>
            <w:pPr>
              <w:spacing w:before="0" w:after="0" w:line="259" w:lineRule="auto"/>
            </w:pPr>
            <w:r>
              <w:rPr>
                <w:rFonts w:ascii="Calibri" w:hAnsi="Calibri"/>
                <w:sz w:val="17"/>
              </w:rPr>
              <w:t>Static/media</w:t>
            </w:r>
          </w:p>
        </w:tc>
        <w:tc>
          <w:tcPr>
            <w:tcW w:type="dxa" w:w="6460"/>
            <w:tcMar>
              <w:top w:w="80" w:type="dxa"/>
              <w:start w:w="120" w:type="dxa"/>
              <w:bottom w:w="80" w:type="dxa"/>
              <w:end w:w="120" w:type="dxa"/>
            </w:tcMar>
            <w:vAlign w:val="center"/>
          </w:tcPr>
          <w:p>
            <w:pPr>
              <w:spacing w:before="0" w:after="0" w:line="259" w:lineRule="auto"/>
            </w:pPr>
            <w:r>
              <w:rPr>
                <w:rFonts w:ascii="Calibri" w:hAnsi="Calibri"/>
                <w:sz w:val="17"/>
              </w:rPr>
              <w:t>staticfiles and media are preserved by server cleanup; ownership/permissions are set during deployment.</w:t>
            </w:r>
          </w:p>
        </w:tc>
      </w:tr>
    </w:tbl>
    <w:p>
      <w:pPr>
        <w:spacing w:after="0"/>
      </w:pPr>
    </w:p>
    <w:p>
      <w:pPr>
        <w:spacing w:before="100" w:after="160"/>
        <w:ind w:left="115" w:right="58"/>
        <w:shd w:fill="FFF7E6"/>
        <w:pBdr>
          <w:left w:val="single" w:sz="18" w:space="6" w:color="7A5A00"/>
        </w:pBdr>
      </w:pPr>
      <w:r>
        <w:rPr>
          <w:rFonts w:ascii="Calibri" w:hAnsi="Calibri"/>
          <w:b/>
          <w:color w:val="7A5A00"/>
          <w:sz w:val="21"/>
        </w:rPr>
        <w:t xml:space="preserve">Verification limit: </w:t>
      </w:r>
      <w:r>
        <w:rPr>
          <w:rFonts w:ascii="Calibri" w:hAnsi="Calibri"/>
          <w:sz w:val="21"/>
        </w:rPr>
        <w:t>The handoff used public health, TLS, GitHub, and checked-in workflow evidence. It did not log into EC2 or AWS, read the protected environment, inspect PostgreSQL, or verify backups, monitoring, disk capacity, patches, IAM, networking, or account ownership. Those are required takeover checks.</w:t>
      </w:r>
    </w:p>
    <w:p>
      <w:pPr>
        <w:pStyle w:val="Heading1"/>
      </w:pPr>
      <w:r>
        <w:t>12. Deployment, verification, and rollback</w:t>
      </w:r>
    </w:p>
    <w:p>
      <w:pPr>
        <w:pStyle w:val="Heading2"/>
      </w:pPr>
      <w:r>
        <w:t>What the current deploy does</w:t>
      </w:r>
    </w:p>
    <w:p>
      <w:pPr>
        <w:numPr>
          <w:ilvl w:val="0"/>
          <w:numId w:val="18"/>
        </w:numPr>
      </w:pPr>
      <w:r>
        <w:t>Checks repository, protected environment, virtualenv, and SSH connectivity.</w:t>
      </w:r>
    </w:p>
    <w:p>
      <w:pPr>
        <w:numPr>
          <w:ilvl w:val="0"/>
          <w:numId w:val="18"/>
        </w:numPr>
      </w:pPr>
      <w:r>
        <w:t>Fetches origin/main, checks out main, hard-resets to origin/main, and removes untracked files while preserving .env, media, and staticfiles.</w:t>
      </w:r>
    </w:p>
    <w:p>
      <w:pPr>
        <w:numPr>
          <w:ilvl w:val="0"/>
          <w:numId w:val="18"/>
        </w:numPr>
      </w:pPr>
      <w:r>
        <w:t>Loads the protected environment and refuses a missing or non-PostgreSQL DATABASE_URL.</w:t>
      </w:r>
    </w:p>
    <w:p>
      <w:pPr>
        <w:numPr>
          <w:ilvl w:val="0"/>
          <w:numId w:val="18"/>
        </w:numPr>
      </w:pPr>
      <w:r>
        <w:t>Installs pinned dependencies, runs Django and missing-migration checks, prints and applies migrations, and collects static files.</w:t>
      </w:r>
    </w:p>
    <w:p>
      <w:pPr>
        <w:numPr>
          <w:ilvl w:val="0"/>
          <w:numId w:val="18"/>
        </w:numPr>
      </w:pPr>
      <w:r>
        <w:t>Runs production deployment checks, sets ownership/permissions, and restarts the leadgen systemd service.</w:t>
      </w:r>
    </w:p>
    <w:p>
      <w:pPr>
        <w:numPr>
          <w:ilvl w:val="0"/>
          <w:numId w:val="18"/>
        </w:numPr>
      </w:pPr>
      <w:r>
        <w:t>Verifies systemd, the Gunicorn socket, Django through the socket, Nginx configuration, local Nginx health, and public HTTPS health.</w:t>
      </w:r>
    </w:p>
    <w:p>
      <w:pPr>
        <w:pStyle w:val="Heading2"/>
      </w:pPr>
      <w:r>
        <w:t>Post-deploy verification</w:t>
      </w:r>
    </w:p>
    <w:p>
      <w:pPr>
        <w:numPr>
          <w:ilvl w:val="0"/>
          <w:numId w:val="10"/>
        </w:numPr>
      </w:pPr>
      <w:r>
        <w:t>Capture the deployed commit and successful CI/deploy run URLs.</w:t>
      </w:r>
    </w:p>
    <w:p>
      <w:pPr>
        <w:numPr>
          <w:ilvl w:val="0"/>
          <w:numId w:val="10"/>
        </w:numPr>
      </w:pPr>
      <w:r>
        <w:t>Verify public /health/ and, when authorized, service state, recent journal logs, socket, Nginx, database connectivity, and static assets.</w:t>
      </w:r>
    </w:p>
    <w:p>
      <w:pPr>
        <w:numPr>
          <w:ilvl w:val="0"/>
          <w:numId w:val="10"/>
        </w:numPr>
      </w:pPr>
      <w:r>
        <w:t>Use existing safe records for role-appropriate read-only journeys. Do not create production data merely to test.</w:t>
      </w:r>
    </w:p>
    <w:p>
      <w:pPr>
        <w:numPr>
          <w:ilvl w:val="0"/>
          <w:numId w:val="10"/>
        </w:numPr>
      </w:pPr>
      <w:r>
        <w:t>For a changed workflow, use a pre-approved test plan that preserves data and records any permitted mutation explicitly.</w:t>
      </w:r>
    </w:p>
    <w:p>
      <w:pPr>
        <w:pStyle w:val="Heading2"/>
      </w:pPr>
      <w:r>
        <w:t>Application rollback</w:t>
      </w:r>
    </w:p>
    <w:p>
      <w:r>
        <w:t>Because production deploy resets to origin/main, the durable rollback is normally a new revert or corrective commit on main, followed by the same CI and deployment path. Do not leave the server on a detached historical commit. Review migration compatibility first: reverting application code does not reverse a database migration.</w:t>
      </w:r>
    </w:p>
    <w:p>
      <w:pPr>
        <w:spacing w:before="100" w:after="160"/>
        <w:ind w:left="115" w:right="58"/>
        <w:shd w:fill="FCE8E8"/>
        <w:pBdr>
          <w:left w:val="single" w:sz="18" w:space="6" w:color="9B1C1C"/>
        </w:pBdr>
      </w:pPr>
      <w:r>
        <w:rPr>
          <w:rFonts w:ascii="Calibri" w:hAnsi="Calibri"/>
          <w:b/>
          <w:color w:val="9B1C1C"/>
          <w:sz w:val="21"/>
        </w:rPr>
        <w:t xml:space="preserve">Database rollback: </w:t>
      </w:r>
      <w:r>
        <w:rPr>
          <w:rFonts w:ascii="Calibri" w:hAnsi="Calibri"/>
          <w:sz w:val="21"/>
        </w:rPr>
        <w:t>Prefer backward-compatible migrations and forward fixes. Require an explicit snapshot/backup and tested restore path before destructive or irreversible schema/data changes.</w:t>
      </w:r>
    </w:p>
    <w:p>
      <w:pPr>
        <w:pStyle w:val="Heading1"/>
      </w:pPr>
      <w:r>
        <w:t>13. Data, backup, and recovery ownership</w:t>
      </w:r>
    </w:p>
    <w:p>
      <w:r>
        <w:t>The repository proves application schema and migration behavior, but not the current database hosting arrangement, backup schedule, retention, encryption, point-in-time recovery, or last restore test. These controls must be established through AWS and PostgreSQL access.</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cantSplit/>
        </w:trPr>
        <w:tc>
          <w:tcPr>
            <w:tcW w:type="dxa" w:w="2500"/>
            <w:shd w:fill="E8EEF5"/>
            <w:tcMar>
              <w:top w:w="80" w:type="dxa"/>
              <w:start w:w="120" w:type="dxa"/>
              <w:bottom w:w="80" w:type="dxa"/>
              <w:end w:w="120" w:type="dxa"/>
            </w:tcMar>
            <w:vAlign w:val="center"/>
          </w:tcPr>
          <w:p>
            <w:pPr>
              <w:spacing w:before="0" w:after="0" w:line="252" w:lineRule="auto"/>
            </w:pPr>
            <w:r>
              <w:rPr>
                <w:rFonts w:ascii="Calibri" w:hAnsi="Calibri"/>
                <w:b/>
                <w:color w:val="0B2545"/>
                <w:sz w:val="17"/>
              </w:rPr>
              <w:t>Transfer item</w:t>
            </w:r>
          </w:p>
        </w:tc>
        <w:tc>
          <w:tcPr>
            <w:tcW w:type="dxa" w:w="6860"/>
            <w:shd w:fill="E8EEF5"/>
            <w:tcMar>
              <w:top w:w="80" w:type="dxa"/>
              <w:start w:w="120" w:type="dxa"/>
              <w:bottom w:w="80" w:type="dxa"/>
              <w:end w:w="120" w:type="dxa"/>
            </w:tcMar>
            <w:vAlign w:val="center"/>
          </w:tcPr>
          <w:p>
            <w:pPr>
              <w:spacing w:before="0" w:after="0" w:line="252" w:lineRule="auto"/>
            </w:pPr>
            <w:r>
              <w:rPr>
                <w:rFonts w:ascii="Calibri" w:hAnsi="Calibri"/>
                <w:b/>
                <w:color w:val="0B2545"/>
                <w:sz w:val="17"/>
              </w:rPr>
              <w:t>Evidence the incoming owner must capture</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alibri" w:hAnsi="Calibri"/>
                <w:sz w:val="17"/>
              </w:rPr>
              <w:t>Database identity</w:t>
            </w:r>
          </w:p>
        </w:tc>
        <w:tc>
          <w:tcPr>
            <w:tcW w:type="dxa" w:w="6860"/>
            <w:tcMar>
              <w:top w:w="80" w:type="dxa"/>
              <w:start w:w="120" w:type="dxa"/>
              <w:bottom w:w="80" w:type="dxa"/>
              <w:end w:w="120" w:type="dxa"/>
            </w:tcMar>
            <w:vAlign w:val="center"/>
          </w:tcPr>
          <w:p>
            <w:pPr>
              <w:spacing w:before="0" w:after="0" w:line="259" w:lineRule="auto"/>
            </w:pPr>
            <w:r>
              <w:rPr>
                <w:rFonts w:ascii="Calibri" w:hAnsi="Calibri"/>
                <w:sz w:val="17"/>
              </w:rPr>
              <w:t>Host/service, region, engine/version, database and user owners, network path, encryption, and maintenance window.</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alibri" w:hAnsi="Calibri"/>
                <w:sz w:val="17"/>
              </w:rPr>
              <w:t>Backup policy</w:t>
            </w:r>
          </w:p>
        </w:tc>
        <w:tc>
          <w:tcPr>
            <w:tcW w:type="dxa" w:w="6860"/>
            <w:tcMar>
              <w:top w:w="80" w:type="dxa"/>
              <w:start w:w="120" w:type="dxa"/>
              <w:bottom w:w="80" w:type="dxa"/>
              <w:end w:w="120" w:type="dxa"/>
            </w:tcMar>
            <w:vAlign w:val="center"/>
          </w:tcPr>
          <w:p>
            <w:pPr>
              <w:spacing w:before="0" w:after="0" w:line="259" w:lineRule="auto"/>
            </w:pPr>
            <w:r>
              <w:rPr>
                <w:rFonts w:ascii="Calibri" w:hAnsi="Calibri"/>
                <w:sz w:val="17"/>
              </w:rPr>
              <w:t>Automated schedule, retention, point-in-time recovery window, encryption key owner, snapshot policy, and cost owner.</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alibri" w:hAnsi="Calibri"/>
                <w:sz w:val="17"/>
              </w:rPr>
              <w:t>Restore proof</w:t>
            </w:r>
          </w:p>
        </w:tc>
        <w:tc>
          <w:tcPr>
            <w:tcW w:type="dxa" w:w="6860"/>
            <w:tcMar>
              <w:top w:w="80" w:type="dxa"/>
              <w:start w:w="120" w:type="dxa"/>
              <w:bottom w:w="80" w:type="dxa"/>
              <w:end w:w="120" w:type="dxa"/>
            </w:tcMar>
            <w:vAlign w:val="center"/>
          </w:tcPr>
          <w:p>
            <w:pPr>
              <w:spacing w:before="0" w:after="0" w:line="259" w:lineRule="auto"/>
            </w:pPr>
            <w:r>
              <w:rPr>
                <w:rFonts w:ascii="Calibri" w:hAnsi="Calibri"/>
                <w:sz w:val="17"/>
              </w:rPr>
              <w:t>Date, environment, duration, responsible person, integrity checks, and outcome of the latest controlled restore test.</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alibri" w:hAnsi="Calibri"/>
                <w:sz w:val="17"/>
              </w:rPr>
              <w:t>Migration safety</w:t>
            </w:r>
          </w:p>
        </w:tc>
        <w:tc>
          <w:tcPr>
            <w:tcW w:type="dxa" w:w="6860"/>
            <w:tcMar>
              <w:top w:w="80" w:type="dxa"/>
              <w:start w:w="120" w:type="dxa"/>
              <w:bottom w:w="80" w:type="dxa"/>
              <w:end w:w="120" w:type="dxa"/>
            </w:tcMar>
            <w:vAlign w:val="center"/>
          </w:tcPr>
          <w:p>
            <w:pPr>
              <w:spacing w:before="0" w:after="0" w:line="259" w:lineRule="auto"/>
            </w:pPr>
            <w:r>
              <w:rPr>
                <w:rFonts w:ascii="Calibri" w:hAnsi="Calibri"/>
                <w:sz w:val="17"/>
              </w:rPr>
              <w:t>Data volume, lock estimate, forward/backward compatibility, backup gate, monitoring, abort condition, and application-version compatibility.</w:t>
            </w:r>
          </w:p>
        </w:tc>
      </w:tr>
      <w:tr>
        <w:trPr>
          <w:cantSplit/>
        </w:trPr>
        <w:tc>
          <w:tcPr>
            <w:tcW w:type="dxa" w:w="2500"/>
            <w:tcMar>
              <w:top w:w="80" w:type="dxa"/>
              <w:start w:w="120" w:type="dxa"/>
              <w:bottom w:w="80" w:type="dxa"/>
              <w:end w:w="120" w:type="dxa"/>
            </w:tcMar>
            <w:vAlign w:val="center"/>
          </w:tcPr>
          <w:p>
            <w:pPr>
              <w:spacing w:before="0" w:after="0" w:line="259" w:lineRule="auto"/>
            </w:pPr>
            <w:r>
              <w:rPr>
                <w:rFonts w:ascii="Calibri" w:hAnsi="Calibri"/>
                <w:sz w:val="17"/>
              </w:rPr>
              <w:t>Data stewardship</w:t>
            </w:r>
          </w:p>
        </w:tc>
        <w:tc>
          <w:tcPr>
            <w:tcW w:type="dxa" w:w="6860"/>
            <w:tcMar>
              <w:top w:w="80" w:type="dxa"/>
              <w:start w:w="120" w:type="dxa"/>
              <w:bottom w:w="80" w:type="dxa"/>
              <w:end w:w="120" w:type="dxa"/>
            </w:tcMar>
            <w:vAlign w:val="center"/>
          </w:tcPr>
          <w:p>
            <w:pPr>
              <w:spacing w:before="0" w:after="0" w:line="259" w:lineRule="auto"/>
            </w:pPr>
            <w:r>
              <w:rPr>
                <w:rFonts w:ascii="Calibri" w:hAnsi="Calibri"/>
                <w:sz w:val="17"/>
              </w:rPr>
              <w:t>Who approves exports, imports, rollback of batches, user access, retention, deletion, and incident disclosure.</w:t>
            </w:r>
          </w:p>
        </w:tc>
      </w:tr>
    </w:tbl>
    <w:p>
      <w:pPr>
        <w:spacing w:after="0"/>
      </w:pPr>
    </w:p>
    <w:p>
      <w:pPr>
        <w:pStyle w:val="Heading1"/>
      </w:pPr>
      <w:r>
        <w:t>14. Access and ownership transfer</w:t>
      </w:r>
    </w:p>
    <w:p>
      <w:r>
        <w:t>The formal handoff is incomplete until accountable people and recovery paths exist outside this document.</w:t>
      </w:r>
    </w:p>
    <w:p>
      <w:pPr>
        <w:numPr>
          <w:ilvl w:val="0"/>
          <w:numId w:val="10"/>
        </w:numPr>
      </w:pPr>
      <w:r>
        <w:t>GitHub: organization/repository owner, administrators, collaborators, deploy keys/apps, Actions secrets/variables, branch policy, audit-log access, and billing owner.</w:t>
      </w:r>
    </w:p>
    <w:p>
      <w:pPr>
        <w:numPr>
          <w:ilvl w:val="0"/>
          <w:numId w:val="10"/>
        </w:numPr>
      </w:pPr>
      <w:r>
        <w:t>AWS: account ID/legal owner, region, IAM administrators, MFA/break-glass process, EC2, VPC/security groups/routes, volumes, RDS/PostgreSQL, DNS, certificates, logs, and cost owner.</w:t>
      </w:r>
    </w:p>
    <w:p>
      <w:pPr>
        <w:numPr>
          <w:ilvl w:val="0"/>
          <w:numId w:val="10"/>
        </w:numPr>
      </w:pPr>
      <w:r>
        <w:t>Linux: sudo-capable administrator, SSH-key lifecycle, package/OS patching, service unit, Nginx sites, filesystem ownership, log paths/retention, disk monitoring, and restart/recovery procedure.</w:t>
      </w:r>
    </w:p>
    <w:p>
      <w:pPr>
        <w:numPr>
          <w:ilvl w:val="0"/>
          <w:numId w:val="10"/>
        </w:numPr>
      </w:pPr>
      <w:r>
        <w:t>Google OAuth: Cloud project owner, consent screen, exact origins/redirect URIs, client-secret rotation, quotas, and recovery contacts.</w:t>
      </w:r>
    </w:p>
    <w:p>
      <w:pPr>
        <w:numPr>
          <w:ilvl w:val="0"/>
          <w:numId w:val="10"/>
        </w:numPr>
      </w:pPr>
      <w:r>
        <w:t>Domain/TLS: registrar, DNS provider, zone owner, renewal method, expiry alerts, and emergency contacts.</w:t>
      </w:r>
    </w:p>
    <w:p>
      <w:pPr>
        <w:numPr>
          <w:ilvl w:val="0"/>
          <w:numId w:val="10"/>
        </w:numPr>
      </w:pPr>
      <w:r>
        <w:t>Application: product owner, engineering manager, system administrators, incident commander pool, release approvers, support channel, backlog, and availability target.</w:t>
      </w:r>
    </w:p>
    <w:p>
      <w:pPr>
        <w:numPr>
          <w:ilvl w:val="0"/>
          <w:numId w:val="10"/>
        </w:numPr>
      </w:pPr>
      <w:r>
        <w:t>Secrets: source of truth, custodian, rotation frequency, last rotation, emergency revocation, and confirmation that values are not copied into tickets, chat, source, or this package.</w:t>
      </w:r>
    </w:p>
    <w:p>
      <w:pPr>
        <w:pStyle w:val="Heading1"/>
      </w:pPr>
      <w:r>
        <w:t>15. Known gaps and risks</w:t>
      </w:r>
    </w:p>
    <w:tbl>
      <w:tblPr>
        <w:tblStyle w:val="TableGrid"/>
        <w:tblW w:type="dxa" w:w="9360"/>
        <w:tblLayout w:type="fixed"/>
        <w:tblLook w:firstColumn="1" w:firstRow="1" w:lastColumn="0" w:lastRow="0" w:noHBand="0" w:noVBand="1" w:val="04A0"/>
        <w:tblInd w:w="120" w:type="dxa"/>
      </w:tblPr>
      <w:tblGrid>
        <w:gridCol w:w="2200"/>
        <w:gridCol w:w="3300"/>
        <w:gridCol w:w="3860"/>
      </w:tblGrid>
      <w:tr>
        <w:trPr>
          <w:tblHeader w:val="true"/>
          <w:cantSplit/>
        </w:trPr>
        <w:tc>
          <w:tcPr>
            <w:tcW w:type="dxa" w:w="2200"/>
            <w:shd w:fill="E8EEF5"/>
            <w:tcMar>
              <w:top w:w="80" w:type="dxa"/>
              <w:start w:w="120" w:type="dxa"/>
              <w:bottom w:w="80" w:type="dxa"/>
              <w:end w:w="120" w:type="dxa"/>
            </w:tcMar>
            <w:vAlign w:val="center"/>
          </w:tcPr>
          <w:p>
            <w:pPr>
              <w:spacing w:before="0" w:after="0" w:line="252" w:lineRule="auto"/>
            </w:pPr>
            <w:r>
              <w:rPr>
                <w:rFonts w:ascii="Calibri" w:hAnsi="Calibri"/>
                <w:b/>
                <w:color w:val="0B2545"/>
                <w:sz w:val="16"/>
              </w:rPr>
              <w:t>Risk or gap</w:t>
            </w:r>
          </w:p>
        </w:tc>
        <w:tc>
          <w:tcPr>
            <w:tcW w:type="dxa" w:w="3300"/>
            <w:shd w:fill="E8EEF5"/>
            <w:tcMar>
              <w:top w:w="80" w:type="dxa"/>
              <w:start w:w="120" w:type="dxa"/>
              <w:bottom w:w="80" w:type="dxa"/>
              <w:end w:w="120" w:type="dxa"/>
            </w:tcMar>
            <w:vAlign w:val="center"/>
          </w:tcPr>
          <w:p>
            <w:pPr>
              <w:spacing w:before="0" w:after="0" w:line="252" w:lineRule="auto"/>
            </w:pPr>
            <w:r>
              <w:rPr>
                <w:rFonts w:ascii="Calibri" w:hAnsi="Calibri"/>
                <w:b/>
                <w:color w:val="0B2545"/>
                <w:sz w:val="16"/>
              </w:rPr>
              <w:t>Why it matters</w:t>
            </w:r>
          </w:p>
        </w:tc>
        <w:tc>
          <w:tcPr>
            <w:tcW w:type="dxa" w:w="3860"/>
            <w:shd w:fill="E8EEF5"/>
            <w:tcMar>
              <w:top w:w="80" w:type="dxa"/>
              <w:start w:w="120" w:type="dxa"/>
              <w:bottom w:w="80" w:type="dxa"/>
              <w:end w:w="120" w:type="dxa"/>
            </w:tcMar>
            <w:vAlign w:val="center"/>
          </w:tcPr>
          <w:p>
            <w:pPr>
              <w:spacing w:before="0" w:after="0" w:line="252" w:lineRule="auto"/>
            </w:pPr>
            <w:r>
              <w:rPr>
                <w:rFonts w:ascii="Calibri" w:hAnsi="Calibri"/>
                <w:b/>
                <w:color w:val="0B2545"/>
                <w:sz w:val="16"/>
              </w:rPr>
              <w:t>Required action</w:t>
            </w:r>
          </w:p>
        </w:tc>
      </w:tr>
      <w:tr>
        <w:trPr>
          <w:cantSplit/>
        </w:trPr>
        <w:tc>
          <w:tcPr>
            <w:tcW w:type="dxa" w:w="2200"/>
            <w:tcMar>
              <w:top w:w="80" w:type="dxa"/>
              <w:start w:w="120" w:type="dxa"/>
              <w:bottom w:w="80" w:type="dxa"/>
              <w:end w:w="120" w:type="dxa"/>
            </w:tcMar>
            <w:vAlign w:val="center"/>
          </w:tcPr>
          <w:p>
            <w:pPr>
              <w:spacing w:before="0" w:after="0" w:line="259" w:lineRule="auto"/>
            </w:pPr>
            <w:r>
              <w:rPr>
                <w:rFonts w:ascii="Calibri" w:hAnsi="Calibri"/>
                <w:sz w:val="16"/>
              </w:rPr>
              <w:t>Direct main deployment</w:t>
            </w:r>
          </w:p>
        </w:tc>
        <w:tc>
          <w:tcPr>
            <w:tcW w:type="dxa" w:w="3300"/>
            <w:tcMar>
              <w:top w:w="80" w:type="dxa"/>
              <w:start w:w="120" w:type="dxa"/>
              <w:bottom w:w="80" w:type="dxa"/>
              <w:end w:w="120" w:type="dxa"/>
            </w:tcMar>
            <w:vAlign w:val="center"/>
          </w:tcPr>
          <w:p>
            <w:pPr>
              <w:spacing w:before="0" w:after="0" w:line="259" w:lineRule="auto"/>
            </w:pPr>
            <w:r>
              <w:rPr>
                <w:rFonts w:ascii="Calibri" w:hAnsi="Calibri"/>
                <w:sz w:val="16"/>
              </w:rPr>
              <w:t>A push can change production immediately.</w:t>
            </w:r>
          </w:p>
        </w:tc>
        <w:tc>
          <w:tcPr>
            <w:tcW w:type="dxa" w:w="3860"/>
            <w:tcMar>
              <w:top w:w="80" w:type="dxa"/>
              <w:start w:w="120" w:type="dxa"/>
              <w:bottom w:w="80" w:type="dxa"/>
              <w:end w:w="120" w:type="dxa"/>
            </w:tcMar>
            <w:vAlign w:val="center"/>
          </w:tcPr>
          <w:p>
            <w:pPr>
              <w:spacing w:before="0" w:after="0" w:line="259" w:lineRule="auto"/>
            </w:pPr>
            <w:r>
              <w:rPr>
                <w:rFonts w:ascii="Calibri" w:hAnsi="Calibri"/>
                <w:sz w:val="16"/>
              </w:rPr>
              <w:t>Establish explicit release approval, review rules, and protected deployment ownership.</w:t>
            </w:r>
          </w:p>
        </w:tc>
      </w:tr>
      <w:tr>
        <w:trPr>
          <w:cantSplit/>
        </w:trPr>
        <w:tc>
          <w:tcPr>
            <w:tcW w:type="dxa" w:w="2200"/>
            <w:tcMar>
              <w:top w:w="80" w:type="dxa"/>
              <w:start w:w="120" w:type="dxa"/>
              <w:bottom w:w="80" w:type="dxa"/>
              <w:end w:w="120" w:type="dxa"/>
            </w:tcMar>
            <w:vAlign w:val="center"/>
          </w:tcPr>
          <w:p>
            <w:pPr>
              <w:spacing w:before="0" w:after="0" w:line="259" w:lineRule="auto"/>
            </w:pPr>
            <w:r>
              <w:rPr>
                <w:rFonts w:ascii="Calibri" w:hAnsi="Calibri"/>
                <w:sz w:val="16"/>
              </w:rPr>
              <w:t>Governance not proven</w:t>
            </w:r>
          </w:p>
        </w:tc>
        <w:tc>
          <w:tcPr>
            <w:tcW w:type="dxa" w:w="3300"/>
            <w:tcMar>
              <w:top w:w="80" w:type="dxa"/>
              <w:start w:w="120" w:type="dxa"/>
              <w:bottom w:w="80" w:type="dxa"/>
              <w:end w:w="120" w:type="dxa"/>
            </w:tcMar>
            <w:vAlign w:val="center"/>
          </w:tcPr>
          <w:p>
            <w:pPr>
              <w:spacing w:before="0" w:after="0" w:line="259" w:lineRule="auto"/>
            </w:pPr>
            <w:r>
              <w:rPr>
                <w:rFonts w:ascii="Calibri" w:hAnsi="Calibri"/>
                <w:sz w:val="16"/>
              </w:rPr>
              <w:t>The branch-protection API was unavailable under the current GitHub plan.</w:t>
            </w:r>
          </w:p>
        </w:tc>
        <w:tc>
          <w:tcPr>
            <w:tcW w:type="dxa" w:w="3860"/>
            <w:tcMar>
              <w:top w:w="80" w:type="dxa"/>
              <w:start w:w="120" w:type="dxa"/>
              <w:bottom w:w="80" w:type="dxa"/>
              <w:end w:w="120" w:type="dxa"/>
            </w:tcMar>
            <w:vAlign w:val="center"/>
          </w:tcPr>
          <w:p>
            <w:pPr>
              <w:spacing w:before="0" w:after="0" w:line="259" w:lineRule="auto"/>
            </w:pPr>
            <w:r>
              <w:rPr>
                <w:rFonts w:ascii="Calibri" w:hAnsi="Calibri"/>
                <w:sz w:val="16"/>
              </w:rPr>
              <w:t>Verify actual branch/review policy and record the result.</w:t>
            </w:r>
          </w:p>
        </w:tc>
      </w:tr>
      <w:tr>
        <w:trPr>
          <w:cantSplit/>
        </w:trPr>
        <w:tc>
          <w:tcPr>
            <w:tcW w:type="dxa" w:w="2200"/>
            <w:tcMar>
              <w:top w:w="80" w:type="dxa"/>
              <w:start w:w="120" w:type="dxa"/>
              <w:bottom w:w="80" w:type="dxa"/>
              <w:end w:w="120" w:type="dxa"/>
            </w:tcMar>
            <w:vAlign w:val="center"/>
          </w:tcPr>
          <w:p>
            <w:pPr>
              <w:spacing w:before="0" w:after="0" w:line="259" w:lineRule="auto"/>
            </w:pPr>
            <w:r>
              <w:rPr>
                <w:rFonts w:ascii="Calibri" w:hAnsi="Calibri"/>
                <w:sz w:val="16"/>
              </w:rPr>
              <w:t>Two deployment paths</w:t>
            </w:r>
          </w:p>
        </w:tc>
        <w:tc>
          <w:tcPr>
            <w:tcW w:type="dxa" w:w="3300"/>
            <w:tcMar>
              <w:top w:w="80" w:type="dxa"/>
              <w:start w:w="120" w:type="dxa"/>
              <w:bottom w:w="80" w:type="dxa"/>
              <w:end w:w="120" w:type="dxa"/>
            </w:tcMar>
            <w:vAlign w:val="center"/>
          </w:tcPr>
          <w:p>
            <w:pPr>
              <w:spacing w:before="0" w:after="0" w:line="259" w:lineRule="auto"/>
            </w:pPr>
            <w:r>
              <w:rPr>
                <w:rFonts w:ascii="Calibri" w:hAnsi="Calibri"/>
                <w:sz w:val="16"/>
              </w:rPr>
              <w:t>Native EC2 and container/SSM assets can be confused.</w:t>
            </w:r>
          </w:p>
        </w:tc>
        <w:tc>
          <w:tcPr>
            <w:tcW w:type="dxa" w:w="3860"/>
            <w:tcMar>
              <w:top w:w="80" w:type="dxa"/>
              <w:start w:w="120" w:type="dxa"/>
              <w:bottom w:w="80" w:type="dxa"/>
              <w:end w:w="120" w:type="dxa"/>
            </w:tcMar>
            <w:vAlign w:val="center"/>
          </w:tcPr>
          <w:p>
            <w:pPr>
              <w:spacing w:before="0" w:after="0" w:line="259" w:lineRule="auto"/>
            </w:pPr>
            <w:r>
              <w:rPr>
                <w:rFonts w:ascii="Calibri" w:hAnsi="Calibri"/>
                <w:sz w:val="16"/>
              </w:rPr>
              <w:t>Name the live path; remove or clearly deprecate the unused path in a future approved change.</w:t>
            </w:r>
          </w:p>
        </w:tc>
      </w:tr>
      <w:tr>
        <w:trPr>
          <w:cantSplit/>
        </w:trPr>
        <w:tc>
          <w:tcPr>
            <w:tcW w:type="dxa" w:w="2200"/>
            <w:tcMar>
              <w:top w:w="80" w:type="dxa"/>
              <w:start w:w="120" w:type="dxa"/>
              <w:bottom w:w="80" w:type="dxa"/>
              <w:end w:w="120" w:type="dxa"/>
            </w:tcMar>
            <w:vAlign w:val="center"/>
          </w:tcPr>
          <w:p>
            <w:pPr>
              <w:spacing w:before="0" w:after="0" w:line="259" w:lineRule="auto"/>
            </w:pPr>
            <w:r>
              <w:rPr>
                <w:rFonts w:ascii="Calibri" w:hAnsi="Calibri"/>
                <w:sz w:val="16"/>
              </w:rPr>
              <w:t>Infrastructure inventory absent</w:t>
            </w:r>
          </w:p>
        </w:tc>
        <w:tc>
          <w:tcPr>
            <w:tcW w:type="dxa" w:w="3300"/>
            <w:tcMar>
              <w:top w:w="80" w:type="dxa"/>
              <w:start w:w="120" w:type="dxa"/>
              <w:bottom w:w="80" w:type="dxa"/>
              <w:end w:w="120" w:type="dxa"/>
            </w:tcMar>
            <w:vAlign w:val="center"/>
          </w:tcPr>
          <w:p>
            <w:pPr>
              <w:spacing w:before="0" w:after="0" w:line="259" w:lineRule="auto"/>
            </w:pPr>
            <w:r>
              <w:rPr>
                <w:rFonts w:ascii="Calibri" w:hAnsi="Calibri"/>
                <w:sz w:val="16"/>
              </w:rPr>
              <w:t>Repository files do not prove AWS resources, owners, backup, alarms, or capacity.</w:t>
            </w:r>
          </w:p>
        </w:tc>
        <w:tc>
          <w:tcPr>
            <w:tcW w:type="dxa" w:w="3860"/>
            <w:tcMar>
              <w:top w:w="80" w:type="dxa"/>
              <w:start w:w="120" w:type="dxa"/>
              <w:bottom w:w="80" w:type="dxa"/>
              <w:end w:w="120" w:type="dxa"/>
            </w:tcMar>
            <w:vAlign w:val="center"/>
          </w:tcPr>
          <w:p>
            <w:pPr>
              <w:spacing w:before="0" w:after="0" w:line="259" w:lineRule="auto"/>
            </w:pPr>
            <w:r>
              <w:rPr>
                <w:rFonts w:ascii="Calibri" w:hAnsi="Calibri"/>
                <w:sz w:val="16"/>
              </w:rPr>
              <w:t>Complete the access checklist with live AWS and server evidence.</w:t>
            </w:r>
          </w:p>
        </w:tc>
      </w:tr>
      <w:tr>
        <w:trPr>
          <w:cantSplit/>
        </w:trPr>
        <w:tc>
          <w:tcPr>
            <w:tcW w:type="dxa" w:w="2200"/>
            <w:tcMar>
              <w:top w:w="80" w:type="dxa"/>
              <w:start w:w="120" w:type="dxa"/>
              <w:bottom w:w="80" w:type="dxa"/>
              <w:end w:w="120" w:type="dxa"/>
            </w:tcMar>
            <w:vAlign w:val="center"/>
          </w:tcPr>
          <w:p>
            <w:pPr>
              <w:spacing w:before="0" w:after="0" w:line="259" w:lineRule="auto"/>
            </w:pPr>
            <w:r>
              <w:rPr>
                <w:rFonts w:ascii="Calibri" w:hAnsi="Calibri"/>
                <w:sz w:val="16"/>
              </w:rPr>
              <w:t>Runtime secrets external</w:t>
            </w:r>
          </w:p>
        </w:tc>
        <w:tc>
          <w:tcPr>
            <w:tcW w:type="dxa" w:w="3300"/>
            <w:tcMar>
              <w:top w:w="80" w:type="dxa"/>
              <w:start w:w="120" w:type="dxa"/>
              <w:bottom w:w="80" w:type="dxa"/>
              <w:end w:w="120" w:type="dxa"/>
            </w:tcMar>
            <w:vAlign w:val="center"/>
          </w:tcPr>
          <w:p>
            <w:pPr>
              <w:spacing w:before="0" w:after="0" w:line="259" w:lineRule="auto"/>
            </w:pPr>
            <w:r>
              <w:rPr>
                <w:rFonts w:ascii="Calibri" w:hAnsi="Calibri"/>
                <w:sz w:val="16"/>
              </w:rPr>
              <w:t>Correct for security, but a new owner cannot operate without custody transfer.</w:t>
            </w:r>
          </w:p>
        </w:tc>
        <w:tc>
          <w:tcPr>
            <w:tcW w:type="dxa" w:w="3860"/>
            <w:tcMar>
              <w:top w:w="80" w:type="dxa"/>
              <w:start w:w="120" w:type="dxa"/>
              <w:bottom w:w="80" w:type="dxa"/>
              <w:end w:w="120" w:type="dxa"/>
            </w:tcMar>
            <w:vAlign w:val="center"/>
          </w:tcPr>
          <w:p>
            <w:pPr>
              <w:spacing w:before="0" w:after="0" w:line="259" w:lineRule="auto"/>
            </w:pPr>
            <w:r>
              <w:rPr>
                <w:rFonts w:ascii="Calibri" w:hAnsi="Calibri"/>
                <w:sz w:val="16"/>
              </w:rPr>
              <w:t>Transfer through an approved secret manager or controlled rotation; never add values to the ZIP.</w:t>
            </w:r>
          </w:p>
        </w:tc>
      </w:tr>
      <w:tr>
        <w:trPr>
          <w:cantSplit/>
        </w:trPr>
        <w:tc>
          <w:tcPr>
            <w:tcW w:type="dxa" w:w="2200"/>
            <w:tcMar>
              <w:top w:w="80" w:type="dxa"/>
              <w:start w:w="120" w:type="dxa"/>
              <w:bottom w:w="80" w:type="dxa"/>
              <w:end w:w="120" w:type="dxa"/>
            </w:tcMar>
            <w:vAlign w:val="center"/>
          </w:tcPr>
          <w:p>
            <w:pPr>
              <w:spacing w:before="0" w:after="0" w:line="259" w:lineRule="auto"/>
            </w:pPr>
            <w:r>
              <w:rPr>
                <w:rFonts w:ascii="Calibri" w:hAnsi="Calibri"/>
                <w:sz w:val="16"/>
              </w:rPr>
              <w:t>Database rollback limited</w:t>
            </w:r>
          </w:p>
        </w:tc>
        <w:tc>
          <w:tcPr>
            <w:tcW w:type="dxa" w:w="3300"/>
            <w:tcMar>
              <w:top w:w="80" w:type="dxa"/>
              <w:start w:w="120" w:type="dxa"/>
              <w:bottom w:w="80" w:type="dxa"/>
              <w:end w:w="120" w:type="dxa"/>
            </w:tcMar>
            <w:vAlign w:val="center"/>
          </w:tcPr>
          <w:p>
            <w:pPr>
              <w:spacing w:before="0" w:after="0" w:line="259" w:lineRule="auto"/>
            </w:pPr>
            <w:r>
              <w:rPr>
                <w:rFonts w:ascii="Calibri" w:hAnsi="Calibri"/>
                <w:sz w:val="16"/>
              </w:rPr>
              <w:t>Code rollback cannot undo schema/data changes.</w:t>
            </w:r>
          </w:p>
        </w:tc>
        <w:tc>
          <w:tcPr>
            <w:tcW w:type="dxa" w:w="3860"/>
            <w:tcMar>
              <w:top w:w="80" w:type="dxa"/>
              <w:start w:w="120" w:type="dxa"/>
              <w:bottom w:w="80" w:type="dxa"/>
              <w:end w:w="120" w:type="dxa"/>
            </w:tcMar>
            <w:vAlign w:val="center"/>
          </w:tcPr>
          <w:p>
            <w:pPr>
              <w:spacing w:before="0" w:after="0" w:line="259" w:lineRule="auto"/>
            </w:pPr>
            <w:r>
              <w:rPr>
                <w:rFonts w:ascii="Calibri" w:hAnsi="Calibri"/>
                <w:sz w:val="16"/>
              </w:rPr>
              <w:t>Use additive migrations, backup gates, restore tests, and forward-fix plans.</w:t>
            </w:r>
          </w:p>
        </w:tc>
      </w:tr>
      <w:tr>
        <w:trPr>
          <w:cantSplit/>
        </w:trPr>
        <w:tc>
          <w:tcPr>
            <w:tcW w:type="dxa" w:w="2200"/>
            <w:tcMar>
              <w:top w:w="80" w:type="dxa"/>
              <w:start w:w="120" w:type="dxa"/>
              <w:bottom w:w="80" w:type="dxa"/>
              <w:end w:w="120" w:type="dxa"/>
            </w:tcMar>
            <w:vAlign w:val="center"/>
          </w:tcPr>
          <w:p>
            <w:pPr>
              <w:spacing w:before="0" w:after="0" w:line="259" w:lineRule="auto"/>
            </w:pPr>
            <w:r>
              <w:rPr>
                <w:rFonts w:ascii="Calibri" w:hAnsi="Calibri"/>
                <w:sz w:val="16"/>
              </w:rPr>
              <w:t>Dated package</w:t>
            </w:r>
          </w:p>
        </w:tc>
        <w:tc>
          <w:tcPr>
            <w:tcW w:type="dxa" w:w="3300"/>
            <w:tcMar>
              <w:top w:w="80" w:type="dxa"/>
              <w:start w:w="120" w:type="dxa"/>
              <w:bottom w:w="80" w:type="dxa"/>
              <w:end w:w="120" w:type="dxa"/>
            </w:tcMar>
            <w:vAlign w:val="center"/>
          </w:tcPr>
          <w:p>
            <w:pPr>
              <w:spacing w:before="0" w:after="0" w:line="259" w:lineRule="auto"/>
            </w:pPr>
            <w:r>
              <w:rPr>
                <w:rFonts w:ascii="Calibri" w:hAnsi="Calibri"/>
                <w:sz w:val="16"/>
              </w:rPr>
              <w:t>GitHub or production may change after 3 September 2026.</w:t>
            </w:r>
          </w:p>
        </w:tc>
        <w:tc>
          <w:tcPr>
            <w:tcW w:type="dxa" w:w="3860"/>
            <w:tcMar>
              <w:top w:w="80" w:type="dxa"/>
              <w:start w:w="120" w:type="dxa"/>
              <w:bottom w:w="80" w:type="dxa"/>
              <w:end w:w="120" w:type="dxa"/>
            </w:tcMar>
            <w:vAlign w:val="center"/>
          </w:tcPr>
          <w:p>
            <w:pPr>
              <w:spacing w:before="0" w:after="0" w:line="259" w:lineRule="auto"/>
            </w:pPr>
            <w:r>
              <w:rPr>
                <w:rFonts w:ascii="Calibri" w:hAnsi="Calibri"/>
                <w:sz w:val="16"/>
              </w:rPr>
              <w:t>Re-fetch, compare hashes, and repeat health/Actions checks before work.</w:t>
            </w:r>
          </w:p>
        </w:tc>
      </w:tr>
    </w:tbl>
    <w:p>
      <w:pPr>
        <w:spacing w:after="0"/>
      </w:pPr>
    </w:p>
    <w:p>
      <w:pPr>
        <w:pStyle w:val="Heading1"/>
      </w:pPr>
      <w:r>
        <w:t>16. New Codex project bootstrap</w:t>
      </w:r>
    </w:p>
    <w:p>
      <w:pPr>
        <w:numPr>
          <w:ilvl w:val="0"/>
          <w:numId w:val="19"/>
        </w:numPr>
      </w:pPr>
      <w:r>
        <w:t>Extract the ZIP and verify its SHA-256 plus every entry in MANIFEST_SHA256.txt.</w:t>
      </w:r>
    </w:p>
    <w:p>
      <w:pPr>
        <w:numPr>
          <w:ilvl w:val="0"/>
          <w:numId w:val="19"/>
        </w:numPr>
      </w:pPr>
      <w:r>
        <w:t>Open the extracted PROJECT directory as a new local Codex project.</w:t>
      </w:r>
    </w:p>
    <w:p>
      <w:pPr>
        <w:numPr>
          <w:ilvl w:val="0"/>
          <w:numId w:val="19"/>
        </w:numPr>
      </w:pPr>
      <w:r>
        <w:t>Paste handover/STARTER_PROMPT.md as the first task. Use gpt-5.6-sol or the current reliable agentic workhorse with high reasoning; use xhigh for deployment, migration, authentication, or permission changes.</w:t>
      </w:r>
    </w:p>
    <w:p>
      <w:pPr>
        <w:numPr>
          <w:ilvl w:val="0"/>
          <w:numId w:val="19"/>
        </w:numPr>
      </w:pPr>
      <w:r>
        <w:t>Require the first response to be orientation-only: source identity, architecture, user flows, local validation, GitHub delivery, production boundary, risks, and one recommended next step.</w:t>
      </w:r>
    </w:p>
    <w:p>
      <w:pPr>
        <w:numPr>
          <w:ilvl w:val="0"/>
          <w:numId w:val="19"/>
        </w:numPr>
      </w:pPr>
      <w:r>
        <w:t>Grant GitHub, AWS, server, OAuth, DNS, database, and monitoring access separately and with least privilege. Never paste credentials into the project prompt.</w:t>
      </w:r>
    </w:p>
    <w:p>
      <w:pPr>
        <w:numPr>
          <w:ilvl w:val="0"/>
          <w:numId w:val="19"/>
        </w:numPr>
      </w:pPr>
      <w:r>
        <w:t>Only after the orientation report reconciles current GitHub and production state should the new project accept implementation work.</w:t>
      </w:r>
    </w:p>
    <w:p>
      <w:pPr>
        <w:spacing w:before="100" w:after="160"/>
        <w:ind w:left="115" w:right="58"/>
        <w:shd w:fill="F4F6F9"/>
        <w:pBdr>
          <w:left w:val="single" w:sz="18" w:space="6" w:color="2E74B5"/>
        </w:pBdr>
      </w:pPr>
      <w:r>
        <w:rPr>
          <w:rFonts w:ascii="Calibri" w:hAnsi="Calibri"/>
          <w:b/>
          <w:color w:val="2E74B5"/>
          <w:sz w:val="21"/>
        </w:rPr>
        <w:t xml:space="preserve">Starter-prompt outcome: </w:t>
      </w:r>
      <w:r>
        <w:rPr>
          <w:rFonts w:ascii="Calibri" w:hAnsi="Calibri"/>
          <w:sz w:val="21"/>
        </w:rPr>
        <w:t>The receiving project should rebuild understanding from the package and live read-only evidence, identify drift and missing authority, and stop before any production-impacting action until explicitly authorized.</w:t>
      </w:r>
    </w:p>
    <w:p>
      <w:pPr>
        <w:pStyle w:val="Heading1"/>
      </w:pPr>
      <w:r>
        <w:t>17. Takeover sequence</w:t>
      </w:r>
    </w:p>
    <w:tbl>
      <w:tblPr>
        <w:tblStyle w:val="TableGrid"/>
        <w:tblW w:type="dxa" w:w="9360"/>
        <w:tblLayout w:type="fixed"/>
        <w:tblLook w:firstColumn="1" w:firstRow="1" w:lastColumn="0" w:lastRow="0" w:noHBand="0" w:noVBand="1" w:val="04A0"/>
        <w:tblInd w:w="120" w:type="dxa"/>
      </w:tblPr>
      <w:tblGrid>
        <w:gridCol w:w="900"/>
        <w:gridCol w:w="2600"/>
        <w:gridCol w:w="5860"/>
      </w:tblGrid>
      <w:tr>
        <w:trPr>
          <w:tblHeader w:val="true"/>
          <w:cantSplit/>
        </w:trPr>
        <w:tc>
          <w:tcPr>
            <w:tcW w:type="dxa" w:w="900"/>
            <w:shd w:fill="E8EEF5"/>
            <w:tcMar>
              <w:top w:w="80" w:type="dxa"/>
              <w:start w:w="120" w:type="dxa"/>
              <w:bottom w:w="80" w:type="dxa"/>
              <w:end w:w="120" w:type="dxa"/>
            </w:tcMar>
            <w:vAlign w:val="center"/>
          </w:tcPr>
          <w:p>
            <w:pPr>
              <w:spacing w:before="0" w:after="0" w:line="252" w:lineRule="auto"/>
            </w:pPr>
            <w:r>
              <w:rPr>
                <w:rFonts w:ascii="Calibri" w:hAnsi="Calibri"/>
                <w:b/>
                <w:color w:val="0B2545"/>
                <w:sz w:val="17"/>
              </w:rPr>
              <w:t>Order</w:t>
            </w:r>
          </w:p>
        </w:tc>
        <w:tc>
          <w:tcPr>
            <w:tcW w:type="dxa" w:w="2600"/>
            <w:shd w:fill="E8EEF5"/>
            <w:tcMar>
              <w:top w:w="80" w:type="dxa"/>
              <w:start w:w="120" w:type="dxa"/>
              <w:bottom w:w="80" w:type="dxa"/>
              <w:end w:w="120" w:type="dxa"/>
            </w:tcMar>
            <w:vAlign w:val="center"/>
          </w:tcPr>
          <w:p>
            <w:pPr>
              <w:spacing w:before="0" w:after="0" w:line="252" w:lineRule="auto"/>
            </w:pPr>
            <w:r>
              <w:rPr>
                <w:rFonts w:ascii="Calibri" w:hAnsi="Calibri"/>
                <w:b/>
                <w:color w:val="0B2545"/>
                <w:sz w:val="17"/>
              </w:rPr>
              <w:t>Owner</w:t>
            </w:r>
          </w:p>
        </w:tc>
        <w:tc>
          <w:tcPr>
            <w:tcW w:type="dxa" w:w="5860"/>
            <w:shd w:fill="E8EEF5"/>
            <w:tcMar>
              <w:top w:w="80" w:type="dxa"/>
              <w:start w:w="120" w:type="dxa"/>
              <w:bottom w:w="80" w:type="dxa"/>
              <w:end w:w="120" w:type="dxa"/>
            </w:tcMar>
            <w:vAlign w:val="center"/>
          </w:tcPr>
          <w:p>
            <w:pPr>
              <w:spacing w:before="0" w:after="0" w:line="252" w:lineRule="auto"/>
            </w:pPr>
            <w:r>
              <w:rPr>
                <w:rFonts w:ascii="Calibri" w:hAnsi="Calibri"/>
                <w:b/>
                <w:color w:val="0B2545"/>
                <w:sz w:val="17"/>
              </w:rPr>
              <w:t>Outcome</w:t>
            </w:r>
          </w:p>
        </w:tc>
      </w:tr>
      <w:tr>
        <w:trPr>
          <w:cantSplit/>
        </w:trPr>
        <w:tc>
          <w:tcPr>
            <w:tcW w:type="dxa" w:w="900"/>
            <w:tcMar>
              <w:top w:w="80" w:type="dxa"/>
              <w:start w:w="120" w:type="dxa"/>
              <w:bottom w:w="80" w:type="dxa"/>
              <w:end w:w="120" w:type="dxa"/>
            </w:tcMar>
            <w:vAlign w:val="center"/>
          </w:tcPr>
          <w:p>
            <w:pPr>
              <w:spacing w:before="0" w:after="0" w:line="259" w:lineRule="auto"/>
            </w:pPr>
            <w:r>
              <w:rPr>
                <w:rFonts w:ascii="Calibri" w:hAnsi="Calibri"/>
                <w:sz w:val="17"/>
              </w:rPr>
              <w:t>1</w:t>
            </w:r>
          </w:p>
        </w:tc>
        <w:tc>
          <w:tcPr>
            <w:tcW w:type="dxa" w:w="2600"/>
            <w:tcMar>
              <w:top w:w="80" w:type="dxa"/>
              <w:start w:w="120" w:type="dxa"/>
              <w:bottom w:w="80" w:type="dxa"/>
              <w:end w:w="120" w:type="dxa"/>
            </w:tcMar>
            <w:vAlign w:val="center"/>
          </w:tcPr>
          <w:p>
            <w:pPr>
              <w:spacing w:before="0" w:after="0" w:line="259" w:lineRule="auto"/>
            </w:pPr>
            <w:r>
              <w:rPr>
                <w:rFonts w:ascii="Calibri" w:hAnsi="Calibri"/>
                <w:sz w:val="17"/>
              </w:rPr>
              <w:t>Incoming engineering manager</w:t>
            </w:r>
          </w:p>
        </w:tc>
        <w:tc>
          <w:tcPr>
            <w:tcW w:type="dxa" w:w="5860"/>
            <w:tcMar>
              <w:top w:w="80" w:type="dxa"/>
              <w:start w:w="120" w:type="dxa"/>
              <w:bottom w:w="80" w:type="dxa"/>
              <w:end w:w="120" w:type="dxa"/>
            </w:tcMar>
            <w:vAlign w:val="center"/>
          </w:tcPr>
          <w:p>
            <w:pPr>
              <w:spacing w:before="0" w:after="0" w:line="259" w:lineRule="auto"/>
            </w:pPr>
            <w:r>
              <w:rPr>
                <w:rFonts w:ascii="Calibri" w:hAnsi="Calibri"/>
                <w:sz w:val="17"/>
              </w:rPr>
              <w:t>Accept package integrity; reconcile current local/GitHub source and documentation status.</w:t>
            </w:r>
          </w:p>
        </w:tc>
      </w:tr>
      <w:tr>
        <w:trPr>
          <w:cantSplit/>
        </w:trPr>
        <w:tc>
          <w:tcPr>
            <w:tcW w:type="dxa" w:w="900"/>
            <w:tcMar>
              <w:top w:w="80" w:type="dxa"/>
              <w:start w:w="120" w:type="dxa"/>
              <w:bottom w:w="80" w:type="dxa"/>
              <w:end w:w="120" w:type="dxa"/>
            </w:tcMar>
            <w:vAlign w:val="center"/>
          </w:tcPr>
          <w:p>
            <w:pPr>
              <w:spacing w:before="0" w:after="0" w:line="259" w:lineRule="auto"/>
            </w:pPr>
            <w:r>
              <w:rPr>
                <w:rFonts w:ascii="Calibri" w:hAnsi="Calibri"/>
                <w:sz w:val="17"/>
              </w:rPr>
              <w:t>2</w:t>
            </w:r>
          </w:p>
        </w:tc>
        <w:tc>
          <w:tcPr>
            <w:tcW w:type="dxa" w:w="2600"/>
            <w:tcMar>
              <w:top w:w="80" w:type="dxa"/>
              <w:start w:w="120" w:type="dxa"/>
              <w:bottom w:w="80" w:type="dxa"/>
              <w:end w:w="120" w:type="dxa"/>
            </w:tcMar>
            <w:vAlign w:val="center"/>
          </w:tcPr>
          <w:p>
            <w:pPr>
              <w:spacing w:before="0" w:after="0" w:line="259" w:lineRule="auto"/>
            </w:pPr>
            <w:r>
              <w:rPr>
                <w:rFonts w:ascii="Calibri" w:hAnsi="Calibri"/>
                <w:sz w:val="17"/>
              </w:rPr>
              <w:t>Incoming system administrator</w:t>
            </w:r>
          </w:p>
        </w:tc>
        <w:tc>
          <w:tcPr>
            <w:tcW w:type="dxa" w:w="5860"/>
            <w:tcMar>
              <w:top w:w="80" w:type="dxa"/>
              <w:start w:w="120" w:type="dxa"/>
              <w:bottom w:w="80" w:type="dxa"/>
              <w:end w:w="120" w:type="dxa"/>
            </w:tcMar>
            <w:vAlign w:val="center"/>
          </w:tcPr>
          <w:p>
            <w:pPr>
              <w:spacing w:before="0" w:after="0" w:line="259" w:lineRule="auto"/>
            </w:pPr>
            <w:r>
              <w:rPr>
                <w:rFonts w:ascii="Calibri" w:hAnsi="Calibri"/>
                <w:sz w:val="17"/>
              </w:rPr>
              <w:t>Complete GitHub, AWS, Linux, database, DNS/TLS, OAuth, secret, monitoring, and recovery inventory.</w:t>
            </w:r>
          </w:p>
        </w:tc>
      </w:tr>
      <w:tr>
        <w:trPr>
          <w:cantSplit/>
        </w:trPr>
        <w:tc>
          <w:tcPr>
            <w:tcW w:type="dxa" w:w="900"/>
            <w:tcMar>
              <w:top w:w="80" w:type="dxa"/>
              <w:start w:w="120" w:type="dxa"/>
              <w:bottom w:w="80" w:type="dxa"/>
              <w:end w:w="120" w:type="dxa"/>
            </w:tcMar>
            <w:vAlign w:val="center"/>
          </w:tcPr>
          <w:p>
            <w:pPr>
              <w:spacing w:before="0" w:after="0" w:line="259" w:lineRule="auto"/>
            </w:pPr>
            <w:r>
              <w:rPr>
                <w:rFonts w:ascii="Calibri" w:hAnsi="Calibri"/>
                <w:sz w:val="17"/>
              </w:rPr>
              <w:t>3</w:t>
            </w:r>
          </w:p>
        </w:tc>
        <w:tc>
          <w:tcPr>
            <w:tcW w:type="dxa" w:w="2600"/>
            <w:tcMar>
              <w:top w:w="80" w:type="dxa"/>
              <w:start w:w="120" w:type="dxa"/>
              <w:bottom w:w="80" w:type="dxa"/>
              <w:end w:w="120" w:type="dxa"/>
            </w:tcMar>
            <w:vAlign w:val="center"/>
          </w:tcPr>
          <w:p>
            <w:pPr>
              <w:spacing w:before="0" w:after="0" w:line="259" w:lineRule="auto"/>
            </w:pPr>
            <w:r>
              <w:rPr>
                <w:rFonts w:ascii="Calibri" w:hAnsi="Calibri"/>
                <w:sz w:val="17"/>
              </w:rPr>
              <w:t>Engineering manager</w:t>
            </w:r>
          </w:p>
        </w:tc>
        <w:tc>
          <w:tcPr>
            <w:tcW w:type="dxa" w:w="5860"/>
            <w:tcMar>
              <w:top w:w="80" w:type="dxa"/>
              <w:start w:w="120" w:type="dxa"/>
              <w:bottom w:w="80" w:type="dxa"/>
              <w:end w:w="120" w:type="dxa"/>
            </w:tcMar>
            <w:vAlign w:val="center"/>
          </w:tcPr>
          <w:p>
            <w:pPr>
              <w:spacing w:before="0" w:after="0" w:line="259" w:lineRule="auto"/>
            </w:pPr>
            <w:r>
              <w:rPr>
                <w:rFonts w:ascii="Calibri" w:hAnsi="Calibri"/>
                <w:sz w:val="17"/>
              </w:rPr>
              <w:t>Run fresh local setup and baseline validations; document warnings or drift.</w:t>
            </w:r>
          </w:p>
        </w:tc>
      </w:tr>
      <w:tr>
        <w:trPr>
          <w:cantSplit/>
        </w:trPr>
        <w:tc>
          <w:tcPr>
            <w:tcW w:type="dxa" w:w="900"/>
            <w:tcMar>
              <w:top w:w="80" w:type="dxa"/>
              <w:start w:w="120" w:type="dxa"/>
              <w:bottom w:w="80" w:type="dxa"/>
              <w:end w:w="120" w:type="dxa"/>
            </w:tcMar>
            <w:vAlign w:val="center"/>
          </w:tcPr>
          <w:p>
            <w:pPr>
              <w:spacing w:before="0" w:after="0" w:line="259" w:lineRule="auto"/>
            </w:pPr>
            <w:r>
              <w:rPr>
                <w:rFonts w:ascii="Calibri" w:hAnsi="Calibri"/>
                <w:sz w:val="17"/>
              </w:rPr>
              <w:t>4</w:t>
            </w:r>
          </w:p>
        </w:tc>
        <w:tc>
          <w:tcPr>
            <w:tcW w:type="dxa" w:w="2600"/>
            <w:tcMar>
              <w:top w:w="80" w:type="dxa"/>
              <w:start w:w="120" w:type="dxa"/>
              <w:bottom w:w="80" w:type="dxa"/>
              <w:end w:w="120" w:type="dxa"/>
            </w:tcMar>
            <w:vAlign w:val="center"/>
          </w:tcPr>
          <w:p>
            <w:pPr>
              <w:spacing w:before="0" w:after="0" w:line="259" w:lineRule="auto"/>
            </w:pPr>
            <w:r>
              <w:rPr>
                <w:rFonts w:ascii="Calibri" w:hAnsi="Calibri"/>
                <w:sz w:val="17"/>
              </w:rPr>
              <w:t>System administrator</w:t>
            </w:r>
          </w:p>
        </w:tc>
        <w:tc>
          <w:tcPr>
            <w:tcW w:type="dxa" w:w="5860"/>
            <w:tcMar>
              <w:top w:w="80" w:type="dxa"/>
              <w:start w:w="120" w:type="dxa"/>
              <w:bottom w:w="80" w:type="dxa"/>
              <w:end w:w="120" w:type="dxa"/>
            </w:tcMar>
            <w:vAlign w:val="center"/>
          </w:tcPr>
          <w:p>
            <w:pPr>
              <w:spacing w:before="0" w:after="0" w:line="259" w:lineRule="auto"/>
            </w:pPr>
            <w:r>
              <w:rPr>
                <w:rFonts w:ascii="Calibri" w:hAnsi="Calibri"/>
                <w:sz w:val="17"/>
              </w:rPr>
              <w:t>Perform read-only production health, service, log, database-connectivity, capacity, patch, and backup checks.</w:t>
            </w:r>
          </w:p>
        </w:tc>
      </w:tr>
      <w:tr>
        <w:trPr>
          <w:cantSplit/>
        </w:trPr>
        <w:tc>
          <w:tcPr>
            <w:tcW w:type="dxa" w:w="900"/>
            <w:tcMar>
              <w:top w:w="80" w:type="dxa"/>
              <w:start w:w="120" w:type="dxa"/>
              <w:bottom w:w="80" w:type="dxa"/>
              <w:end w:w="120" w:type="dxa"/>
            </w:tcMar>
            <w:vAlign w:val="center"/>
          </w:tcPr>
          <w:p>
            <w:pPr>
              <w:spacing w:before="0" w:after="0" w:line="259" w:lineRule="auto"/>
            </w:pPr>
            <w:r>
              <w:rPr>
                <w:rFonts w:ascii="Calibri" w:hAnsi="Calibri"/>
                <w:sz w:val="17"/>
              </w:rPr>
              <w:t>5</w:t>
            </w:r>
          </w:p>
        </w:tc>
        <w:tc>
          <w:tcPr>
            <w:tcW w:type="dxa" w:w="2600"/>
            <w:tcMar>
              <w:top w:w="80" w:type="dxa"/>
              <w:start w:w="120" w:type="dxa"/>
              <w:bottom w:w="80" w:type="dxa"/>
              <w:end w:w="120" w:type="dxa"/>
            </w:tcMar>
            <w:vAlign w:val="center"/>
          </w:tcPr>
          <w:p>
            <w:pPr>
              <w:spacing w:before="0" w:after="0" w:line="259" w:lineRule="auto"/>
            </w:pPr>
            <w:r>
              <w:rPr>
                <w:rFonts w:ascii="Calibri" w:hAnsi="Calibri"/>
                <w:sz w:val="17"/>
              </w:rPr>
              <w:t>Product owner + engineering manager</w:t>
            </w:r>
          </w:p>
        </w:tc>
        <w:tc>
          <w:tcPr>
            <w:tcW w:type="dxa" w:w="5860"/>
            <w:tcMar>
              <w:top w:w="80" w:type="dxa"/>
              <w:start w:w="120" w:type="dxa"/>
              <w:bottom w:w="80" w:type="dxa"/>
              <w:end w:w="120" w:type="dxa"/>
            </w:tcMar>
            <w:vAlign w:val="center"/>
          </w:tcPr>
          <w:p>
            <w:pPr>
              <w:spacing w:before="0" w:after="0" w:line="259" w:lineRule="auto"/>
            </w:pPr>
            <w:r>
              <w:rPr>
                <w:rFonts w:ascii="Calibri" w:hAnsi="Calibri"/>
                <w:sz w:val="17"/>
              </w:rPr>
              <w:t>Confirm current user flows, backlog, known defects, availability expectations, and release authority.</w:t>
            </w:r>
          </w:p>
        </w:tc>
      </w:tr>
      <w:tr>
        <w:trPr>
          <w:cantSplit/>
        </w:trPr>
        <w:tc>
          <w:tcPr>
            <w:tcW w:type="dxa" w:w="900"/>
            <w:tcMar>
              <w:top w:w="80" w:type="dxa"/>
              <w:start w:w="120" w:type="dxa"/>
              <w:bottom w:w="80" w:type="dxa"/>
              <w:end w:w="120" w:type="dxa"/>
            </w:tcMar>
            <w:vAlign w:val="center"/>
          </w:tcPr>
          <w:p>
            <w:pPr>
              <w:spacing w:before="0" w:after="0" w:line="259" w:lineRule="auto"/>
            </w:pPr>
            <w:r>
              <w:rPr>
                <w:rFonts w:ascii="Calibri" w:hAnsi="Calibri"/>
                <w:sz w:val="17"/>
              </w:rPr>
              <w:t>6</w:t>
            </w:r>
          </w:p>
        </w:tc>
        <w:tc>
          <w:tcPr>
            <w:tcW w:type="dxa" w:w="2600"/>
            <w:tcMar>
              <w:top w:w="80" w:type="dxa"/>
              <w:start w:w="120" w:type="dxa"/>
              <w:bottom w:w="80" w:type="dxa"/>
              <w:end w:w="120" w:type="dxa"/>
            </w:tcMar>
            <w:vAlign w:val="center"/>
          </w:tcPr>
          <w:p>
            <w:pPr>
              <w:spacing w:before="0" w:after="0" w:line="259" w:lineRule="auto"/>
            </w:pPr>
            <w:r>
              <w:rPr>
                <w:rFonts w:ascii="Calibri" w:hAnsi="Calibri"/>
                <w:sz w:val="17"/>
              </w:rPr>
              <w:t>Named release owner</w:t>
            </w:r>
          </w:p>
        </w:tc>
        <w:tc>
          <w:tcPr>
            <w:tcW w:type="dxa" w:w="5860"/>
            <w:tcMar>
              <w:top w:w="80" w:type="dxa"/>
              <w:start w:w="120" w:type="dxa"/>
              <w:bottom w:w="80" w:type="dxa"/>
              <w:end w:w="120" w:type="dxa"/>
            </w:tcMar>
            <w:vAlign w:val="center"/>
          </w:tcPr>
          <w:p>
            <w:pPr>
              <w:spacing w:before="0" w:after="0" w:line="259" w:lineRule="auto"/>
            </w:pPr>
            <w:r>
              <w:rPr>
                <w:rFonts w:ascii="Calibri" w:hAnsi="Calibri"/>
                <w:sz w:val="17"/>
              </w:rPr>
              <w:t>Propose the first approved change with acceptance criteria, tests, rollback, and deployment evidence.</w:t>
            </w:r>
          </w:p>
        </w:tc>
      </w:tr>
    </w:tbl>
    <w:p>
      <w:pPr>
        <w:spacing w:after="0"/>
      </w:pPr>
    </w:p>
    <w:p>
      <w:pPr>
        <w:pStyle w:val="Heading1"/>
      </w:pPr>
      <w:r>
        <w:t>18. Handoff acceptance criteria</w:t>
      </w:r>
    </w:p>
    <w:p>
      <w:pPr>
        <w:numPr>
          <w:ilvl w:val="0"/>
          <w:numId w:val="10"/>
        </w:numPr>
      </w:pPr>
      <w:r>
        <w:t>The receiving owner can access or restore the private repository and explain the difference between the committed baseline and package-only documentation.</w:t>
      </w:r>
    </w:p>
    <w:p>
      <w:pPr>
        <w:numPr>
          <w:ilvl w:val="0"/>
          <w:numId w:val="10"/>
        </w:numPr>
      </w:pPr>
      <w:r>
        <w:t>A fresh local environment passes missing-migration checks, Django checks, deployment-script syntax, and 102 baseline tests.</w:t>
      </w:r>
    </w:p>
    <w:p>
      <w:pPr>
        <w:numPr>
          <w:ilvl w:val="0"/>
          <w:numId w:val="10"/>
        </w:numPr>
      </w:pPr>
      <w:r>
        <w:t>The receiving team can identify the active GitHub workflow, its trigger, required secret names, server paths, service, socket, and public health route.</w:t>
      </w:r>
    </w:p>
    <w:p>
      <w:pPr>
        <w:numPr>
          <w:ilvl w:val="0"/>
          <w:numId w:val="10"/>
        </w:numPr>
      </w:pPr>
      <w:r>
        <w:t>The receiving team has separately documented secret custody, AWS account and resource ownership, database backup/restore, DNS/TLS, OAuth, monitoring, incident contacts, and release approval.</w:t>
      </w:r>
    </w:p>
    <w:p>
      <w:pPr>
        <w:numPr>
          <w:ilvl w:val="0"/>
          <w:numId w:val="10"/>
        </w:numPr>
      </w:pPr>
      <w:r>
        <w:t>No secret or production data has been introduced into Git, Codex prompts, Word documents, or the handoff ZIP.</w:t>
      </w:r>
    </w:p>
    <w:p>
      <w:pPr>
        <w:numPr>
          <w:ilvl w:val="0"/>
          <w:numId w:val="10"/>
        </w:numPr>
      </w:pPr>
      <w:r>
        <w:t>Any drift, risk, access gap, or follow-up has one owner and a specific due date.</w:t>
      </w:r>
    </w:p>
    <w:p>
      <w:pPr>
        <w:pStyle w:val="Heading1"/>
      </w:pPr>
      <w:r>
        <w:t>Appendix A. Package contents and exclusions</w:t>
      </w:r>
    </w:p>
    <w:p>
      <w:pPr>
        <w:pStyle w:val="Heading2"/>
      </w:pPr>
      <w:r>
        <w:t>Included</w:t>
      </w:r>
    </w:p>
    <w:p>
      <w:pPr>
        <w:numPr>
          <w:ilvl w:val="0"/>
          <w:numId w:val="10"/>
        </w:numPr>
      </w:pPr>
      <w:r>
        <w:t>Production-aligned origin/main source snapshot: application code, migrations, tests, templates, static source, target-firm data, dependency locks, Docker/Compose files, deployment scripts, examples, and GitHub workflows.</w:t>
      </w:r>
    </w:p>
    <w:p>
      <w:pPr>
        <w:numPr>
          <w:ilvl w:val="0"/>
          <w:numId w:val="10"/>
        </w:numPr>
      </w:pPr>
      <w:r>
        <w:t>Four Word documents: User Manual, Product Overview, Technical Operations Guide, and this Project Handoff.</w:t>
      </w:r>
    </w:p>
    <w:p>
      <w:pPr>
        <w:numPr>
          <w:ilvl w:val="0"/>
          <w:numId w:val="10"/>
        </w:numPr>
      </w:pPr>
      <w:r>
        <w:t>Starter prompt, setup checklist, package README, Git repository bundle, dated evidence, checksums, and manifest.</w:t>
      </w:r>
    </w:p>
    <w:p>
      <w:pPr>
        <w:pStyle w:val="Heading2"/>
      </w:pPr>
      <w:r>
        <w:t>Excluded</w:t>
      </w:r>
    </w:p>
    <w:p>
      <w:pPr>
        <w:numPr>
          <w:ilvl w:val="0"/>
          <w:numId w:val="10"/>
        </w:numPr>
      </w:pPr>
      <w:r>
        <w:t>Working .git metadata and credentials; a portable Git bundle is supplied instead.</w:t>
      </w:r>
    </w:p>
    <w:p>
      <w:pPr>
        <w:numPr>
          <w:ilvl w:val="0"/>
          <w:numId w:val="10"/>
        </w:numPr>
      </w:pPr>
      <w:r>
        <w:t>All .env values, private keys, API tokens, cookies, OAuth secrets, database credentials, and GitHub credentials.</w:t>
      </w:r>
    </w:p>
    <w:p>
      <w:pPr>
        <w:numPr>
          <w:ilvl w:val="0"/>
          <w:numId w:val="10"/>
        </w:numPr>
      </w:pPr>
      <w:r>
        <w:t>Databases/dumps, production media, generated staticfiles, virtual environments, caches, logs, temporary files, and machine-specific metadata.</w:t>
      </w:r>
    </w:p>
    <w:p>
      <w:pPr>
        <w:numPr>
          <w:ilvl w:val="0"/>
          <w:numId w:val="10"/>
        </w:numPr>
      </w:pPr>
      <w:r>
        <w:t>AWS/server snapshots or account inventory not present in source and not verified through authorized administrative access.</w:t>
      </w:r>
    </w:p>
    <w:p>
      <w:pPr>
        <w:spacing w:before="100" w:after="160"/>
        <w:ind w:left="115" w:right="58"/>
        <w:shd w:fill="FFF7E6"/>
        <w:pBdr>
          <w:left w:val="single" w:sz="18" w:space="6" w:color="7A5A00"/>
        </w:pBdr>
      </w:pPr>
      <w:r>
        <w:rPr>
          <w:rFonts w:ascii="Calibri" w:hAnsi="Calibri"/>
          <w:b/>
          <w:color w:val="7A5A00"/>
          <w:sz w:val="21"/>
        </w:rPr>
        <w:t xml:space="preserve">Package rule: </w:t>
      </w:r>
      <w:r>
        <w:rPr>
          <w:rFonts w:ascii="Calibri" w:hAnsi="Calibri"/>
          <w:sz w:val="21"/>
        </w:rPr>
        <w:t>Recreate software environments from committed specifications. Transfer operational authority and secret values through controlled systems, not through the archive.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E6B78"/>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color w:val="5E6B78"/>
        <w:sz w:val="17"/>
      </w:rPr>
      <w:t>FlexGCC Outreach | Project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abstractNum w:abstractNumId="11">
    <w:multiLevelType w:val="singleLevel"/>
    <w:lvl w:ilvl="0">
      <w:start w:val="1"/>
      <w:numFmt w:val="decimal"/>
      <w:lvlText w:val="%1."/>
      <w:suff w:val="tab"/>
      <w:pPr>
        <w:tabs>
          <w:tab w:val="num" w:pos="540"/>
        </w:tabs>
        <w:ind w:left="540" w:hanging="270"/>
        <w:spacing w:after="80" w:line="300" w:lineRule="auto"/>
      </w:pPr>
    </w:lvl>
  </w:abstractNum>
  <w:num w:numId="12">
    <w:abstractNumId w:val="11"/>
  </w:num>
  <w:abstractNum w:abstractNumId="12">
    <w:multiLevelType w:val="singleLevel"/>
    <w:lvl w:ilvl="0">
      <w:start w:val="1"/>
      <w:numFmt w:val="decimal"/>
      <w:lvlText w:val="%1."/>
      <w:suff w:val="tab"/>
      <w:pPr>
        <w:tabs>
          <w:tab w:val="num" w:pos="540"/>
        </w:tabs>
        <w:ind w:left="540" w:hanging="270"/>
        <w:spacing w:after="80" w:line="300" w:lineRule="auto"/>
      </w:pPr>
    </w:lvl>
  </w:abstractNum>
  <w:num w:numId="13">
    <w:abstractNumId w:val="12"/>
  </w:num>
  <w:abstractNum w:abstractNumId="13">
    <w:multiLevelType w:val="singleLevel"/>
    <w:lvl w:ilvl="0">
      <w:start w:val="1"/>
      <w:numFmt w:val="decimal"/>
      <w:lvlText w:val="%1."/>
      <w:suff w:val="tab"/>
      <w:pPr>
        <w:tabs>
          <w:tab w:val="num" w:pos="540"/>
        </w:tabs>
        <w:ind w:left="540" w:hanging="270"/>
        <w:spacing w:after="80" w:line="300" w:lineRule="auto"/>
      </w:pPr>
    </w:lvl>
  </w:abstractNum>
  <w:num w:numId="14">
    <w:abstractNumId w:val="13"/>
  </w:num>
  <w:abstractNum w:abstractNumId="14">
    <w:multiLevelType w:val="singleLevel"/>
    <w:lvl w:ilvl="0">
      <w:start w:val="1"/>
      <w:numFmt w:val="decimal"/>
      <w:lvlText w:val="%1."/>
      <w:suff w:val="tab"/>
      <w:pPr>
        <w:tabs>
          <w:tab w:val="num" w:pos="540"/>
        </w:tabs>
        <w:ind w:left="540" w:hanging="270"/>
        <w:spacing w:after="80" w:line="300" w:lineRule="auto"/>
      </w:pPr>
    </w:lvl>
  </w:abstractNum>
  <w:num w:numId="15">
    <w:abstractNumId w:val="14"/>
  </w:num>
  <w:abstractNum w:abstractNumId="15">
    <w:multiLevelType w:val="singleLevel"/>
    <w:lvl w:ilvl="0">
      <w:start w:val="1"/>
      <w:numFmt w:val="decimal"/>
      <w:lvlText w:val="%1."/>
      <w:suff w:val="tab"/>
      <w:pPr>
        <w:tabs>
          <w:tab w:val="num" w:pos="540"/>
        </w:tabs>
        <w:ind w:left="540" w:hanging="270"/>
        <w:spacing w:after="80" w:line="300" w:lineRule="auto"/>
      </w:pPr>
    </w:lvl>
  </w:abstractNum>
  <w:num w:numId="16">
    <w:abstractNumId w:val="15"/>
  </w:num>
  <w:abstractNum w:abstractNumId="16">
    <w:multiLevelType w:val="singleLevel"/>
    <w:lvl w:ilvl="0">
      <w:start w:val="1"/>
      <w:numFmt w:val="decimal"/>
      <w:lvlText w:val="%1."/>
      <w:suff w:val="tab"/>
      <w:pPr>
        <w:tabs>
          <w:tab w:val="num" w:pos="540"/>
        </w:tabs>
        <w:ind w:left="540" w:hanging="270"/>
        <w:spacing w:after="80" w:line="300" w:lineRule="auto"/>
      </w:pPr>
    </w:lvl>
  </w:abstractNum>
  <w:num w:numId="17">
    <w:abstractNumId w:val="16"/>
  </w:num>
  <w:abstractNum w:abstractNumId="17">
    <w:multiLevelType w:val="singleLevel"/>
    <w:lvl w:ilvl="0">
      <w:start w:val="1"/>
      <w:numFmt w:val="decimal"/>
      <w:lvlText w:val="%1."/>
      <w:suff w:val="tab"/>
      <w:pPr>
        <w:tabs>
          <w:tab w:val="num" w:pos="540"/>
        </w:tabs>
        <w:ind w:left="540" w:hanging="270"/>
        <w:spacing w:after="80" w:line="300" w:lineRule="auto"/>
      </w:pPr>
    </w:lvl>
  </w:abstractNum>
  <w:num w:numId="18">
    <w:abstractNumId w:val="17"/>
  </w:num>
  <w:abstractNum w:abstractNumId="18">
    <w:multiLevelType w:val="singleLevel"/>
    <w:lvl w:ilvl="0">
      <w:start w:val="1"/>
      <w:numFmt w:val="decimal"/>
      <w:lvlText w:val="%1."/>
      <w:suff w:val="tab"/>
      <w:pPr>
        <w:tabs>
          <w:tab w:val="num" w:pos="540"/>
        </w:tabs>
        <w:ind w:left="540" w:hanging="270"/>
        <w:spacing w:after="80" w:line="300" w:lineRule="auto"/>
      </w:pPr>
    </w:lvl>
  </w:abstract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9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gopalakrishnanplus-creator/FlexGCC-Outreach" TargetMode="External"/><Relationship Id="rId12" Type="http://schemas.openxmlformats.org/officeDocument/2006/relationships/hyperlink" Target="https://leadgen.flexgc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FlexGCC Outreach Project Handoff</dc:title>
  <dc:subject>Setup and takeover guide for a new Codex project</dc:subject>
  <dc:creator>FlexGCC</dc:creator>
  <cp:keywords>FlexGCC, Outreach, Django, handoff, Codex, GitHub, AWS</cp:keywords>
  <dc:description>Contains no credentials or production data.</dc:description>
  <cp:lastModifiedBy/>
  <cp:revision>1</cp:revision>
  <dcterms:created xsi:type="dcterms:W3CDTF">2013-12-23T23:15:00Z</dcterms:created>
  <dcterms:modified xsi:type="dcterms:W3CDTF">2013-12-23T23:15:00Z</dcterms:modified>
  <cp:category/>
</cp:coreProperties>
</file>