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320"/>
        <w:jc w:val="center"/>
      </w:pPr>
      <w:r>
        <w:rPr>
          <w:rFonts w:ascii="Calibri" w:hAnsi="Calibri"/>
          <w:b/>
          <w:color w:val="2E74B5"/>
          <w:sz w:val="21"/>
        </w:rPr>
        <w:t>FLEXGCC OUTREACH</w:t>
      </w:r>
    </w:p>
    <w:p>
      <w:pPr>
        <w:pStyle w:val="Title"/>
        <w:jc w:val="center"/>
      </w:pPr>
      <w:r>
        <w:t>Technical Operations Guide</w:t>
      </w:r>
    </w:p>
    <w:p>
      <w:pPr>
        <w:pStyle w:val="Subtitle"/>
        <w:jc w:val="center"/>
      </w:pPr>
      <w:r>
        <w:t>Repository, CI/CD, production operations, change management, incident response, and engineering ownership</w:t>
      </w:r>
    </w:p>
    <w:p>
      <w:pPr>
        <w:spacing w:before="520" w:after="120"/>
        <w:jc w:val="center"/>
      </w:pPr>
      <w:r>
        <w:rPr>
          <w:rFonts w:ascii="Calibri" w:hAnsi="Calibri"/>
          <w:i/>
          <w:color w:val="5B6573"/>
          <w:sz w:val="22"/>
        </w:rPr>
        <w:t>Prepared for system administrators and the engineering manager</w:t>
      </w:r>
    </w:p>
    <w:p>
      <w:pPr>
        <w:spacing w:after="40"/>
        <w:jc w:val="center"/>
      </w:pPr>
      <w:r>
        <w:rPr>
          <w:rFonts w:ascii="Calibri" w:hAnsi="Calibri"/>
          <w:b/>
          <w:color w:val="0B2545"/>
          <w:sz w:val="20"/>
        </w:rPr>
        <w:t>Version 1.0  |  Baseline 2 September 2026</w:t>
      </w:r>
    </w:p>
    <w:p>
      <w:pPr>
        <w:spacing w:after="40"/>
        <w:jc w:val="center"/>
      </w:pPr>
      <w:r>
        <w:rPr>
          <w:rFonts w:ascii="Calibri" w:hAnsi="Calibri"/>
          <w:color w:val="5B6573"/>
          <w:sz w:val="19"/>
        </w:rPr>
        <w:t>Production baseline commit 2f634ab53dbb</w:t>
      </w:r>
    </w:p>
    <w:p>
      <w:pPr>
        <w:spacing w:before="760" w:after="60"/>
        <w:jc w:val="center"/>
      </w:pPr>
      <w:hyperlink r:id="rId11">
        <w:r>
          <w:rPr>
            <w:rFonts w:ascii="Calibri" w:hAnsi="Calibri"/>
            <w:color w:val="2E74B5"/>
            <w:u w:val="single"/>
            <w:b/>
          </w:rPr>
          <w:t>Open FlexGCC Outreach</w:t>
        </w:r>
      </w:hyperlink>
    </w:p>
    <w:p>
      <w:pPr>
        <w:jc w:val="center"/>
      </w:pPr>
      <w:hyperlink r:id="rId12">
        <w:r>
          <w:rPr>
            <w:rFonts w:ascii="Calibri" w:hAnsi="Calibri"/>
            <w:color w:val="2E74B5"/>
            <w:u w:val="single"/>
          </w:rPr>
          <w:t>Open the connected GitHub repository</w:t>
        </w:r>
      </w:hyperlink>
    </w:p>
    <w:p>
      <w:r>
        <w:br w:type="page"/>
      </w:r>
    </w:p>
    <w:p>
      <w:pPr>
        <w:pStyle w:val="Heading1"/>
      </w:pPr>
      <w:r>
        <w:t>Document control</w:t>
      </w:r>
    </w:p>
    <w:tbl>
      <w:tblPr>
        <w:tblStyle w:val="TableGrid"/>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700"/>
        <w:gridCol w:w="6660"/>
      </w:tblGrid>
      <w:tr>
        <w:trPr>
          <w:tblHeader w:val="true"/>
          <w:cantSplit/>
        </w:trPr>
        <w:tc>
          <w:tcPr>
            <w:tcW w:type="dxa" w:w="2700"/>
            <w:vAlign w:val="center"/>
            <w:shd w:fill="E8EEF5"/>
            <w:tcMar>
              <w:top w:w="80" w:type="dxa"/>
              <w:start w:w="120" w:type="dxa"/>
              <w:bottom w:w="80" w:type="dxa"/>
              <w:end w:w="120" w:type="dxa"/>
            </w:tcMar>
          </w:tcPr>
          <w:p>
            <w:pPr>
              <w:spacing w:before="0" w:after="0" w:line="264" w:lineRule="auto"/>
            </w:pPr>
            <w:r>
              <w:rPr>
                <w:rFonts w:ascii="Calibri" w:hAnsi="Calibri"/>
                <w:b/>
                <w:color w:val="0B2545"/>
                <w:sz w:val="19"/>
              </w:rPr>
              <w:t>Item</w:t>
            </w:r>
          </w:p>
        </w:tc>
        <w:tc>
          <w:tcPr>
            <w:tcW w:type="dxa" w:w="6660"/>
            <w:vAlign w:val="center"/>
            <w:shd w:fill="E8EEF5"/>
            <w:tcMar>
              <w:top w:w="80" w:type="dxa"/>
              <w:start w:w="120" w:type="dxa"/>
              <w:bottom w:w="80" w:type="dxa"/>
              <w:end w:w="120" w:type="dxa"/>
            </w:tcMar>
          </w:tcPr>
          <w:p>
            <w:pPr>
              <w:spacing w:before="0" w:after="0" w:line="264" w:lineRule="auto"/>
            </w:pPr>
            <w:r>
              <w:rPr>
                <w:rFonts w:ascii="Calibri" w:hAnsi="Calibri"/>
                <w:b/>
                <w:color w:val="0B2545"/>
                <w:sz w:val="19"/>
              </w:rPr>
              <w:t>Value</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9"/>
              </w:rPr>
              <w:t>Purpose</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9"/>
              </w:rPr>
              <w:t>Provide the operational and engineering runbook for the current FlexGCC Outreach baseline.</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9"/>
              </w:rPr>
              <w:t>Primary owner</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9"/>
              </w:rPr>
              <w:t>System administrator and engineering manager jointly</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9"/>
              </w:rPr>
              <w:t>Source baseline</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9"/>
              </w:rPr>
              <w:t>Production-aligned main at 2f634ab53dbb, reviewed 2 September 2026</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9"/>
              </w:rPr>
              <w:t>Review trigger</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9"/>
              </w:rPr>
              <w:t>Any change to repository governance, CI/CD, runtime architecture, environment variables, database, authentication, monitoring, release, rollback, or support ownership.</w:t>
            </w:r>
          </w:p>
        </w:tc>
      </w:tr>
    </w:tbl>
    <w:p>
      <w:pPr>
        <w:spacing w:before="0" w:after="20"/>
      </w:pPr>
    </w:p>
    <w:p>
      <w:pPr>
        <w:spacing w:before="120" w:after="160"/>
        <w:ind w:left="173" w:right="86"/>
        <w:shd w:fill="F4F6F9"/>
        <w:pBdr>
          <w:left w:val="single" w:sz="18" w:space="8" w:color="2E74B5"/>
        </w:pBdr>
      </w:pPr>
      <w:r>
        <w:rPr>
          <w:rFonts w:ascii="Calibri" w:hAnsi="Calibri"/>
          <w:b/>
          <w:color w:val="2E74B5"/>
        </w:rPr>
        <w:t xml:space="preserve">Scope: </w:t>
      </w:r>
      <w:r>
        <w:rPr>
          <w:rFonts w:ascii="Calibri" w:hAnsi="Calibri"/>
          <w:color w:val="111827"/>
        </w:rPr>
        <w:t>This document describes the product and checked-in operating model at the stated baseline. It contains no credentials. Production access, AWS resource identities, backup settings, and third-party account ownership must be verified during the formal handover.</w:t>
      </w:r>
    </w:p>
    <w:p>
      <w:pPr>
        <w:spacing w:before="120" w:after="160"/>
        <w:ind w:left="173" w:right="86"/>
        <w:shd w:fill="FFF8E8"/>
        <w:pBdr>
          <w:left w:val="single" w:sz="18" w:space="8" w:color="7A5A00"/>
        </w:pBdr>
      </w:pPr>
      <w:r>
        <w:rPr>
          <w:rFonts w:ascii="Calibri" w:hAnsi="Calibri"/>
          <w:b/>
          <w:color w:val="7A5A00"/>
        </w:rPr>
        <w:t xml:space="preserve">Production boundary: </w:t>
      </w:r>
      <w:r>
        <w:rPr>
          <w:rFonts w:ascii="Calibri" w:hAnsi="Calibri"/>
          <w:color w:val="111827"/>
        </w:rPr>
        <w:t>This guide documents the checked-in production path and verified repository baseline. It deliberately does not claim unverified AWS instance IDs, region, account ownership, network topology, database hosting, backup schedules, alarms, or secret values. The incoming system administrator must inventory and confirm those items during handover.</w:t>
      </w:r>
    </w:p>
    <w:p>
      <w:pPr>
        <w:pStyle w:val="Heading1"/>
      </w:pPr>
      <w:r>
        <w:t>1. System summary</w:t>
      </w:r>
    </w:p>
    <w:tbl>
      <w:tblPr>
        <w:tblStyle w:val="TableGrid"/>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700"/>
        <w:gridCol w:w="6660"/>
      </w:tblGrid>
      <w:tr>
        <w:trPr>
          <w:tblHeader w:val="true"/>
          <w:cantSplit/>
        </w:trPr>
        <w:tc>
          <w:tcPr>
            <w:tcW w:type="dxa" w:w="2700"/>
            <w:vAlign w:val="center"/>
            <w:shd w:fill="E8EEF5"/>
            <w:tcMar>
              <w:top w:w="80" w:type="dxa"/>
              <w:start w:w="120" w:type="dxa"/>
              <w:bottom w:w="80" w:type="dxa"/>
              <w:end w:w="120" w:type="dxa"/>
            </w:tcMar>
          </w:tcPr>
          <w:p>
            <w:pPr>
              <w:spacing w:before="0" w:after="0" w:line="264" w:lineRule="auto"/>
            </w:pPr>
            <w:r>
              <w:rPr>
                <w:rFonts w:ascii="Calibri" w:hAnsi="Calibri"/>
                <w:b/>
                <w:color w:val="0B2545"/>
                <w:sz w:val="17"/>
              </w:rPr>
              <w:t>Item</w:t>
            </w:r>
          </w:p>
        </w:tc>
        <w:tc>
          <w:tcPr>
            <w:tcW w:type="dxa" w:w="6660"/>
            <w:vAlign w:val="center"/>
            <w:shd w:fill="E8EEF5"/>
            <w:tcMar>
              <w:top w:w="80" w:type="dxa"/>
              <w:start w:w="120" w:type="dxa"/>
              <w:bottom w:w="80" w:type="dxa"/>
              <w:end w:w="120" w:type="dxa"/>
            </w:tcMar>
          </w:tcPr>
          <w:p>
            <w:pPr>
              <w:spacing w:before="0" w:after="0" w:line="264" w:lineRule="auto"/>
            </w:pPr>
            <w:r>
              <w:rPr>
                <w:rFonts w:ascii="Calibri" w:hAnsi="Calibri"/>
                <w:b/>
                <w:color w:val="0B2545"/>
                <w:sz w:val="17"/>
              </w:rPr>
              <w:t>Current baseline</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7"/>
              </w:rPr>
              <w:t>Application</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7"/>
              </w:rPr>
              <w:t>FlexGCC Outreach / LeadGen; Django server-rendered monolith</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7"/>
              </w:rPr>
              <w:t>Production URL</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7"/>
              </w:rPr>
              <w:t>https://leadgen.flexgcc.com</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7"/>
              </w:rPr>
              <w:t>Source repository</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7"/>
              </w:rPr>
              <w:t>https://github.com/gopalakrishnanplus-creator/FlexGCC-Outreach</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7"/>
              </w:rPr>
              <w:t>Baseline branch</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7"/>
              </w:rPr>
              <w:t>main</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7"/>
              </w:rPr>
              <w:t>Baseline commit</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7"/>
              </w:rPr>
              <w:t>2f634ab53dbbffcaf1364f33b7c88fe5a2319109</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7"/>
              </w:rPr>
              <w:t>Framework</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7"/>
              </w:rPr>
              <w:t>Django 5.2.16 with django-allauth Google OAuth</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7"/>
              </w:rPr>
              <w:t>Data store</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7"/>
              </w:rPr>
              <w:t>PostgreSQL in production; SQLite fallback only when DATABASE_URL is absent</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7"/>
              </w:rPr>
              <w:t>Application server</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7"/>
              </w:rPr>
              <w:t>Gunicorn managed by systemd</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7"/>
              </w:rPr>
              <w:t>Edge/static</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7"/>
              </w:rPr>
              <w:t>Nginx; WhiteNoise compressed manifest static storage when DEBUG is false</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7"/>
              </w:rPr>
              <w:t>Current deploy</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7"/>
              </w:rPr>
              <w:t>GitHub Actions SSH to the production EC2 host; native Python virtualenv</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7"/>
              </w:rPr>
              <w:t>Health endpoint</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7"/>
              </w:rPr>
              <w:t>/health/; returns HTTP 200 with {"status":"ok"} when database and required tables are available</w:t>
            </w:r>
          </w:p>
        </w:tc>
      </w:tr>
    </w:tbl>
    <w:p>
      <w:pPr>
        <w:spacing w:before="0" w:after="20"/>
      </w:pPr>
    </w:p>
    <w:p>
      <w:pPr>
        <w:pStyle w:val="Heading1"/>
      </w:pPr>
      <w:r>
        <w:t>2. Ownership model</w:t>
      </w:r>
    </w:p>
    <w:tbl>
      <w:tblPr>
        <w:tblStyle w:val="TableGrid"/>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200"/>
        <w:gridCol w:w="3600"/>
        <w:gridCol w:w="3560"/>
      </w:tblGrid>
      <w:tr>
        <w:trPr>
          <w:tblHeader w:val="true"/>
          <w:cantSplit/>
        </w:trPr>
        <w:tc>
          <w:tcPr>
            <w:tcW w:type="dxa" w:w="2200"/>
            <w:vAlign w:val="center"/>
            <w:shd w:fill="E8EEF5"/>
            <w:tcMar>
              <w:top w:w="80" w:type="dxa"/>
              <w:start w:w="120" w:type="dxa"/>
              <w:bottom w:w="80" w:type="dxa"/>
              <w:end w:w="120" w:type="dxa"/>
            </w:tcMar>
          </w:tcPr>
          <w:p>
            <w:pPr>
              <w:spacing w:before="0" w:after="0" w:line="264" w:lineRule="auto"/>
            </w:pPr>
            <w:r>
              <w:rPr>
                <w:rFonts w:ascii="Calibri" w:hAnsi="Calibri"/>
                <w:b/>
                <w:color w:val="0B2545"/>
                <w:sz w:val="16"/>
              </w:rPr>
              <w:t>Responsibility</w:t>
            </w:r>
          </w:p>
        </w:tc>
        <w:tc>
          <w:tcPr>
            <w:tcW w:type="dxa" w:w="3600"/>
            <w:vAlign w:val="center"/>
            <w:shd w:fill="E8EEF5"/>
            <w:tcMar>
              <w:top w:w="80" w:type="dxa"/>
              <w:start w:w="120" w:type="dxa"/>
              <w:bottom w:w="80" w:type="dxa"/>
              <w:end w:w="120" w:type="dxa"/>
            </w:tcMar>
          </w:tcPr>
          <w:p>
            <w:pPr>
              <w:spacing w:before="0" w:after="0" w:line="264" w:lineRule="auto"/>
            </w:pPr>
            <w:r>
              <w:rPr>
                <w:rFonts w:ascii="Calibri" w:hAnsi="Calibri"/>
                <w:b/>
                <w:color w:val="0B2545"/>
                <w:sz w:val="16"/>
              </w:rPr>
              <w:t>System administrator</w:t>
            </w:r>
          </w:p>
        </w:tc>
        <w:tc>
          <w:tcPr>
            <w:tcW w:type="dxa" w:w="3560"/>
            <w:vAlign w:val="center"/>
            <w:shd w:fill="E8EEF5"/>
            <w:tcMar>
              <w:top w:w="80" w:type="dxa"/>
              <w:start w:w="120" w:type="dxa"/>
              <w:bottom w:w="80" w:type="dxa"/>
              <w:end w:w="120" w:type="dxa"/>
            </w:tcMar>
          </w:tcPr>
          <w:p>
            <w:pPr>
              <w:spacing w:before="0" w:after="0" w:line="264" w:lineRule="auto"/>
            </w:pPr>
            <w:r>
              <w:rPr>
                <w:rFonts w:ascii="Calibri" w:hAnsi="Calibri"/>
                <w:b/>
                <w:color w:val="0B2545"/>
                <w:sz w:val="16"/>
              </w:rPr>
              <w:t>Engineering manager</w:t>
            </w:r>
          </w:p>
        </w:tc>
      </w:tr>
      <w:tr>
        <w:trPr>
          <w:cantSplit/>
        </w:trPr>
        <w:tc>
          <w:tcPr>
            <w:tcW w:type="dxa" w:w="2200"/>
            <w:vAlign w:val="center"/>
            <w:tcMar>
              <w:top w:w="80" w:type="dxa"/>
              <w:start w:w="120" w:type="dxa"/>
              <w:bottom w:w="80" w:type="dxa"/>
              <w:end w:w="120" w:type="dxa"/>
            </w:tcMar>
          </w:tcPr>
          <w:p>
            <w:pPr>
              <w:spacing w:before="0" w:after="0" w:line="264" w:lineRule="auto"/>
            </w:pPr>
            <w:r>
              <w:rPr>
                <w:rFonts w:ascii="Calibri" w:hAnsi="Calibri"/>
                <w:color w:val="111827"/>
                <w:sz w:val="16"/>
              </w:rPr>
              <w:t>GitHub access and settings</w:t>
            </w:r>
          </w:p>
        </w:tc>
        <w:tc>
          <w:tcPr>
            <w:tcW w:type="dxa" w:w="3600"/>
            <w:vAlign w:val="center"/>
            <w:tcMar>
              <w:top w:w="80" w:type="dxa"/>
              <w:start w:w="120" w:type="dxa"/>
              <w:bottom w:w="80" w:type="dxa"/>
              <w:end w:w="120" w:type="dxa"/>
            </w:tcMar>
          </w:tcPr>
          <w:p>
            <w:pPr>
              <w:spacing w:before="0" w:after="0" w:line="264" w:lineRule="auto"/>
            </w:pPr>
            <w:r>
              <w:rPr>
                <w:rFonts w:ascii="Calibri" w:hAnsi="Calibri"/>
                <w:color w:val="111827"/>
                <w:sz w:val="16"/>
              </w:rPr>
              <w:t>Administers organization/repository access, Actions secrets/variables, deploy credentials, and access removal.</w:t>
            </w:r>
          </w:p>
        </w:tc>
        <w:tc>
          <w:tcPr>
            <w:tcW w:type="dxa" w:w="3560"/>
            <w:vAlign w:val="center"/>
            <w:tcMar>
              <w:top w:w="80" w:type="dxa"/>
              <w:start w:w="120" w:type="dxa"/>
              <w:bottom w:w="80" w:type="dxa"/>
              <w:end w:w="120" w:type="dxa"/>
            </w:tcMar>
          </w:tcPr>
          <w:p>
            <w:pPr>
              <w:spacing w:before="0" w:after="0" w:line="264" w:lineRule="auto"/>
            </w:pPr>
            <w:r>
              <w:rPr>
                <w:rFonts w:ascii="Calibri" w:hAnsi="Calibri"/>
                <w:color w:val="111827"/>
                <w:sz w:val="16"/>
              </w:rPr>
              <w:t>Defines review and release expectations; confirms engineering access is least-privilege.</w:t>
            </w:r>
          </w:p>
        </w:tc>
      </w:tr>
      <w:tr>
        <w:trPr>
          <w:cantSplit/>
        </w:trPr>
        <w:tc>
          <w:tcPr>
            <w:tcW w:type="dxa" w:w="2200"/>
            <w:vAlign w:val="center"/>
            <w:tcMar>
              <w:top w:w="80" w:type="dxa"/>
              <w:start w:w="120" w:type="dxa"/>
              <w:bottom w:w="80" w:type="dxa"/>
              <w:end w:w="120" w:type="dxa"/>
            </w:tcMar>
          </w:tcPr>
          <w:p>
            <w:pPr>
              <w:spacing w:before="0" w:after="0" w:line="264" w:lineRule="auto"/>
            </w:pPr>
            <w:r>
              <w:rPr>
                <w:rFonts w:ascii="Calibri" w:hAnsi="Calibri"/>
                <w:color w:val="111827"/>
                <w:sz w:val="16"/>
              </w:rPr>
              <w:t>CI/CD operation</w:t>
            </w:r>
          </w:p>
        </w:tc>
        <w:tc>
          <w:tcPr>
            <w:tcW w:type="dxa" w:w="3600"/>
            <w:vAlign w:val="center"/>
            <w:tcMar>
              <w:top w:w="80" w:type="dxa"/>
              <w:start w:w="120" w:type="dxa"/>
              <w:bottom w:w="80" w:type="dxa"/>
              <w:end w:w="120" w:type="dxa"/>
            </w:tcMar>
          </w:tcPr>
          <w:p>
            <w:pPr>
              <w:spacing w:before="0" w:after="0" w:line="264" w:lineRule="auto"/>
            </w:pPr>
            <w:r>
              <w:rPr>
                <w:rFonts w:ascii="Calibri" w:hAnsi="Calibri"/>
                <w:color w:val="111827"/>
                <w:sz w:val="16"/>
              </w:rPr>
              <w:t>Maintains runner connectivity, secrets, production workflow, and deployment recovery.</w:t>
            </w:r>
          </w:p>
        </w:tc>
        <w:tc>
          <w:tcPr>
            <w:tcW w:type="dxa" w:w="3560"/>
            <w:vAlign w:val="center"/>
            <w:tcMar>
              <w:top w:w="80" w:type="dxa"/>
              <w:start w:w="120" w:type="dxa"/>
              <w:bottom w:w="80" w:type="dxa"/>
              <w:end w:w="120" w:type="dxa"/>
            </w:tcMar>
          </w:tcPr>
          <w:p>
            <w:pPr>
              <w:spacing w:before="0" w:after="0" w:line="264" w:lineRule="auto"/>
            </w:pPr>
            <w:r>
              <w:rPr>
                <w:rFonts w:ascii="Calibri" w:hAnsi="Calibri"/>
                <w:color w:val="111827"/>
                <w:sz w:val="16"/>
              </w:rPr>
              <w:t>Owns quality gates, change sequencing, release approval, and application rollback decision.</w:t>
            </w:r>
          </w:p>
        </w:tc>
      </w:tr>
      <w:tr>
        <w:trPr>
          <w:cantSplit/>
        </w:trPr>
        <w:tc>
          <w:tcPr>
            <w:tcW w:type="dxa" w:w="2200"/>
            <w:vAlign w:val="center"/>
            <w:tcMar>
              <w:top w:w="80" w:type="dxa"/>
              <w:start w:w="120" w:type="dxa"/>
              <w:bottom w:w="80" w:type="dxa"/>
              <w:end w:w="120" w:type="dxa"/>
            </w:tcMar>
          </w:tcPr>
          <w:p>
            <w:pPr>
              <w:spacing w:before="0" w:after="0" w:line="264" w:lineRule="auto"/>
            </w:pPr>
            <w:r>
              <w:rPr>
                <w:rFonts w:ascii="Calibri" w:hAnsi="Calibri"/>
                <w:color w:val="111827"/>
                <w:sz w:val="16"/>
              </w:rPr>
              <w:t>AWS and Linux</w:t>
            </w:r>
          </w:p>
        </w:tc>
        <w:tc>
          <w:tcPr>
            <w:tcW w:type="dxa" w:w="3600"/>
            <w:vAlign w:val="center"/>
            <w:tcMar>
              <w:top w:w="80" w:type="dxa"/>
              <w:start w:w="120" w:type="dxa"/>
              <w:bottom w:w="80" w:type="dxa"/>
              <w:end w:w="120" w:type="dxa"/>
            </w:tcMar>
          </w:tcPr>
          <w:p>
            <w:pPr>
              <w:spacing w:before="0" w:after="0" w:line="264" w:lineRule="auto"/>
            </w:pPr>
            <w:r>
              <w:rPr>
                <w:rFonts w:ascii="Calibri" w:hAnsi="Calibri"/>
                <w:color w:val="111827"/>
                <w:sz w:val="16"/>
              </w:rPr>
              <w:t>Owns account access, EC2, networking, OS, Nginx, systemd, certificates, DNS, logs, patching, backups, restore tests, and capacity.</w:t>
            </w:r>
          </w:p>
        </w:tc>
        <w:tc>
          <w:tcPr>
            <w:tcW w:type="dxa" w:w="3560"/>
            <w:vAlign w:val="center"/>
            <w:tcMar>
              <w:top w:w="80" w:type="dxa"/>
              <w:start w:w="120" w:type="dxa"/>
              <w:bottom w:w="80" w:type="dxa"/>
              <w:end w:w="120" w:type="dxa"/>
            </w:tcMar>
          </w:tcPr>
          <w:p>
            <w:pPr>
              <w:spacing w:before="0" w:after="0" w:line="264" w:lineRule="auto"/>
            </w:pPr>
            <w:r>
              <w:rPr>
                <w:rFonts w:ascii="Calibri" w:hAnsi="Calibri"/>
                <w:color w:val="111827"/>
                <w:sz w:val="16"/>
              </w:rPr>
              <w:t>Supplies application requirements and supports code-level diagnosis.</w:t>
            </w:r>
          </w:p>
        </w:tc>
      </w:tr>
      <w:tr>
        <w:trPr>
          <w:cantSplit/>
        </w:trPr>
        <w:tc>
          <w:tcPr>
            <w:tcW w:type="dxa" w:w="2200"/>
            <w:vAlign w:val="center"/>
            <w:tcMar>
              <w:top w:w="80" w:type="dxa"/>
              <w:start w:w="120" w:type="dxa"/>
              <w:bottom w:w="80" w:type="dxa"/>
              <w:end w:w="120" w:type="dxa"/>
            </w:tcMar>
          </w:tcPr>
          <w:p>
            <w:pPr>
              <w:spacing w:before="0" w:after="0" w:line="264" w:lineRule="auto"/>
            </w:pPr>
            <w:r>
              <w:rPr>
                <w:rFonts w:ascii="Calibri" w:hAnsi="Calibri"/>
                <w:color w:val="111827"/>
                <w:sz w:val="16"/>
              </w:rPr>
              <w:t>Application availability</w:t>
            </w:r>
          </w:p>
        </w:tc>
        <w:tc>
          <w:tcPr>
            <w:tcW w:type="dxa" w:w="3600"/>
            <w:vAlign w:val="center"/>
            <w:tcMar>
              <w:top w:w="80" w:type="dxa"/>
              <w:start w:w="120" w:type="dxa"/>
              <w:bottom w:w="80" w:type="dxa"/>
              <w:end w:w="120" w:type="dxa"/>
            </w:tcMar>
          </w:tcPr>
          <w:p>
            <w:pPr>
              <w:spacing w:before="0" w:after="0" w:line="264" w:lineRule="auto"/>
            </w:pPr>
            <w:r>
              <w:rPr>
                <w:rFonts w:ascii="Calibri" w:hAnsi="Calibri"/>
                <w:color w:val="111827"/>
                <w:sz w:val="16"/>
              </w:rPr>
              <w:t>Monitors infrastructure and restores service components.</w:t>
            </w:r>
          </w:p>
        </w:tc>
        <w:tc>
          <w:tcPr>
            <w:tcW w:type="dxa" w:w="3560"/>
            <w:vAlign w:val="center"/>
            <w:tcMar>
              <w:top w:w="80" w:type="dxa"/>
              <w:start w:w="120" w:type="dxa"/>
              <w:bottom w:w="80" w:type="dxa"/>
              <w:end w:w="120" w:type="dxa"/>
            </w:tcMar>
          </w:tcPr>
          <w:p>
            <w:pPr>
              <w:spacing w:before="0" w:after="0" w:line="264" w:lineRule="auto"/>
            </w:pPr>
            <w:r>
              <w:rPr>
                <w:rFonts w:ascii="Calibri" w:hAnsi="Calibri"/>
                <w:color w:val="111827"/>
                <w:sz w:val="16"/>
              </w:rPr>
              <w:t>Owns user impact, triage priority, application diagnosis, workaround, fix, and communication.</w:t>
            </w:r>
          </w:p>
        </w:tc>
      </w:tr>
      <w:tr>
        <w:trPr>
          <w:cantSplit/>
        </w:trPr>
        <w:tc>
          <w:tcPr>
            <w:tcW w:type="dxa" w:w="2200"/>
            <w:vAlign w:val="center"/>
            <w:tcMar>
              <w:top w:w="80" w:type="dxa"/>
              <w:start w:w="120" w:type="dxa"/>
              <w:bottom w:w="80" w:type="dxa"/>
              <w:end w:w="120" w:type="dxa"/>
            </w:tcMar>
          </w:tcPr>
          <w:p>
            <w:pPr>
              <w:spacing w:before="0" w:after="0" w:line="264" w:lineRule="auto"/>
            </w:pPr>
            <w:r>
              <w:rPr>
                <w:rFonts w:ascii="Calibri" w:hAnsi="Calibri"/>
                <w:color w:val="111827"/>
                <w:sz w:val="16"/>
              </w:rPr>
              <w:t>Product changes</w:t>
            </w:r>
          </w:p>
        </w:tc>
        <w:tc>
          <w:tcPr>
            <w:tcW w:type="dxa" w:w="3600"/>
            <w:vAlign w:val="center"/>
            <w:tcMar>
              <w:top w:w="80" w:type="dxa"/>
              <w:start w:w="120" w:type="dxa"/>
              <w:bottom w:w="80" w:type="dxa"/>
              <w:end w:w="120" w:type="dxa"/>
            </w:tcMar>
          </w:tcPr>
          <w:p>
            <w:pPr>
              <w:spacing w:before="0" w:after="0" w:line="264" w:lineRule="auto"/>
            </w:pPr>
            <w:r>
              <w:rPr>
                <w:rFonts w:ascii="Calibri" w:hAnsi="Calibri"/>
                <w:color w:val="111827"/>
                <w:sz w:val="16"/>
              </w:rPr>
              <w:t>Reviews operational impact and provides environments/access.</w:t>
            </w:r>
          </w:p>
        </w:tc>
        <w:tc>
          <w:tcPr>
            <w:tcW w:type="dxa" w:w="3560"/>
            <w:vAlign w:val="center"/>
            <w:tcMar>
              <w:top w:w="80" w:type="dxa"/>
              <w:start w:w="120" w:type="dxa"/>
              <w:bottom w:w="80" w:type="dxa"/>
              <w:end w:w="120" w:type="dxa"/>
            </w:tcMar>
          </w:tcPr>
          <w:p>
            <w:pPr>
              <w:spacing w:before="0" w:after="0" w:line="264" w:lineRule="auto"/>
            </w:pPr>
            <w:r>
              <w:rPr>
                <w:rFonts w:ascii="Calibri" w:hAnsi="Calibri"/>
                <w:color w:val="111827"/>
                <w:sz w:val="16"/>
              </w:rPr>
              <w:t>Owns requirements, architecture, implementation, review, testing, migration safety, release notes, and documentation.</w:t>
            </w:r>
          </w:p>
        </w:tc>
      </w:tr>
      <w:tr>
        <w:trPr>
          <w:cantSplit/>
        </w:trPr>
        <w:tc>
          <w:tcPr>
            <w:tcW w:type="dxa" w:w="2200"/>
            <w:vAlign w:val="center"/>
            <w:tcMar>
              <w:top w:w="80" w:type="dxa"/>
              <w:start w:w="120" w:type="dxa"/>
              <w:bottom w:w="80" w:type="dxa"/>
              <w:end w:w="120" w:type="dxa"/>
            </w:tcMar>
          </w:tcPr>
          <w:p>
            <w:pPr>
              <w:spacing w:before="0" w:after="0" w:line="264" w:lineRule="auto"/>
            </w:pPr>
            <w:r>
              <w:rPr>
                <w:rFonts w:ascii="Calibri" w:hAnsi="Calibri"/>
                <w:color w:val="111827"/>
                <w:sz w:val="16"/>
              </w:rPr>
              <w:t>User access</w:t>
            </w:r>
          </w:p>
        </w:tc>
        <w:tc>
          <w:tcPr>
            <w:tcW w:type="dxa" w:w="3600"/>
            <w:vAlign w:val="center"/>
            <w:tcMar>
              <w:top w:w="80" w:type="dxa"/>
              <w:start w:w="120" w:type="dxa"/>
              <w:bottom w:w="80" w:type="dxa"/>
              <w:end w:w="120" w:type="dxa"/>
            </w:tcMar>
          </w:tcPr>
          <w:p>
            <w:pPr>
              <w:spacing w:before="0" w:after="0" w:line="264" w:lineRule="auto"/>
            </w:pPr>
            <w:r>
              <w:rPr>
                <w:rFonts w:ascii="Calibri" w:hAnsi="Calibri"/>
                <w:color w:val="111827"/>
                <w:sz w:val="16"/>
              </w:rPr>
              <w:t>Maintains bootstrap and emergency recovery capability; supports OAuth configuration.</w:t>
            </w:r>
          </w:p>
        </w:tc>
        <w:tc>
          <w:tcPr>
            <w:tcW w:type="dxa" w:w="3560"/>
            <w:vAlign w:val="center"/>
            <w:tcMar>
              <w:top w:w="80" w:type="dxa"/>
              <w:start w:w="120" w:type="dxa"/>
              <w:bottom w:w="80" w:type="dxa"/>
              <w:end w:w="120" w:type="dxa"/>
            </w:tcMar>
          </w:tcPr>
          <w:p>
            <w:pPr>
              <w:spacing w:before="0" w:after="0" w:line="264" w:lineRule="auto"/>
            </w:pPr>
            <w:r>
              <w:rPr>
                <w:rFonts w:ascii="Calibri" w:hAnsi="Calibri"/>
                <w:color w:val="111827"/>
                <w:sz w:val="16"/>
              </w:rPr>
              <w:t>Defines approved roles and application access policy with business owner.</w:t>
            </w:r>
          </w:p>
        </w:tc>
      </w:tr>
      <w:tr>
        <w:trPr>
          <w:cantSplit/>
        </w:trPr>
        <w:tc>
          <w:tcPr>
            <w:tcW w:type="dxa" w:w="2200"/>
            <w:vAlign w:val="center"/>
            <w:tcMar>
              <w:top w:w="80" w:type="dxa"/>
              <w:start w:w="120" w:type="dxa"/>
              <w:bottom w:w="80" w:type="dxa"/>
              <w:end w:w="120" w:type="dxa"/>
            </w:tcMar>
          </w:tcPr>
          <w:p>
            <w:pPr>
              <w:spacing w:before="0" w:after="0" w:line="264" w:lineRule="auto"/>
            </w:pPr>
            <w:r>
              <w:rPr>
                <w:rFonts w:ascii="Calibri" w:hAnsi="Calibri"/>
                <w:color w:val="111827"/>
                <w:sz w:val="16"/>
              </w:rPr>
              <w:t>Data recovery</w:t>
            </w:r>
          </w:p>
        </w:tc>
        <w:tc>
          <w:tcPr>
            <w:tcW w:type="dxa" w:w="3600"/>
            <w:vAlign w:val="center"/>
            <w:tcMar>
              <w:top w:w="80" w:type="dxa"/>
              <w:start w:w="120" w:type="dxa"/>
              <w:bottom w:w="80" w:type="dxa"/>
              <w:end w:w="120" w:type="dxa"/>
            </w:tcMar>
          </w:tcPr>
          <w:p>
            <w:pPr>
              <w:spacing w:before="0" w:after="0" w:line="264" w:lineRule="auto"/>
            </w:pPr>
            <w:r>
              <w:rPr>
                <w:rFonts w:ascii="Calibri" w:hAnsi="Calibri"/>
                <w:color w:val="111827"/>
                <w:sz w:val="16"/>
              </w:rPr>
              <w:t>Owns backup policy, snapshots, retention, restore procedure, and restoration execution.</w:t>
            </w:r>
          </w:p>
        </w:tc>
        <w:tc>
          <w:tcPr>
            <w:tcW w:type="dxa" w:w="3560"/>
            <w:vAlign w:val="center"/>
            <w:tcMar>
              <w:top w:w="80" w:type="dxa"/>
              <w:start w:w="120" w:type="dxa"/>
              <w:bottom w:w="80" w:type="dxa"/>
              <w:end w:w="120" w:type="dxa"/>
            </w:tcMar>
          </w:tcPr>
          <w:p>
            <w:pPr>
              <w:spacing w:before="0" w:after="0" w:line="264" w:lineRule="auto"/>
            </w:pPr>
            <w:r>
              <w:rPr>
                <w:rFonts w:ascii="Calibri" w:hAnsi="Calibri"/>
                <w:color w:val="111827"/>
                <w:sz w:val="16"/>
              </w:rPr>
              <w:t>Determines application consistency checks and acceptable recovery point with business owner.</w:t>
            </w:r>
          </w:p>
        </w:tc>
      </w:tr>
      <w:tr>
        <w:trPr>
          <w:cantSplit/>
        </w:trPr>
        <w:tc>
          <w:tcPr>
            <w:tcW w:type="dxa" w:w="2200"/>
            <w:vAlign w:val="center"/>
            <w:tcMar>
              <w:top w:w="80" w:type="dxa"/>
              <w:start w:w="120" w:type="dxa"/>
              <w:bottom w:w="80" w:type="dxa"/>
              <w:end w:w="120" w:type="dxa"/>
            </w:tcMar>
          </w:tcPr>
          <w:p>
            <w:pPr>
              <w:spacing w:before="0" w:after="0" w:line="264" w:lineRule="auto"/>
            </w:pPr>
            <w:r>
              <w:rPr>
                <w:rFonts w:ascii="Calibri" w:hAnsi="Calibri"/>
                <w:color w:val="111827"/>
                <w:sz w:val="16"/>
              </w:rPr>
              <w:t>Incident command</w:t>
            </w:r>
          </w:p>
        </w:tc>
        <w:tc>
          <w:tcPr>
            <w:tcW w:type="dxa" w:w="3600"/>
            <w:vAlign w:val="center"/>
            <w:tcMar>
              <w:top w:w="80" w:type="dxa"/>
              <w:start w:w="120" w:type="dxa"/>
              <w:bottom w:w="80" w:type="dxa"/>
              <w:end w:w="120" w:type="dxa"/>
            </w:tcMar>
          </w:tcPr>
          <w:p>
            <w:pPr>
              <w:spacing w:before="0" w:after="0" w:line="264" w:lineRule="auto"/>
            </w:pPr>
            <w:r>
              <w:rPr>
                <w:rFonts w:ascii="Calibri" w:hAnsi="Calibri"/>
                <w:color w:val="111827"/>
                <w:sz w:val="16"/>
              </w:rPr>
              <w:t>Leads infrastructure incidents or acts as technical operations lead.</w:t>
            </w:r>
          </w:p>
        </w:tc>
        <w:tc>
          <w:tcPr>
            <w:tcW w:type="dxa" w:w="3560"/>
            <w:vAlign w:val="center"/>
            <w:tcMar>
              <w:top w:w="80" w:type="dxa"/>
              <w:start w:w="120" w:type="dxa"/>
              <w:bottom w:w="80" w:type="dxa"/>
              <w:end w:w="120" w:type="dxa"/>
            </w:tcMar>
          </w:tcPr>
          <w:p>
            <w:pPr>
              <w:spacing w:before="0" w:after="0" w:line="264" w:lineRule="auto"/>
            </w:pPr>
            <w:r>
              <w:rPr>
                <w:rFonts w:ascii="Calibri" w:hAnsi="Calibri"/>
                <w:color w:val="111827"/>
                <w:sz w:val="16"/>
              </w:rPr>
              <w:t>Leads application incidents and coordinates business impact and corrective release.</w:t>
            </w:r>
          </w:p>
        </w:tc>
      </w:tr>
    </w:tbl>
    <w:p>
      <w:pPr>
        <w:spacing w:before="0" w:after="20"/>
      </w:pPr>
    </w:p>
    <w:p>
      <w:pPr>
        <w:spacing w:before="120" w:after="160"/>
        <w:ind w:left="173" w:right="86"/>
        <w:shd w:fill="F4F6F9"/>
        <w:pBdr>
          <w:left w:val="single" w:sz="18" w:space="8" w:color="2E74B5"/>
        </w:pBdr>
      </w:pPr>
      <w:r>
        <w:rPr>
          <w:rFonts w:ascii="Calibri" w:hAnsi="Calibri"/>
          <w:b/>
          <w:color w:val="2E74B5"/>
        </w:rPr>
        <w:t xml:space="preserve">Single accountable owner: </w:t>
      </w:r>
      <w:r>
        <w:rPr>
          <w:rFonts w:ascii="Calibri" w:hAnsi="Calibri"/>
          <w:color w:val="111827"/>
        </w:rPr>
        <w:t>For every incident or release, name one incident/release owner even when both roles participate. Split responsibility by workstream, not by assumption.</w:t>
      </w:r>
    </w:p>
    <w:p>
      <w:pPr>
        <w:pStyle w:val="Heading1"/>
      </w:pPr>
      <w:r>
        <w:t>3. Architecture</w:t>
      </w:r>
    </w:p>
    <w:p>
      <w:pPr>
        <w:spacing w:before="80" w:after="160" w:line="252" w:lineRule="auto"/>
        <w:ind w:left="173" w:right="86"/>
        <w:shd w:fill="F7F8FA"/>
      </w:pPr>
      <w:r>
        <w:rPr>
          <w:rFonts w:ascii="Consolas" w:hAnsi="Consolas"/>
          <w:color w:val="273444"/>
          <w:sz w:val="17"/>
        </w:rPr>
        <w:t>User browser / API client</w:t>
      </w:r>
      <w:r>
        <w:br/>
      </w:r>
      <w:r>
        <w:rPr>
          <w:rFonts w:ascii="Consolas" w:hAnsi="Consolas"/>
          <w:color w:val="273444"/>
          <w:sz w:val="17"/>
        </w:rPr>
        <w:t xml:space="preserve">          │ HTTPS</w:t>
      </w:r>
      <w:r>
        <w:br/>
      </w:r>
      <w:r>
        <w:rPr>
          <w:rFonts w:ascii="Consolas" w:hAnsi="Consolas"/>
          <w:color w:val="273444"/>
          <w:sz w:val="17"/>
        </w:rPr>
        <w:t xml:space="preserve">          ▼</w:t>
      </w:r>
      <w:r>
        <w:br/>
      </w:r>
      <w:r>
        <w:rPr>
          <w:rFonts w:ascii="Consolas" w:hAnsi="Consolas"/>
          <w:color w:val="273444"/>
          <w:sz w:val="17"/>
        </w:rPr>
        <w:t>Nginx on production EC2</w:t>
      </w:r>
      <w:r>
        <w:br/>
      </w:r>
      <w:r>
        <w:rPr>
          <w:rFonts w:ascii="Consolas" w:hAnsi="Consolas"/>
          <w:color w:val="273444"/>
          <w:sz w:val="17"/>
        </w:rPr>
        <w:t xml:space="preserve">          │ Unix socket /run/leadgen/leadgen.sock</w:t>
      </w:r>
      <w:r>
        <w:br/>
      </w:r>
      <w:r>
        <w:rPr>
          <w:rFonts w:ascii="Consolas" w:hAnsi="Consolas"/>
          <w:color w:val="273444"/>
          <w:sz w:val="17"/>
        </w:rPr>
        <w:t xml:space="preserve">          ▼</w:t>
      </w:r>
      <w:r>
        <w:br/>
      </w:r>
      <w:r>
        <w:rPr>
          <w:rFonts w:ascii="Consolas" w:hAnsi="Consolas"/>
          <w:color w:val="273444"/>
          <w:sz w:val="17"/>
        </w:rPr>
        <w:t>Gunicorn systemd service: leadgen</w:t>
      </w:r>
      <w:r>
        <w:br/>
      </w:r>
      <w:r>
        <w:rPr>
          <w:rFonts w:ascii="Consolas" w:hAnsi="Consolas"/>
          <w:color w:val="273444"/>
          <w:sz w:val="17"/>
        </w:rPr>
        <w:t xml:space="preserve">          │ Django WSGI application</w:t>
      </w:r>
      <w:r>
        <w:br/>
      </w:r>
      <w:r>
        <w:rPr>
          <w:rFonts w:ascii="Consolas" w:hAnsi="Consolas"/>
          <w:color w:val="273444"/>
          <w:sz w:val="17"/>
        </w:rPr>
        <w:t xml:space="preserve">          ├── PostgreSQL via DATABASE_URL</w:t>
      </w:r>
      <w:r>
        <w:br/>
      </w:r>
      <w:r>
        <w:rPr>
          <w:rFonts w:ascii="Consolas" w:hAnsi="Consolas"/>
          <w:color w:val="273444"/>
          <w:sz w:val="17"/>
        </w:rPr>
        <w:t xml:space="preserve">          ├── Google OAuth via django-allauth</w:t>
      </w:r>
      <w:r>
        <w:br/>
      </w:r>
      <w:r>
        <w:rPr>
          <w:rFonts w:ascii="Consolas" w:hAnsi="Consolas"/>
          <w:color w:val="273444"/>
          <w:sz w:val="17"/>
        </w:rPr>
        <w:t xml:space="preserve">          └── Static assets via WhiteNoise / collected staticfiles</w:t>
      </w:r>
    </w:p>
    <w:p>
      <w:pPr>
        <w:pStyle w:val="Heading2"/>
      </w:pPr>
      <w:r>
        <w:t>Application structure</w:t>
      </w:r>
    </w:p>
    <w:tbl>
      <w:tblPr>
        <w:tblStyle w:val="TableGrid"/>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3300"/>
        <w:gridCol w:w="6060"/>
      </w:tblGrid>
      <w:tr>
        <w:trPr>
          <w:tblHeader w:val="true"/>
          <w:cantSplit/>
        </w:trPr>
        <w:tc>
          <w:tcPr>
            <w:tcW w:type="dxa" w:w="3300"/>
            <w:vAlign w:val="center"/>
            <w:shd w:fill="E8EEF5"/>
            <w:tcMar>
              <w:top w:w="80" w:type="dxa"/>
              <w:start w:w="120" w:type="dxa"/>
              <w:bottom w:w="80" w:type="dxa"/>
              <w:end w:w="120" w:type="dxa"/>
            </w:tcMar>
          </w:tcPr>
          <w:p>
            <w:pPr>
              <w:spacing w:before="0" w:after="0" w:line="264" w:lineRule="auto"/>
            </w:pPr>
            <w:r>
              <w:rPr>
                <w:rFonts w:ascii="Calibri" w:hAnsi="Calibri"/>
                <w:b/>
                <w:color w:val="0B2545"/>
                <w:sz w:val="17"/>
              </w:rPr>
              <w:t>Path</w:t>
            </w:r>
          </w:p>
        </w:tc>
        <w:tc>
          <w:tcPr>
            <w:tcW w:type="dxa" w:w="6060"/>
            <w:vAlign w:val="center"/>
            <w:shd w:fill="E8EEF5"/>
            <w:tcMar>
              <w:top w:w="80" w:type="dxa"/>
              <w:start w:w="120" w:type="dxa"/>
              <w:bottom w:w="80" w:type="dxa"/>
              <w:end w:w="120" w:type="dxa"/>
            </w:tcMar>
          </w:tcPr>
          <w:p>
            <w:pPr>
              <w:spacing w:before="0" w:after="0" w:line="264" w:lineRule="auto"/>
            </w:pPr>
            <w:r>
              <w:rPr>
                <w:rFonts w:ascii="Calibri" w:hAnsi="Calibri"/>
                <w:b/>
                <w:color w:val="0B2545"/>
                <w:sz w:val="17"/>
              </w:rPr>
              <w:t>Responsibility</w:t>
            </w:r>
          </w:p>
        </w:tc>
      </w:tr>
      <w:tr>
        <w:trPr>
          <w:cantSplit/>
        </w:trPr>
        <w:tc>
          <w:tcPr>
            <w:tcW w:type="dxa" w:w="3300"/>
            <w:vAlign w:val="center"/>
            <w:tcMar>
              <w:top w:w="80" w:type="dxa"/>
              <w:start w:w="120" w:type="dxa"/>
              <w:bottom w:w="80" w:type="dxa"/>
              <w:end w:w="120" w:type="dxa"/>
            </w:tcMar>
          </w:tcPr>
          <w:p>
            <w:pPr>
              <w:spacing w:before="0" w:after="0" w:line="264" w:lineRule="auto"/>
            </w:pPr>
            <w:r>
              <w:rPr>
                <w:rFonts w:ascii="Calibri" w:hAnsi="Calibri"/>
                <w:color w:val="111827"/>
                <w:sz w:val="17"/>
              </w:rPr>
              <w:t>config/settings.py</w:t>
            </w:r>
          </w:p>
        </w:tc>
        <w:tc>
          <w:tcPr>
            <w:tcW w:type="dxa" w:w="6060"/>
            <w:vAlign w:val="center"/>
            <w:tcMar>
              <w:top w:w="80" w:type="dxa"/>
              <w:start w:w="120" w:type="dxa"/>
              <w:bottom w:w="80" w:type="dxa"/>
              <w:end w:w="120" w:type="dxa"/>
            </w:tcMar>
          </w:tcPr>
          <w:p>
            <w:pPr>
              <w:spacing w:before="0" w:after="0" w:line="264" w:lineRule="auto"/>
            </w:pPr>
            <w:r>
              <w:rPr>
                <w:rFonts w:ascii="Calibri" w:hAnsi="Calibri"/>
                <w:color w:val="111827"/>
                <w:sz w:val="17"/>
              </w:rPr>
              <w:t>Environment-driven Django settings, database, auth, security, static storage, token settings, and logging.</w:t>
            </w:r>
          </w:p>
        </w:tc>
      </w:tr>
      <w:tr>
        <w:trPr>
          <w:cantSplit/>
        </w:trPr>
        <w:tc>
          <w:tcPr>
            <w:tcW w:type="dxa" w:w="3300"/>
            <w:vAlign w:val="center"/>
            <w:tcMar>
              <w:top w:w="80" w:type="dxa"/>
              <w:start w:w="120" w:type="dxa"/>
              <w:bottom w:w="80" w:type="dxa"/>
              <w:end w:w="120" w:type="dxa"/>
            </w:tcMar>
          </w:tcPr>
          <w:p>
            <w:pPr>
              <w:spacing w:before="0" w:after="0" w:line="264" w:lineRule="auto"/>
            </w:pPr>
            <w:r>
              <w:rPr>
                <w:rFonts w:ascii="Calibri" w:hAnsi="Calibri"/>
                <w:color w:val="111827"/>
                <w:sz w:val="17"/>
              </w:rPr>
              <w:t>config/urls.py</w:t>
            </w:r>
          </w:p>
        </w:tc>
        <w:tc>
          <w:tcPr>
            <w:tcW w:type="dxa" w:w="6060"/>
            <w:vAlign w:val="center"/>
            <w:tcMar>
              <w:top w:w="80" w:type="dxa"/>
              <w:start w:w="120" w:type="dxa"/>
              <w:bottom w:w="80" w:type="dxa"/>
              <w:end w:w="120" w:type="dxa"/>
            </w:tcMar>
          </w:tcPr>
          <w:p>
            <w:pPr>
              <w:spacing w:before="0" w:after="0" w:line="264" w:lineRule="auto"/>
            </w:pPr>
            <w:r>
              <w:rPr>
                <w:rFonts w:ascii="Calibri" w:hAnsi="Calibri"/>
                <w:color w:val="111827"/>
                <w:sz w:val="17"/>
              </w:rPr>
              <w:t>Root routes for Django admin, Google accounts, login, health, and the outreach application.</w:t>
            </w:r>
          </w:p>
        </w:tc>
      </w:tr>
      <w:tr>
        <w:trPr>
          <w:cantSplit/>
        </w:trPr>
        <w:tc>
          <w:tcPr>
            <w:tcW w:type="dxa" w:w="3300"/>
            <w:vAlign w:val="center"/>
            <w:tcMar>
              <w:top w:w="80" w:type="dxa"/>
              <w:start w:w="120" w:type="dxa"/>
              <w:bottom w:w="80" w:type="dxa"/>
              <w:end w:w="120" w:type="dxa"/>
            </w:tcMar>
          </w:tcPr>
          <w:p>
            <w:pPr>
              <w:spacing w:before="0" w:after="0" w:line="264" w:lineRule="auto"/>
            </w:pPr>
            <w:r>
              <w:rPr>
                <w:rFonts w:ascii="Calibri" w:hAnsi="Calibri"/>
                <w:color w:val="111827"/>
                <w:sz w:val="17"/>
              </w:rPr>
              <w:t>outreach/models.py</w:t>
            </w:r>
          </w:p>
        </w:tc>
        <w:tc>
          <w:tcPr>
            <w:tcW w:type="dxa" w:w="6060"/>
            <w:vAlign w:val="center"/>
            <w:tcMar>
              <w:top w:w="80" w:type="dxa"/>
              <w:start w:w="120" w:type="dxa"/>
              <w:bottom w:w="80" w:type="dxa"/>
              <w:end w:w="120" w:type="dxa"/>
            </w:tcMar>
          </w:tcPr>
          <w:p>
            <w:pPr>
              <w:spacing w:before="0" w:after="0" w:line="264" w:lineRule="auto"/>
            </w:pPr>
            <w:r>
              <w:rPr>
                <w:rFonts w:ascii="Calibri" w:hAnsi="Calibri"/>
                <w:color w:val="111827"/>
                <w:sz w:val="17"/>
              </w:rPr>
              <w:t>Profiles, companies, prospects, outreach, tokens, API audits, and import batches.</w:t>
            </w:r>
          </w:p>
        </w:tc>
      </w:tr>
      <w:tr>
        <w:trPr>
          <w:cantSplit/>
        </w:trPr>
        <w:tc>
          <w:tcPr>
            <w:tcW w:type="dxa" w:w="3300"/>
            <w:vAlign w:val="center"/>
            <w:tcMar>
              <w:top w:w="80" w:type="dxa"/>
              <w:start w:w="120" w:type="dxa"/>
              <w:bottom w:w="80" w:type="dxa"/>
              <w:end w:w="120" w:type="dxa"/>
            </w:tcMar>
          </w:tcPr>
          <w:p>
            <w:pPr>
              <w:spacing w:before="0" w:after="0" w:line="264" w:lineRule="auto"/>
            </w:pPr>
            <w:r>
              <w:rPr>
                <w:rFonts w:ascii="Calibri" w:hAnsi="Calibri"/>
                <w:color w:val="111827"/>
                <w:sz w:val="17"/>
              </w:rPr>
              <w:t>outreach/forms.py</w:t>
            </w:r>
          </w:p>
        </w:tc>
        <w:tc>
          <w:tcPr>
            <w:tcW w:type="dxa" w:w="6060"/>
            <w:vAlign w:val="center"/>
            <w:tcMar>
              <w:top w:w="80" w:type="dxa"/>
              <w:start w:w="120" w:type="dxa"/>
              <w:bottom w:w="80" w:type="dxa"/>
              <w:end w:w="120" w:type="dxa"/>
            </w:tcMar>
          </w:tcPr>
          <w:p>
            <w:pPr>
              <w:spacing w:before="0" w:after="0" w:line="264" w:lineRule="auto"/>
            </w:pPr>
            <w:r>
              <w:rPr>
                <w:rFonts w:ascii="Calibri" w:hAnsi="Calibri"/>
                <w:color w:val="111827"/>
                <w:sz w:val="17"/>
              </w:rPr>
              <w:t>Browser field definitions, duplicate checks, role-aware assignment, and outreach validation.</w:t>
            </w:r>
          </w:p>
        </w:tc>
      </w:tr>
      <w:tr>
        <w:trPr>
          <w:cantSplit/>
        </w:trPr>
        <w:tc>
          <w:tcPr>
            <w:tcW w:type="dxa" w:w="3300"/>
            <w:vAlign w:val="center"/>
            <w:tcMar>
              <w:top w:w="80" w:type="dxa"/>
              <w:start w:w="120" w:type="dxa"/>
              <w:bottom w:w="80" w:type="dxa"/>
              <w:end w:w="120" w:type="dxa"/>
            </w:tcMar>
          </w:tcPr>
          <w:p>
            <w:pPr>
              <w:spacing w:before="0" w:after="0" w:line="264" w:lineRule="auto"/>
            </w:pPr>
            <w:r>
              <w:rPr>
                <w:rFonts w:ascii="Calibri" w:hAnsi="Calibri"/>
                <w:color w:val="111827"/>
                <w:sz w:val="17"/>
              </w:rPr>
              <w:t>outreach/views.py</w:t>
            </w:r>
          </w:p>
        </w:tc>
        <w:tc>
          <w:tcPr>
            <w:tcW w:type="dxa" w:w="6060"/>
            <w:vAlign w:val="center"/>
            <w:tcMar>
              <w:top w:w="80" w:type="dxa"/>
              <w:start w:w="120" w:type="dxa"/>
              <w:bottom w:w="80" w:type="dxa"/>
              <w:end w:w="120" w:type="dxa"/>
            </w:tcMar>
          </w:tcPr>
          <w:p>
            <w:pPr>
              <w:spacing w:before="0" w:after="0" w:line="264" w:lineRule="auto"/>
            </w:pPr>
            <w:r>
              <w:rPr>
                <w:rFonts w:ascii="Calibri" w:hAnsi="Calibri"/>
                <w:color w:val="111827"/>
                <w:sz w:val="17"/>
              </w:rPr>
              <w:t>Browser workflows, role scoping, dashboard, import/rollback, exports, and user lifecycle.</w:t>
            </w:r>
          </w:p>
        </w:tc>
      </w:tr>
      <w:tr>
        <w:trPr>
          <w:cantSplit/>
        </w:trPr>
        <w:tc>
          <w:tcPr>
            <w:tcW w:type="dxa" w:w="3300"/>
            <w:vAlign w:val="center"/>
            <w:tcMar>
              <w:top w:w="80" w:type="dxa"/>
              <w:start w:w="120" w:type="dxa"/>
              <w:bottom w:w="80" w:type="dxa"/>
              <w:end w:w="120" w:type="dxa"/>
            </w:tcMar>
          </w:tcPr>
          <w:p>
            <w:pPr>
              <w:spacing w:before="0" w:after="0" w:line="264" w:lineRule="auto"/>
            </w:pPr>
            <w:r>
              <w:rPr>
                <w:rFonts w:ascii="Calibri" w:hAnsi="Calibri"/>
                <w:color w:val="111827"/>
                <w:sz w:val="17"/>
              </w:rPr>
              <w:t>outreach/api.py</w:t>
            </w:r>
          </w:p>
        </w:tc>
        <w:tc>
          <w:tcPr>
            <w:tcW w:type="dxa" w:w="6060"/>
            <w:vAlign w:val="center"/>
            <w:tcMar>
              <w:top w:w="80" w:type="dxa"/>
              <w:start w:w="120" w:type="dxa"/>
              <w:bottom w:w="80" w:type="dxa"/>
              <w:end w:w="120" w:type="dxa"/>
            </w:tcMar>
          </w:tcPr>
          <w:p>
            <w:pPr>
              <w:spacing w:before="0" w:after="0" w:line="264" w:lineRule="auto"/>
            </w:pPr>
            <w:r>
              <w:rPr>
                <w:rFonts w:ascii="Calibri" w:hAnsi="Calibri"/>
                <w:color w:val="111827"/>
                <w:sz w:val="17"/>
              </w:rPr>
              <w:t>Bearer authentication, API validation, purpose endpoints, claim, serialization, and audit creation.</w:t>
            </w:r>
          </w:p>
        </w:tc>
      </w:tr>
      <w:tr>
        <w:trPr>
          <w:cantSplit/>
        </w:trPr>
        <w:tc>
          <w:tcPr>
            <w:tcW w:type="dxa" w:w="3300"/>
            <w:vAlign w:val="center"/>
            <w:tcMar>
              <w:top w:w="80" w:type="dxa"/>
              <w:start w:w="120" w:type="dxa"/>
              <w:bottom w:w="80" w:type="dxa"/>
              <w:end w:w="120" w:type="dxa"/>
            </w:tcMar>
          </w:tcPr>
          <w:p>
            <w:pPr>
              <w:spacing w:before="0" w:after="0" w:line="264" w:lineRule="auto"/>
            </w:pPr>
            <w:r>
              <w:rPr>
                <w:rFonts w:ascii="Calibri" w:hAnsi="Calibri"/>
                <w:color w:val="111827"/>
                <w:sz w:val="17"/>
              </w:rPr>
              <w:t>outreach/api_documentation.py</w:t>
            </w:r>
          </w:p>
        </w:tc>
        <w:tc>
          <w:tcPr>
            <w:tcW w:type="dxa" w:w="6060"/>
            <w:vAlign w:val="center"/>
            <w:tcMar>
              <w:top w:w="80" w:type="dxa"/>
              <w:start w:w="120" w:type="dxa"/>
              <w:bottom w:w="80" w:type="dxa"/>
              <w:end w:w="120" w:type="dxa"/>
            </w:tcMar>
          </w:tcPr>
          <w:p>
            <w:pPr>
              <w:spacing w:before="0" w:after="0" w:line="264" w:lineRule="auto"/>
            </w:pPr>
            <w:r>
              <w:rPr>
                <w:rFonts w:ascii="Calibri" w:hAnsi="Calibri"/>
                <w:color w:val="111827"/>
                <w:sz w:val="17"/>
              </w:rPr>
              <w:t>Field contracts and content rendered as separate in-product API guides.</w:t>
            </w:r>
          </w:p>
        </w:tc>
      </w:tr>
      <w:tr>
        <w:trPr>
          <w:cantSplit/>
        </w:trPr>
        <w:tc>
          <w:tcPr>
            <w:tcW w:type="dxa" w:w="3300"/>
            <w:vAlign w:val="center"/>
            <w:tcMar>
              <w:top w:w="80" w:type="dxa"/>
              <w:start w:w="120" w:type="dxa"/>
              <w:bottom w:w="80" w:type="dxa"/>
              <w:end w:w="120" w:type="dxa"/>
            </w:tcMar>
          </w:tcPr>
          <w:p>
            <w:pPr>
              <w:spacing w:before="0" w:after="0" w:line="264" w:lineRule="auto"/>
            </w:pPr>
            <w:r>
              <w:rPr>
                <w:rFonts w:ascii="Calibri" w:hAnsi="Calibri"/>
                <w:color w:val="111827"/>
                <w:sz w:val="17"/>
              </w:rPr>
              <w:t>outreach/api_tokens.py</w:t>
            </w:r>
          </w:p>
        </w:tc>
        <w:tc>
          <w:tcPr>
            <w:tcW w:type="dxa" w:w="6060"/>
            <w:vAlign w:val="center"/>
            <w:tcMar>
              <w:top w:w="80" w:type="dxa"/>
              <w:start w:w="120" w:type="dxa"/>
              <w:bottom w:w="80" w:type="dxa"/>
              <w:end w:w="120" w:type="dxa"/>
            </w:tcMar>
          </w:tcPr>
          <w:p>
            <w:pPr>
              <w:spacing w:before="0" w:after="0" w:line="264" w:lineRule="auto"/>
            </w:pPr>
            <w:r>
              <w:rPr>
                <w:rFonts w:ascii="Calibri" w:hAnsi="Calibri"/>
                <w:color w:val="111827"/>
                <w:sz w:val="17"/>
              </w:rPr>
              <w:t>Opaque persistent token issuance/verification and legacy JWT compatibility.</w:t>
            </w:r>
          </w:p>
        </w:tc>
      </w:tr>
      <w:tr>
        <w:trPr>
          <w:cantSplit/>
        </w:trPr>
        <w:tc>
          <w:tcPr>
            <w:tcW w:type="dxa" w:w="3300"/>
            <w:vAlign w:val="center"/>
            <w:tcMar>
              <w:top w:w="80" w:type="dxa"/>
              <w:start w:w="120" w:type="dxa"/>
              <w:bottom w:w="80" w:type="dxa"/>
              <w:end w:w="120" w:type="dxa"/>
            </w:tcMar>
          </w:tcPr>
          <w:p>
            <w:pPr>
              <w:spacing w:before="0" w:after="0" w:line="264" w:lineRule="auto"/>
            </w:pPr>
            <w:r>
              <w:rPr>
                <w:rFonts w:ascii="Calibri" w:hAnsi="Calibri"/>
                <w:color w:val="111827"/>
                <w:sz w:val="17"/>
              </w:rPr>
              <w:t>outreach/bulk_import.py</w:t>
            </w:r>
          </w:p>
        </w:tc>
        <w:tc>
          <w:tcPr>
            <w:tcW w:type="dxa" w:w="6060"/>
            <w:vAlign w:val="center"/>
            <w:tcMar>
              <w:top w:w="80" w:type="dxa"/>
              <w:start w:w="120" w:type="dxa"/>
              <w:bottom w:w="80" w:type="dxa"/>
              <w:end w:w="120" w:type="dxa"/>
            </w:tcMar>
          </w:tcPr>
          <w:p>
            <w:pPr>
              <w:spacing w:before="0" w:after="0" w:line="264" w:lineRule="auto"/>
            </w:pPr>
            <w:r>
              <w:rPr>
                <w:rFonts w:ascii="Calibri" w:hAnsi="Calibri"/>
                <w:color w:val="111827"/>
                <w:sz w:val="17"/>
              </w:rPr>
              <w:t>CSV parsing, per-row validation, batch creation, and protected rollback.</w:t>
            </w:r>
          </w:p>
        </w:tc>
      </w:tr>
      <w:tr>
        <w:trPr>
          <w:cantSplit/>
        </w:trPr>
        <w:tc>
          <w:tcPr>
            <w:tcW w:type="dxa" w:w="3300"/>
            <w:vAlign w:val="center"/>
            <w:tcMar>
              <w:top w:w="80" w:type="dxa"/>
              <w:start w:w="120" w:type="dxa"/>
              <w:bottom w:w="80" w:type="dxa"/>
              <w:end w:w="120" w:type="dxa"/>
            </w:tcMar>
          </w:tcPr>
          <w:p>
            <w:pPr>
              <w:spacing w:before="0" w:after="0" w:line="264" w:lineRule="auto"/>
            </w:pPr>
            <w:r>
              <w:rPr>
                <w:rFonts w:ascii="Calibri" w:hAnsi="Calibri"/>
                <w:color w:val="111827"/>
                <w:sz w:val="17"/>
              </w:rPr>
              <w:t>outreach/workflows.py</w:t>
            </w:r>
          </w:p>
        </w:tc>
        <w:tc>
          <w:tcPr>
            <w:tcW w:type="dxa" w:w="6060"/>
            <w:vAlign w:val="center"/>
            <w:tcMar>
              <w:top w:w="80" w:type="dxa"/>
              <w:start w:w="120" w:type="dxa"/>
              <w:bottom w:w="80" w:type="dxa"/>
              <w:end w:w="120" w:type="dxa"/>
            </w:tcMar>
          </w:tcPr>
          <w:p>
            <w:pPr>
              <w:spacing w:before="0" w:after="0" w:line="264" w:lineRule="auto"/>
            </w:pPr>
            <w:r>
              <w:rPr>
                <w:rFonts w:ascii="Calibri" w:hAnsi="Calibri"/>
                <w:color w:val="111827"/>
                <w:sz w:val="17"/>
              </w:rPr>
              <w:t>Prospect state updates implied by outreach activities.</w:t>
            </w:r>
          </w:p>
        </w:tc>
      </w:tr>
      <w:tr>
        <w:trPr>
          <w:cantSplit/>
        </w:trPr>
        <w:tc>
          <w:tcPr>
            <w:tcW w:type="dxa" w:w="3300"/>
            <w:vAlign w:val="center"/>
            <w:tcMar>
              <w:top w:w="80" w:type="dxa"/>
              <w:start w:w="120" w:type="dxa"/>
              <w:bottom w:w="80" w:type="dxa"/>
              <w:end w:w="120" w:type="dxa"/>
            </w:tcMar>
          </w:tcPr>
          <w:p>
            <w:pPr>
              <w:spacing w:before="0" w:after="0" w:line="264" w:lineRule="auto"/>
            </w:pPr>
            <w:r>
              <w:rPr>
                <w:rFonts w:ascii="Calibri" w:hAnsi="Calibri"/>
                <w:color w:val="111827"/>
                <w:sz w:val="17"/>
              </w:rPr>
              <w:t>outreach/permissions.py</w:t>
            </w:r>
          </w:p>
        </w:tc>
        <w:tc>
          <w:tcPr>
            <w:tcW w:type="dxa" w:w="6060"/>
            <w:vAlign w:val="center"/>
            <w:tcMar>
              <w:top w:w="80" w:type="dxa"/>
              <w:start w:w="120" w:type="dxa"/>
              <w:bottom w:w="80" w:type="dxa"/>
              <w:end w:w="120" w:type="dxa"/>
            </w:tcMar>
          </w:tcPr>
          <w:p>
            <w:pPr>
              <w:spacing w:before="0" w:after="0" w:line="264" w:lineRule="auto"/>
            </w:pPr>
            <w:r>
              <w:rPr>
                <w:rFonts w:ascii="Calibri" w:hAnsi="Calibri"/>
                <w:color w:val="111827"/>
                <w:sz w:val="17"/>
              </w:rPr>
              <w:t>Manager/system-admin supervisory access predicates.</w:t>
            </w:r>
          </w:p>
        </w:tc>
      </w:tr>
      <w:tr>
        <w:trPr>
          <w:cantSplit/>
        </w:trPr>
        <w:tc>
          <w:tcPr>
            <w:tcW w:type="dxa" w:w="3300"/>
            <w:vAlign w:val="center"/>
            <w:tcMar>
              <w:top w:w="80" w:type="dxa"/>
              <w:start w:w="120" w:type="dxa"/>
              <w:bottom w:w="80" w:type="dxa"/>
              <w:end w:w="120" w:type="dxa"/>
            </w:tcMar>
          </w:tcPr>
          <w:p>
            <w:pPr>
              <w:spacing w:before="0" w:after="0" w:line="264" w:lineRule="auto"/>
            </w:pPr>
            <w:r>
              <w:rPr>
                <w:rFonts w:ascii="Calibri" w:hAnsi="Calibri"/>
                <w:color w:val="111827"/>
                <w:sz w:val="17"/>
              </w:rPr>
              <w:t>outreach/adapters.py / signals.py</w:t>
            </w:r>
          </w:p>
        </w:tc>
        <w:tc>
          <w:tcPr>
            <w:tcW w:type="dxa" w:w="6060"/>
            <w:vAlign w:val="center"/>
            <w:tcMar>
              <w:top w:w="80" w:type="dxa"/>
              <w:start w:w="120" w:type="dxa"/>
              <w:bottom w:w="80" w:type="dxa"/>
              <w:end w:w="120" w:type="dxa"/>
            </w:tcMar>
          </w:tcPr>
          <w:p>
            <w:pPr>
              <w:spacing w:before="0" w:after="0" w:line="264" w:lineRule="auto"/>
            </w:pPr>
            <w:r>
              <w:rPr>
                <w:rFonts w:ascii="Calibri" w:hAnsi="Calibri"/>
                <w:color w:val="111827"/>
                <w:sz w:val="17"/>
              </w:rPr>
              <w:t>Google account pre-provisioning, bootstrap roles, disabled-user rejection, and automatic profiles.</w:t>
            </w:r>
          </w:p>
        </w:tc>
      </w:tr>
      <w:tr>
        <w:trPr>
          <w:cantSplit/>
        </w:trPr>
        <w:tc>
          <w:tcPr>
            <w:tcW w:type="dxa" w:w="3300"/>
            <w:vAlign w:val="center"/>
            <w:tcMar>
              <w:top w:w="80" w:type="dxa"/>
              <w:start w:w="120" w:type="dxa"/>
              <w:bottom w:w="80" w:type="dxa"/>
              <w:end w:w="120" w:type="dxa"/>
            </w:tcMar>
          </w:tcPr>
          <w:p>
            <w:pPr>
              <w:spacing w:before="0" w:after="0" w:line="264" w:lineRule="auto"/>
            </w:pPr>
            <w:r>
              <w:rPr>
                <w:rFonts w:ascii="Calibri" w:hAnsi="Calibri"/>
                <w:color w:val="111827"/>
                <w:sz w:val="17"/>
              </w:rPr>
              <w:t>templates/ and static/</w:t>
            </w:r>
          </w:p>
        </w:tc>
        <w:tc>
          <w:tcPr>
            <w:tcW w:type="dxa" w:w="6060"/>
            <w:vAlign w:val="center"/>
            <w:tcMar>
              <w:top w:w="80" w:type="dxa"/>
              <w:start w:w="120" w:type="dxa"/>
              <w:bottom w:w="80" w:type="dxa"/>
              <w:end w:w="120" w:type="dxa"/>
            </w:tcMar>
          </w:tcPr>
          <w:p>
            <w:pPr>
              <w:spacing w:before="0" w:after="0" w:line="264" w:lineRule="auto"/>
            </w:pPr>
            <w:r>
              <w:rPr>
                <w:rFonts w:ascii="Calibri" w:hAnsi="Calibri"/>
                <w:color w:val="111827"/>
                <w:sz w:val="17"/>
              </w:rPr>
              <w:t>Server-rendered UI, responsive styles, and prospect-form behavior.</w:t>
            </w:r>
          </w:p>
        </w:tc>
      </w:tr>
      <w:tr>
        <w:trPr>
          <w:cantSplit/>
        </w:trPr>
        <w:tc>
          <w:tcPr>
            <w:tcW w:type="dxa" w:w="3300"/>
            <w:vAlign w:val="center"/>
            <w:tcMar>
              <w:top w:w="80" w:type="dxa"/>
              <w:start w:w="120" w:type="dxa"/>
              <w:bottom w:w="80" w:type="dxa"/>
              <w:end w:w="120" w:type="dxa"/>
            </w:tcMar>
          </w:tcPr>
          <w:p>
            <w:pPr>
              <w:spacing w:before="0" w:after="0" w:line="264" w:lineRule="auto"/>
            </w:pPr>
            <w:r>
              <w:rPr>
                <w:rFonts w:ascii="Calibri" w:hAnsi="Calibri"/>
                <w:color w:val="111827"/>
                <w:sz w:val="17"/>
              </w:rPr>
              <w:t>outreach/tests/</w:t>
            </w:r>
          </w:p>
        </w:tc>
        <w:tc>
          <w:tcPr>
            <w:tcW w:type="dxa" w:w="6060"/>
            <w:vAlign w:val="center"/>
            <w:tcMar>
              <w:top w:w="80" w:type="dxa"/>
              <w:start w:w="120" w:type="dxa"/>
              <w:bottom w:w="80" w:type="dxa"/>
              <w:end w:w="120" w:type="dxa"/>
            </w:tcMar>
          </w:tcPr>
          <w:p>
            <w:pPr>
              <w:spacing w:before="0" w:after="0" w:line="264" w:lineRule="auto"/>
            </w:pPr>
            <w:r>
              <w:rPr>
                <w:rFonts w:ascii="Calibri" w:hAnsi="Calibri"/>
                <w:color w:val="111827"/>
                <w:sz w:val="17"/>
              </w:rPr>
              <w:t>Application, API, bulk import, and migration test suites.</w:t>
            </w:r>
          </w:p>
        </w:tc>
      </w:tr>
      <w:tr>
        <w:trPr>
          <w:cantSplit/>
        </w:trPr>
        <w:tc>
          <w:tcPr>
            <w:tcW w:type="dxa" w:w="3300"/>
            <w:vAlign w:val="center"/>
            <w:tcMar>
              <w:top w:w="80" w:type="dxa"/>
              <w:start w:w="120" w:type="dxa"/>
              <w:bottom w:w="80" w:type="dxa"/>
              <w:end w:w="120" w:type="dxa"/>
            </w:tcMar>
          </w:tcPr>
          <w:p>
            <w:pPr>
              <w:spacing w:before="0" w:after="0" w:line="264" w:lineRule="auto"/>
            </w:pPr>
            <w:r>
              <w:rPr>
                <w:rFonts w:ascii="Calibri" w:hAnsi="Calibri"/>
                <w:color w:val="111827"/>
                <w:sz w:val="17"/>
              </w:rPr>
              <w:t>outreach/migrations/</w:t>
            </w:r>
          </w:p>
        </w:tc>
        <w:tc>
          <w:tcPr>
            <w:tcW w:type="dxa" w:w="6060"/>
            <w:vAlign w:val="center"/>
            <w:tcMar>
              <w:top w:w="80" w:type="dxa"/>
              <w:start w:w="120" w:type="dxa"/>
              <w:bottom w:w="80" w:type="dxa"/>
              <w:end w:w="120" w:type="dxa"/>
            </w:tcMar>
          </w:tcPr>
          <w:p>
            <w:pPr>
              <w:spacing w:before="0" w:after="0" w:line="264" w:lineRule="auto"/>
            </w:pPr>
            <w:r>
              <w:rPr>
                <w:rFonts w:ascii="Calibri" w:hAnsi="Calibri"/>
                <w:color w:val="111827"/>
                <w:sz w:val="17"/>
              </w:rPr>
              <w:t>Committed schema history; migrations 0001 through 0008 at this baseline.</w:t>
            </w:r>
          </w:p>
        </w:tc>
      </w:tr>
      <w:tr>
        <w:trPr>
          <w:cantSplit/>
        </w:trPr>
        <w:tc>
          <w:tcPr>
            <w:tcW w:type="dxa" w:w="3300"/>
            <w:vAlign w:val="center"/>
            <w:tcMar>
              <w:top w:w="80" w:type="dxa"/>
              <w:start w:w="120" w:type="dxa"/>
              <w:bottom w:w="80" w:type="dxa"/>
              <w:end w:w="120" w:type="dxa"/>
            </w:tcMar>
          </w:tcPr>
          <w:p>
            <w:pPr>
              <w:spacing w:before="0" w:after="0" w:line="264" w:lineRule="auto"/>
            </w:pPr>
            <w:r>
              <w:rPr>
                <w:rFonts w:ascii="Calibri" w:hAnsi="Calibri"/>
                <w:color w:val="111827"/>
                <w:sz w:val="17"/>
              </w:rPr>
              <w:t>deploy/ and deploy.sh</w:t>
            </w:r>
          </w:p>
        </w:tc>
        <w:tc>
          <w:tcPr>
            <w:tcW w:type="dxa" w:w="6060"/>
            <w:vAlign w:val="center"/>
            <w:tcMar>
              <w:top w:w="80" w:type="dxa"/>
              <w:start w:w="120" w:type="dxa"/>
              <w:bottom w:w="80" w:type="dxa"/>
              <w:end w:w="120" w:type="dxa"/>
            </w:tcMar>
          </w:tcPr>
          <w:p>
            <w:pPr>
              <w:spacing w:before="0" w:after="0" w:line="264" w:lineRule="auto"/>
            </w:pPr>
            <w:r>
              <w:rPr>
                <w:rFonts w:ascii="Calibri" w:hAnsi="Calibri"/>
                <w:color w:val="111827"/>
                <w:sz w:val="17"/>
              </w:rPr>
              <w:t>Native virtualenv and alternate container/AWS deployment assets.</w:t>
            </w:r>
          </w:p>
        </w:tc>
      </w:tr>
      <w:tr>
        <w:trPr>
          <w:cantSplit/>
        </w:trPr>
        <w:tc>
          <w:tcPr>
            <w:tcW w:type="dxa" w:w="3300"/>
            <w:vAlign w:val="center"/>
            <w:tcMar>
              <w:top w:w="80" w:type="dxa"/>
              <w:start w:w="120" w:type="dxa"/>
              <w:bottom w:w="80" w:type="dxa"/>
              <w:end w:w="120" w:type="dxa"/>
            </w:tcMar>
          </w:tcPr>
          <w:p>
            <w:pPr>
              <w:spacing w:before="0" w:after="0" w:line="264" w:lineRule="auto"/>
            </w:pPr>
            <w:r>
              <w:rPr>
                <w:rFonts w:ascii="Calibri" w:hAnsi="Calibri"/>
                <w:color w:val="111827"/>
                <w:sz w:val="17"/>
              </w:rPr>
              <w:t>.github/workflows/</w:t>
            </w:r>
          </w:p>
        </w:tc>
        <w:tc>
          <w:tcPr>
            <w:tcW w:type="dxa" w:w="6060"/>
            <w:vAlign w:val="center"/>
            <w:tcMar>
              <w:top w:w="80" w:type="dxa"/>
              <w:start w:w="120" w:type="dxa"/>
              <w:bottom w:w="80" w:type="dxa"/>
              <w:end w:w="120" w:type="dxa"/>
            </w:tcMar>
          </w:tcPr>
          <w:p>
            <w:pPr>
              <w:spacing w:before="0" w:after="0" w:line="264" w:lineRule="auto"/>
            </w:pPr>
            <w:r>
              <w:rPr>
                <w:rFonts w:ascii="Calibri" w:hAnsi="Calibri"/>
                <w:color w:val="111827"/>
                <w:sz w:val="17"/>
              </w:rPr>
              <w:t>CI, current production deploy, alternate AWS deploy, and manual target-firm import.</w:t>
            </w:r>
          </w:p>
        </w:tc>
      </w:tr>
    </w:tbl>
    <w:p>
      <w:pPr>
        <w:spacing w:before="0" w:after="20"/>
      </w:pPr>
    </w:p>
    <w:p>
      <w:pPr>
        <w:pStyle w:val="Heading1"/>
      </w:pPr>
      <w:r>
        <w:t>4. Data and authorization design</w:t>
      </w:r>
    </w:p>
    <w:p>
      <w:pPr>
        <w:pStyle w:val="Heading2"/>
      </w:pPr>
      <w:r>
        <w:t>Principal entities</w:t>
      </w:r>
    </w:p>
    <w:p>
      <w:pPr>
        <w:numPr>
          <w:ilvl w:val="0"/>
          <w:numId w:val="10"/>
        </w:numPr>
      </w:pPr>
      <w:r>
        <w:rPr>
          <w:rFonts w:ascii="Calibri" w:hAnsi="Calibri"/>
          <w:color w:val="111827"/>
        </w:rPr>
        <w:t>Profile extends Django User with one of five roles: intern, inside_sales, linkedin_outreach, manager, or system_admin.</w:t>
      </w:r>
    </w:p>
    <w:p>
      <w:pPr>
        <w:numPr>
          <w:ilvl w:val="0"/>
          <w:numId w:val="10"/>
        </w:numPr>
      </w:pPr>
      <w:r>
        <w:rPr>
          <w:rFonts w:ascii="Calibri" w:hAnsi="Calibri"/>
          <w:color w:val="111827"/>
        </w:rPr>
        <w:t>CompanyIdentity supplies an immutable UUID and normalized company key. Prospect records reference it with PROTECT.</w:t>
      </w:r>
    </w:p>
    <w:p>
      <w:pPr>
        <w:numPr>
          <w:ilvl w:val="0"/>
          <w:numId w:val="10"/>
        </w:numPr>
      </w:pPr>
      <w:r>
        <w:rPr>
          <w:rFonts w:ascii="Calibri" w:hAnsi="Calibri"/>
          <w:color w:val="111827"/>
        </w:rPr>
        <w:t>Prospect is one company/workstream record with optional owner, workflow fields, timestamps, and import linkage.</w:t>
      </w:r>
    </w:p>
    <w:p>
      <w:pPr>
        <w:numPr>
          <w:ilvl w:val="0"/>
          <w:numId w:val="10"/>
        </w:numPr>
      </w:pPr>
      <w:r>
        <w:rPr>
          <w:rFonts w:ascii="Calibri" w:hAnsi="Calibri"/>
          <w:color w:val="111827"/>
        </w:rPr>
        <w:t>Outreach is a child record with unique prospect/sequence number and a database constraint limiting the sequence to 1–5.</w:t>
      </w:r>
    </w:p>
    <w:p>
      <w:pPr>
        <w:numPr>
          <w:ilvl w:val="0"/>
          <w:numId w:val="10"/>
        </w:numPr>
      </w:pPr>
      <w:r>
        <w:rPr>
          <w:rFonts w:ascii="Calibri" w:hAnsi="Calibri"/>
          <w:color w:val="111827"/>
        </w:rPr>
        <w:t>ProspectImportBatch stores source metadata, created/skipped rows, rollback results, actor, owner, and status.</w:t>
      </w:r>
    </w:p>
    <w:p>
      <w:pPr>
        <w:numPr>
          <w:ilvl w:val="0"/>
          <w:numId w:val="10"/>
        </w:numPr>
      </w:pPr>
      <w:r>
        <w:rPr>
          <w:rFonts w:ascii="Calibri" w:hAnsi="Calibri"/>
          <w:color w:val="111827"/>
        </w:rPr>
        <w:t>ApiAccessToken stores a SHA-256 token hash and prefix, not the raw credential.</w:t>
      </w:r>
    </w:p>
    <w:p>
      <w:pPr>
        <w:numPr>
          <w:ilvl w:val="0"/>
          <w:numId w:val="10"/>
        </w:numPr>
      </w:pPr>
      <w:r>
        <w:rPr>
          <w:rFonts w:ascii="Calibri" w:hAnsi="Calibri"/>
          <w:color w:val="111827"/>
        </w:rPr>
        <w:t>CompanyUpdateAudit, ProspectUpdateAudit, and OutreachUpdateAudit preserve successful API before/after changes.</w:t>
      </w:r>
    </w:p>
    <w:p>
      <w:pPr>
        <w:pStyle w:val="Heading2"/>
      </w:pPr>
      <w:r>
        <w:t>Authorization</w:t>
      </w:r>
    </w:p>
    <w:p>
      <w:r>
        <w:rPr>
          <w:rFonts w:ascii="Calibri" w:hAnsi="Calibri"/>
          <w:i w:val="0"/>
          <w:color w:val="111827"/>
        </w:rPr>
        <w:t>Browser views and APIs use the same ownership model. Manager and System admin roles are supervisory for prospect access. Frontline visibility is limited to owned prospects plus unassigned prospects in the user's matching workstream; edits require ownership. System-admin checks separately protect user administration.</w:t>
      </w:r>
    </w:p>
    <w:p>
      <w:pPr>
        <w:pStyle w:val="Heading2"/>
      </w:pPr>
      <w:r>
        <w:t>Authentication</w:t>
      </w:r>
    </w:p>
    <w:p>
      <w:pPr>
        <w:numPr>
          <w:ilvl w:val="0"/>
          <w:numId w:val="11"/>
        </w:numPr>
      </w:pPr>
      <w:r>
        <w:rPr>
          <w:rFonts w:ascii="Calibri" w:hAnsi="Calibri"/>
          <w:color w:val="111827"/>
        </w:rPr>
        <w:t>Interactive authentication uses Google OAuth through django-allauth; password login is not the operating path.</w:t>
      </w:r>
    </w:p>
    <w:p>
      <w:pPr>
        <w:numPr>
          <w:ilvl w:val="0"/>
          <w:numId w:val="11"/>
        </w:numPr>
      </w:pPr>
      <w:r>
        <w:rPr>
          <w:rFonts w:ascii="Calibri" w:hAnsi="Calibri"/>
          <w:color w:val="111827"/>
        </w:rPr>
        <w:t>REQUIRE_PREPROVISIONED_USERS defaults to true. Unknown emails are rejected unless configured as a bootstrap manager or system admin.</w:t>
      </w:r>
    </w:p>
    <w:p>
      <w:pPr>
        <w:numPr>
          <w:ilvl w:val="0"/>
          <w:numId w:val="11"/>
        </w:numPr>
      </w:pPr>
      <w:r>
        <w:rPr>
          <w:rFonts w:ascii="Calibri" w:hAnsi="Calibri"/>
          <w:color w:val="111827"/>
        </w:rPr>
        <w:t>A disabled user is rejected at social login.</w:t>
      </w:r>
    </w:p>
    <w:p>
      <w:pPr>
        <w:numPr>
          <w:ilvl w:val="0"/>
          <w:numId w:val="11"/>
        </w:numPr>
      </w:pPr>
      <w:r>
        <w:rPr>
          <w:rFonts w:ascii="Calibri" w:hAnsi="Calibri"/>
          <w:color w:val="111827"/>
        </w:rPr>
        <w:t>Exact-email pre-provisioning takes precedence over the optional domain allowlist.</w:t>
      </w:r>
    </w:p>
    <w:p>
      <w:pPr>
        <w:numPr>
          <w:ilvl w:val="0"/>
          <w:numId w:val="11"/>
        </w:numPr>
      </w:pPr>
      <w:r>
        <w:rPr>
          <w:rFonts w:ascii="Calibri" w:hAnsi="Calibri"/>
          <w:color w:val="111827"/>
        </w:rPr>
        <w:t>SYSTEM_ADMIN_EMAILS and MANAGER_EMAILS can bootstrap or enforce configured supervisory roles.</w:t>
      </w:r>
    </w:p>
    <w:p>
      <w:pPr>
        <w:numPr>
          <w:ilvl w:val="0"/>
          <w:numId w:val="11"/>
        </w:numPr>
      </w:pPr>
      <w:r>
        <w:rPr>
          <w:rFonts w:ascii="Calibri" w:hAnsi="Calibri"/>
          <w:color w:val="111827"/>
        </w:rPr>
        <w:t>API clients send Authorization: Bearer &lt;access_token&gt;. New tokens persist until revoked; old JWT/refresh compatibility remains during migration.</w:t>
      </w:r>
    </w:p>
    <w:p>
      <w:pPr>
        <w:pStyle w:val="Heading1"/>
      </w:pPr>
      <w:r>
        <w:t>5. Repository operations</w:t>
      </w:r>
    </w:p>
    <w:p>
      <w:pPr>
        <w:pStyle w:val="Heading2"/>
      </w:pPr>
      <w:r>
        <w:t>Canonical source</w:t>
      </w:r>
    </w:p>
    <w:p>
      <w:r>
        <w:rPr>
          <w:rFonts w:ascii="Calibri" w:hAnsi="Calibri"/>
          <w:i w:val="0"/>
          <w:color w:val="111827"/>
        </w:rPr>
        <w:t>The connected repository is gopalakrishnanplus-creator/FlexGCC-Outreach. Production deployment resets its checkout to origin/main, so main is the only branch whose commits become the current native EC2 production release.</w:t>
      </w:r>
    </w:p>
    <w:p>
      <w:r>
        <w:rPr>
          <w:rFonts w:ascii="Calibri" w:hAnsi="Calibri"/>
          <w:i w:val="0"/>
          <w:color w:val="111827"/>
        </w:rPr>
        <w:t>Repository baseline:</w:t>
      </w:r>
    </w:p>
    <w:p>
      <w:pPr>
        <w:spacing w:before="80" w:after="160" w:line="252" w:lineRule="auto"/>
        <w:ind w:left="173" w:right="86"/>
        <w:shd w:fill="F7F8FA"/>
      </w:pPr>
      <w:r>
        <w:rPr>
          <w:rFonts w:ascii="Consolas" w:hAnsi="Consolas"/>
          <w:color w:val="273444"/>
          <w:sz w:val="17"/>
        </w:rPr>
        <w:t>git checkout main</w:t>
      </w:r>
      <w:r>
        <w:br/>
      </w:r>
      <w:r>
        <w:rPr>
          <w:rFonts w:ascii="Consolas" w:hAnsi="Consolas"/>
          <w:color w:val="273444"/>
          <w:sz w:val="17"/>
        </w:rPr>
        <w:t>git pull --ff-only origin main</w:t>
      </w:r>
      <w:r>
        <w:br/>
      </w:r>
      <w:r>
        <w:rPr>
          <w:rFonts w:ascii="Consolas" w:hAnsi="Consolas"/>
          <w:color w:val="273444"/>
          <w:sz w:val="17"/>
        </w:rPr>
        <w:t>git rev-parse HEAD</w:t>
      </w:r>
      <w:r>
        <w:br/>
      </w:r>
      <w:r>
        <w:rPr>
          <w:rFonts w:ascii="Consolas" w:hAnsi="Consolas"/>
          <w:color w:val="273444"/>
          <w:sz w:val="17"/>
        </w:rPr>
        <w:t># Expected for this document: 2f634ab53dbbffcaf1364f33b7c88fe5a2319109</w:t>
      </w:r>
    </w:p>
    <w:p>
      <w:pPr>
        <w:pStyle w:val="Heading2"/>
      </w:pPr>
      <w:r>
        <w:t>Branch and review workflow</w:t>
      </w:r>
    </w:p>
    <w:p>
      <w:pPr>
        <w:numPr>
          <w:ilvl w:val="0"/>
          <w:numId w:val="12"/>
        </w:numPr>
      </w:pPr>
      <w:r>
        <w:rPr>
          <w:rFonts w:ascii="Calibri" w:hAnsi="Calibri"/>
          <w:color w:val="111827"/>
        </w:rPr>
        <w:t>Create or confirm an issue with scope, user impact, acceptance criteria, data/migration impact, and rollback expectation.</w:t>
      </w:r>
    </w:p>
    <w:p>
      <w:pPr>
        <w:numPr>
          <w:ilvl w:val="0"/>
          <w:numId w:val="12"/>
        </w:numPr>
      </w:pPr>
      <w:r>
        <w:rPr>
          <w:rFonts w:ascii="Calibri" w:hAnsi="Calibri"/>
          <w:color w:val="111827"/>
        </w:rPr>
        <w:t>Branch from current main using the codex/ prefix unless the repository's future policy specifies another convention.</w:t>
      </w:r>
    </w:p>
    <w:p>
      <w:pPr>
        <w:numPr>
          <w:ilvl w:val="0"/>
          <w:numId w:val="12"/>
        </w:numPr>
      </w:pPr>
      <w:r>
        <w:rPr>
          <w:rFonts w:ascii="Calibri" w:hAnsi="Calibri"/>
          <w:color w:val="111827"/>
        </w:rPr>
        <w:t>Make the smallest coherent change and preserve unrelated work.</w:t>
      </w:r>
    </w:p>
    <w:p>
      <w:pPr>
        <w:numPr>
          <w:ilvl w:val="0"/>
          <w:numId w:val="12"/>
        </w:numPr>
      </w:pPr>
      <w:r>
        <w:rPr>
          <w:rFonts w:ascii="Calibri" w:hAnsi="Calibri"/>
          <w:color w:val="111827"/>
        </w:rPr>
        <w:t>Add or update tests for visible behavior, permissions, validation, API contract, migrations, and regressions.</w:t>
      </w:r>
    </w:p>
    <w:p>
      <w:pPr>
        <w:numPr>
          <w:ilvl w:val="0"/>
          <w:numId w:val="12"/>
        </w:numPr>
      </w:pPr>
      <w:r>
        <w:rPr>
          <w:rFonts w:ascii="Calibri" w:hAnsi="Calibri"/>
          <w:color w:val="111827"/>
        </w:rPr>
        <w:t>Run the local validation set, inspect the diff, and update the user/product/technical documents when relevant.</w:t>
      </w:r>
    </w:p>
    <w:p>
      <w:pPr>
        <w:numPr>
          <w:ilvl w:val="0"/>
          <w:numId w:val="12"/>
        </w:numPr>
      </w:pPr>
      <w:r>
        <w:rPr>
          <w:rFonts w:ascii="Calibri" w:hAnsi="Calibri"/>
          <w:color w:val="111827"/>
        </w:rPr>
        <w:t>Open a pull request and obtain required review. The engineering manager confirms acceptance criteria and release risk.</w:t>
      </w:r>
    </w:p>
    <w:p>
      <w:pPr>
        <w:numPr>
          <w:ilvl w:val="0"/>
          <w:numId w:val="12"/>
        </w:numPr>
      </w:pPr>
      <w:r>
        <w:rPr>
          <w:rFonts w:ascii="Calibri" w:hAnsi="Calibri"/>
          <w:color w:val="111827"/>
        </w:rPr>
        <w:t>Merge to main only when the release is authorized. Monitor both CI and production deployment workflows.</w:t>
      </w:r>
    </w:p>
    <w:p>
      <w:pPr>
        <w:numPr>
          <w:ilvl w:val="0"/>
          <w:numId w:val="12"/>
        </w:numPr>
      </w:pPr>
      <w:r>
        <w:rPr>
          <w:rFonts w:ascii="Calibri" w:hAnsi="Calibri"/>
          <w:color w:val="111827"/>
        </w:rPr>
        <w:t>Complete read-only live verification and record the deployed commit, health result, and any remaining risk.</w:t>
      </w:r>
    </w:p>
    <w:p>
      <w:pPr>
        <w:spacing w:before="120" w:after="160"/>
        <w:ind w:left="173" w:right="86"/>
        <w:shd w:fill="FFF8E8"/>
        <w:pBdr>
          <w:left w:val="single" w:sz="18" w:space="8" w:color="7A5A00"/>
        </w:pBdr>
      </w:pPr>
      <w:r>
        <w:rPr>
          <w:rFonts w:ascii="Calibri" w:hAnsi="Calibri"/>
          <w:b/>
          <w:color w:val="7A5A00"/>
        </w:rPr>
        <w:t xml:space="preserve">Governance handover item: </w:t>
      </w:r>
      <w:r>
        <w:rPr>
          <w:rFonts w:ascii="Calibri" w:hAnsi="Calibri"/>
          <w:color w:val="111827"/>
        </w:rPr>
        <w:t>Confirm the repository's current branch-protection, required-review, status-check, and administrator-bypass settings in GitHub. Those live settings are not encoded completely in this repository and are not asserted by this guide.</w:t>
      </w:r>
    </w:p>
    <w:p>
      <w:pPr>
        <w:pStyle w:val="Heading1"/>
      </w:pPr>
      <w:r>
        <w:t>6. Local development</w:t>
      </w:r>
    </w:p>
    <w:p>
      <w:pPr>
        <w:pStyle w:val="Heading2"/>
      </w:pPr>
      <w:r>
        <w:t>Native Python setup</w:t>
      </w:r>
    </w:p>
    <w:p>
      <w:pPr>
        <w:spacing w:before="80" w:after="160" w:line="252" w:lineRule="auto"/>
        <w:ind w:left="173" w:right="86"/>
        <w:shd w:fill="F7F8FA"/>
      </w:pPr>
      <w:r>
        <w:rPr>
          <w:rFonts w:ascii="Consolas" w:hAnsi="Consolas"/>
          <w:color w:val="273444"/>
          <w:sz w:val="17"/>
        </w:rPr>
        <w:t>python3 -m venv .venv</w:t>
      </w:r>
      <w:r>
        <w:br/>
      </w:r>
      <w:r>
        <w:rPr>
          <w:rFonts w:ascii="Consolas" w:hAnsi="Consolas"/>
          <w:color w:val="273444"/>
          <w:sz w:val="17"/>
        </w:rPr>
        <w:t>.venv/bin/python -m pip install --upgrade pip</w:t>
      </w:r>
      <w:r>
        <w:br/>
      </w:r>
      <w:r>
        <w:rPr>
          <w:rFonts w:ascii="Consolas" w:hAnsi="Consolas"/>
          <w:color w:val="273444"/>
          <w:sz w:val="17"/>
        </w:rPr>
        <w:t>.venv/bin/pip install -r requirements.lock.txt</w:t>
      </w:r>
      <w:r>
        <w:br/>
      </w:r>
      <w:r>
        <w:rPr>
          <w:rFonts w:ascii="Consolas" w:hAnsi="Consolas"/>
          <w:color w:val="273444"/>
          <w:sz w:val="17"/>
        </w:rPr>
        <w:t>cp .env.example .env</w:t>
      </w:r>
      <w:r>
        <w:br/>
      </w:r>
      <w:r>
        <w:rPr>
          <w:rFonts w:ascii="Consolas" w:hAnsi="Consolas"/>
          <w:color w:val="273444"/>
          <w:sz w:val="17"/>
        </w:rPr>
        <w:t>.venv/bin/python manage.py migrate</w:t>
      </w:r>
      <w:r>
        <w:br/>
      </w:r>
      <w:r>
        <w:rPr>
          <w:rFonts w:ascii="Consolas" w:hAnsi="Consolas"/>
          <w:color w:val="273444"/>
          <w:sz w:val="17"/>
        </w:rPr>
        <w:t>.venv/bin/python manage.py runserver</w:t>
      </w:r>
    </w:p>
    <w:p>
      <w:r>
        <w:rPr>
          <w:rFonts w:ascii="Calibri" w:hAnsi="Calibri"/>
          <w:i w:val="0"/>
          <w:color w:val="111827"/>
        </w:rPr>
        <w:t>Use Python 3.13 for CI parity. The application accepts Python 3.14 in the current production environment, but dependency and test parity should be judged against the checked-in workflow. PostgreSQL gives the closest production behavior; omitting DATABASE_URL selects a local db.sqlite3 fallback.</w:t>
      </w:r>
    </w:p>
    <w:p>
      <w:pPr>
        <w:pStyle w:val="Heading2"/>
      </w:pPr>
      <w:r>
        <w:t>Docker setup</w:t>
      </w:r>
    </w:p>
    <w:p>
      <w:pPr>
        <w:spacing w:before="80" w:after="160" w:line="252" w:lineRule="auto"/>
        <w:ind w:left="173" w:right="86"/>
        <w:shd w:fill="F7F8FA"/>
      </w:pPr>
      <w:r>
        <w:rPr>
          <w:rFonts w:ascii="Consolas" w:hAnsi="Consolas"/>
          <w:color w:val="273444"/>
          <w:sz w:val="17"/>
        </w:rPr>
        <w:t>cp .env.example .env</w:t>
      </w:r>
      <w:r>
        <w:br/>
      </w:r>
      <w:r>
        <w:rPr>
          <w:rFonts w:ascii="Consolas" w:hAnsi="Consolas"/>
          <w:color w:val="273444"/>
          <w:sz w:val="17"/>
        </w:rPr>
        <w:t># Populate local Google OAuth values and SYSTEM_ADMIN_EMAILS.</w:t>
      </w:r>
      <w:r>
        <w:br/>
      </w:r>
      <w:r>
        <w:rPr>
          <w:rFonts w:ascii="Consolas" w:hAnsi="Consolas"/>
          <w:color w:val="273444"/>
          <w:sz w:val="17"/>
        </w:rPr>
        <w:t>docker compose --env-file .env up --build</w:t>
      </w:r>
    </w:p>
    <w:p>
      <w:r>
        <w:rPr>
          <w:rFonts w:ascii="Calibri" w:hAnsi="Calibri"/>
          <w:i w:val="0"/>
          <w:color w:val="111827"/>
        </w:rPr>
        <w:t>For local Google OAuth, configure origin http://localhost:8000 and redirect URI http://localhost:8000/accounts/google/login/callback/. Never reuse production secrets in local files.</w:t>
      </w:r>
    </w:p>
    <w:p>
      <w:pPr>
        <w:pStyle w:val="Heading1"/>
      </w:pPr>
      <w:r>
        <w:t>7. Required engineering validation</w:t>
      </w:r>
    </w:p>
    <w:p>
      <w:pPr>
        <w:spacing w:before="80" w:after="160" w:line="252" w:lineRule="auto"/>
        <w:ind w:left="173" w:right="86"/>
        <w:shd w:fill="F7F8FA"/>
      </w:pPr>
      <w:r>
        <w:rPr>
          <w:rFonts w:ascii="Consolas" w:hAnsi="Consolas"/>
          <w:color w:val="273444"/>
          <w:sz w:val="17"/>
        </w:rPr>
        <w:t>.venv/bin/python manage.py makemigrations --check --dry-run</w:t>
      </w:r>
      <w:r>
        <w:br/>
      </w:r>
      <w:r>
        <w:rPr>
          <w:rFonts w:ascii="Consolas" w:hAnsi="Consolas"/>
          <w:color w:val="273444"/>
          <w:sz w:val="17"/>
        </w:rPr>
        <w:t>.venv/bin/python manage.py check</w:t>
      </w:r>
      <w:r>
        <w:br/>
      </w:r>
      <w:r>
        <w:rPr>
          <w:rFonts w:ascii="Consolas" w:hAnsi="Consolas"/>
          <w:color w:val="273444"/>
          <w:sz w:val="17"/>
        </w:rPr>
        <w:t>.venv/bin/python manage.py test</w:t>
      </w:r>
      <w:r>
        <w:br/>
      </w:r>
      <w:r>
        <w:rPr>
          <w:rFonts w:ascii="Consolas" w:hAnsi="Consolas"/>
          <w:color w:val="273444"/>
          <w:sz w:val="17"/>
        </w:rPr>
        <w:t>.venv/bin/python manage.py collectstatic --noinput</w:t>
      </w:r>
      <w:r>
        <w:br/>
      </w:r>
      <w:r>
        <w:rPr>
          <w:rFonts w:ascii="Consolas" w:hAnsi="Consolas"/>
          <w:color w:val="273444"/>
          <w:sz w:val="17"/>
        </w:rPr>
        <w:t>bash -n deploy.sh deploy/aws/deploy.sh</w:t>
      </w:r>
      <w:r>
        <w:br/>
      </w:r>
      <w:r>
        <w:rPr>
          <w:rFonts w:ascii="Consolas" w:hAnsi="Consolas"/>
          <w:color w:val="273444"/>
          <w:sz w:val="17"/>
        </w:rPr>
        <w:t>docker build --tag flexgcc-outreach:local .</w:t>
      </w:r>
      <w:r>
        <w:br/>
      </w:r>
      <w:r>
        <w:rPr>
          <w:rFonts w:ascii="Consolas" w:hAnsi="Consolas"/>
          <w:color w:val="273444"/>
          <w:sz w:val="17"/>
        </w:rPr>
        <w:t>git diff --check</w:t>
      </w:r>
    </w:p>
    <w:p>
      <w:r>
        <w:rPr>
          <w:rFonts w:ascii="Calibri" w:hAnsi="Calibri"/>
          <w:i w:val="0"/>
          <w:color w:val="111827"/>
        </w:rPr>
        <w:t>The baseline repository contains 102 Django test methods. A documentation-only change does not alter that count; code changes should add tests proportional to their behavior and risk.</w:t>
      </w:r>
    </w:p>
    <w:p>
      <w:pPr>
        <w:pStyle w:val="Heading2"/>
      </w:pPr>
      <w:r>
        <w:t>Production security check</w:t>
      </w:r>
    </w:p>
    <w:p>
      <w:pPr>
        <w:spacing w:before="80" w:after="160" w:line="252" w:lineRule="auto"/>
        <w:ind w:left="173" w:right="86"/>
        <w:shd w:fill="F7F8FA"/>
      </w:pPr>
      <w:r>
        <w:rPr>
          <w:rFonts w:ascii="Consolas" w:hAnsi="Consolas"/>
          <w:color w:val="273444"/>
          <w:sz w:val="17"/>
        </w:rPr>
        <w:t>DJANGO_DEBUG=False \</w:t>
      </w:r>
      <w:r>
        <w:br/>
      </w:r>
      <w:r>
        <w:rPr>
          <w:rFonts w:ascii="Consolas" w:hAnsi="Consolas"/>
          <w:color w:val="273444"/>
          <w:sz w:val="17"/>
        </w:rPr>
        <w:t>DJANGO_SECRET_KEY=local-ci-only-long-secret-not-used-at-runtime \</w:t>
      </w:r>
      <w:r>
        <w:br/>
      </w:r>
      <w:r>
        <w:rPr>
          <w:rFonts w:ascii="Consolas" w:hAnsi="Consolas"/>
          <w:color w:val="273444"/>
          <w:sz w:val="17"/>
        </w:rPr>
        <w:t>DJANGO_ALLOWED_HOSTS=outreach.example.com \</w:t>
      </w:r>
      <w:r>
        <w:br/>
      </w:r>
      <w:r>
        <w:rPr>
          <w:rFonts w:ascii="Consolas" w:hAnsi="Consolas"/>
          <w:color w:val="273444"/>
          <w:sz w:val="17"/>
        </w:rPr>
        <w:t>DJANGO_CSRF_TRUSTED_ORIGINS=https://outreach.example.com \</w:t>
      </w:r>
      <w:r>
        <w:br/>
      </w:r>
      <w:r>
        <w:rPr>
          <w:rFonts w:ascii="Consolas" w:hAnsi="Consolas"/>
          <w:color w:val="273444"/>
          <w:sz w:val="17"/>
        </w:rPr>
        <w:t>DJANGO_SECURE_SSL_REDIRECT=True \</w:t>
      </w:r>
      <w:r>
        <w:br/>
      </w:r>
      <w:r>
        <w:rPr>
          <w:rFonts w:ascii="Consolas" w:hAnsi="Consolas"/>
          <w:color w:val="273444"/>
          <w:sz w:val="17"/>
        </w:rPr>
        <w:t>.venv/bin/python manage.py check --deploy --fail-level ERROR</w:t>
      </w:r>
    </w:p>
    <w:p>
      <w:pPr>
        <w:spacing w:before="120" w:after="160"/>
        <w:ind w:left="173" w:right="86"/>
        <w:shd w:fill="FDECEC"/>
        <w:pBdr>
          <w:left w:val="single" w:sz="18" w:space="8" w:color="9B1C1C"/>
        </w:pBdr>
      </w:pPr>
      <w:r>
        <w:rPr>
          <w:rFonts w:ascii="Calibri" w:hAnsi="Calibri"/>
          <w:b/>
          <w:color w:val="9B1C1C"/>
        </w:rPr>
        <w:t xml:space="preserve">Database safety: </w:t>
      </w:r>
      <w:r>
        <w:rPr>
          <w:rFonts w:ascii="Calibri" w:hAnsi="Calibri"/>
          <w:color w:val="111827"/>
        </w:rPr>
        <w:t>Before running tests, confirm whether DATABASE_URL is set. Django tests create and destroy a test database, but an unexpected environment can still point management commands at the wrong database. Never run exploratory or destructive commands against production.</w:t>
      </w:r>
    </w:p>
    <w:p>
      <w:pPr>
        <w:pStyle w:val="Heading1"/>
      </w:pPr>
      <w:r>
        <w:t>8. CI pipeline</w:t>
      </w:r>
    </w:p>
    <w:p>
      <w:r>
        <w:rPr>
          <w:rFonts w:ascii="Calibri" w:hAnsi="Calibri"/>
          <w:i w:val="0"/>
          <w:color w:val="111827"/>
        </w:rPr>
        <w:t>The CI workflow runs for pull requests and pushes to main on an Ubuntu runner with Python 3.13. It has read-only repository content permission.</w:t>
      </w:r>
    </w:p>
    <w:p>
      <w:pPr>
        <w:numPr>
          <w:ilvl w:val="0"/>
          <w:numId w:val="13"/>
        </w:numPr>
      </w:pPr>
      <w:r>
        <w:rPr>
          <w:rFonts w:ascii="Calibri" w:hAnsi="Calibri"/>
          <w:color w:val="111827"/>
        </w:rPr>
        <w:t>Check out the commit and install requirements.lock.txt.</w:t>
      </w:r>
    </w:p>
    <w:p>
      <w:pPr>
        <w:numPr>
          <w:ilvl w:val="0"/>
          <w:numId w:val="13"/>
        </w:numPr>
      </w:pPr>
      <w:r>
        <w:rPr>
          <w:rFonts w:ascii="Calibri" w:hAnsi="Calibri"/>
          <w:color w:val="111827"/>
        </w:rPr>
        <w:t>Fail if model changes lack committed migrations.</w:t>
      </w:r>
    </w:p>
    <w:p>
      <w:pPr>
        <w:numPr>
          <w:ilvl w:val="0"/>
          <w:numId w:val="13"/>
        </w:numPr>
      </w:pPr>
      <w:r>
        <w:rPr>
          <w:rFonts w:ascii="Calibri" w:hAnsi="Calibri"/>
          <w:color w:val="111827"/>
        </w:rPr>
        <w:t>Run Django application checks.</w:t>
      </w:r>
    </w:p>
    <w:p>
      <w:pPr>
        <w:numPr>
          <w:ilvl w:val="0"/>
          <w:numId w:val="13"/>
        </w:numPr>
      </w:pPr>
      <w:r>
        <w:rPr>
          <w:rFonts w:ascii="Calibri" w:hAnsi="Calibri"/>
          <w:color w:val="111827"/>
        </w:rPr>
        <w:t>Syntax-check deploy.sh and deploy/aws/deploy.sh.</w:t>
      </w:r>
    </w:p>
    <w:p>
      <w:pPr>
        <w:numPr>
          <w:ilvl w:val="0"/>
          <w:numId w:val="13"/>
        </w:numPr>
      </w:pPr>
      <w:r>
        <w:rPr>
          <w:rFonts w:ascii="Calibri" w:hAnsi="Calibri"/>
          <w:color w:val="111827"/>
        </w:rPr>
        <w:t>Run the full Django test suite.</w:t>
      </w:r>
    </w:p>
    <w:p>
      <w:pPr>
        <w:numPr>
          <w:ilvl w:val="0"/>
          <w:numId w:val="13"/>
        </w:numPr>
      </w:pPr>
      <w:r>
        <w:rPr>
          <w:rFonts w:ascii="Calibri" w:hAnsi="Calibri"/>
          <w:color w:val="111827"/>
        </w:rPr>
        <w:t>Run Django's production deployment checks at fail level ERROR.</w:t>
      </w:r>
    </w:p>
    <w:p>
      <w:pPr>
        <w:numPr>
          <w:ilvl w:val="0"/>
          <w:numId w:val="13"/>
        </w:numPr>
      </w:pPr>
      <w:r>
        <w:rPr>
          <w:rFonts w:ascii="Calibri" w:hAnsi="Calibri"/>
          <w:color w:val="111827"/>
        </w:rPr>
        <w:t>Collect static assets.</w:t>
      </w:r>
    </w:p>
    <w:p>
      <w:pPr>
        <w:numPr>
          <w:ilvl w:val="0"/>
          <w:numId w:val="13"/>
        </w:numPr>
      </w:pPr>
      <w:r>
        <w:rPr>
          <w:rFonts w:ascii="Calibri" w:hAnsi="Calibri"/>
          <w:color w:val="111827"/>
        </w:rPr>
        <w:t>Build the production Docker image as a packaging check.</w:t>
      </w:r>
    </w:p>
    <w:p>
      <w:pPr>
        <w:spacing w:before="120" w:after="160"/>
        <w:ind w:left="173" w:right="86"/>
        <w:shd w:fill="FFF8E8"/>
        <w:pBdr>
          <w:left w:val="single" w:sz="18" w:space="8" w:color="7A5A00"/>
        </w:pBdr>
      </w:pPr>
      <w:r>
        <w:rPr>
          <w:rFonts w:ascii="Calibri" w:hAnsi="Calibri"/>
          <w:b/>
          <w:color w:val="7A5A00"/>
        </w:rPr>
        <w:t xml:space="preserve">Release observation: </w:t>
      </w:r>
      <w:r>
        <w:rPr>
          <w:rFonts w:ascii="Calibri" w:hAnsi="Calibri"/>
          <w:color w:val="111827"/>
        </w:rPr>
        <w:t>CI and the current production deploy are separate workflows triggered by a push to main. The release owner must monitor both; do not treat one successful workflow as proof that the other completed.</w:t>
      </w:r>
    </w:p>
    <w:p>
      <w:pPr>
        <w:pStyle w:val="Heading1"/>
      </w:pPr>
      <w:r>
        <w:t>9. Current production deployment</w:t>
      </w:r>
    </w:p>
    <w:p>
      <w:pPr>
        <w:pStyle w:val="Heading2"/>
      </w:pPr>
      <w:r>
        <w:t>Live path</w:t>
      </w:r>
    </w:p>
    <w:tbl>
      <w:tblPr>
        <w:tblStyle w:val="TableGrid"/>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700"/>
        <w:gridCol w:w="6660"/>
      </w:tblGrid>
      <w:tr>
        <w:trPr>
          <w:tblHeader w:val="true"/>
          <w:cantSplit/>
        </w:trPr>
        <w:tc>
          <w:tcPr>
            <w:tcW w:type="dxa" w:w="2700"/>
            <w:vAlign w:val="center"/>
            <w:shd w:fill="E8EEF5"/>
            <w:tcMar>
              <w:top w:w="80" w:type="dxa"/>
              <w:start w:w="120" w:type="dxa"/>
              <w:bottom w:w="80" w:type="dxa"/>
              <w:end w:w="120" w:type="dxa"/>
            </w:tcMar>
          </w:tcPr>
          <w:p>
            <w:pPr>
              <w:spacing w:before="0" w:after="0" w:line="264" w:lineRule="auto"/>
            </w:pPr>
            <w:r>
              <w:rPr>
                <w:rFonts w:ascii="Calibri" w:hAnsi="Calibri"/>
                <w:b/>
                <w:color w:val="0B2545"/>
                <w:sz w:val="18"/>
              </w:rPr>
              <w:t>Component</w:t>
            </w:r>
          </w:p>
        </w:tc>
        <w:tc>
          <w:tcPr>
            <w:tcW w:type="dxa" w:w="6660"/>
            <w:vAlign w:val="center"/>
            <w:shd w:fill="E8EEF5"/>
            <w:tcMar>
              <w:top w:w="80" w:type="dxa"/>
              <w:start w:w="120" w:type="dxa"/>
              <w:bottom w:w="80" w:type="dxa"/>
              <w:end w:w="120" w:type="dxa"/>
            </w:tcMar>
          </w:tcPr>
          <w:p>
            <w:pPr>
              <w:spacing w:before="0" w:after="0" w:line="264" w:lineRule="auto"/>
            </w:pPr>
            <w:r>
              <w:rPr>
                <w:rFonts w:ascii="Calibri" w:hAnsi="Calibri"/>
                <w:b/>
                <w:color w:val="0B2545"/>
                <w:sz w:val="18"/>
              </w:rPr>
              <w:t>Checked-in production value</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8"/>
              </w:rPr>
              <w:t>Workflow</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8"/>
              </w:rPr>
              <w:t>.github/workflows/deploy-production.yml — Deploy LeadGen to AWS EC2</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8"/>
              </w:rPr>
              <w:t>Trigger</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8"/>
              </w:rPr>
              <w:t>Push to main or manual workflow dispatch</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8"/>
              </w:rPr>
              <w:t>GitHub secrets</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8"/>
              </w:rPr>
              <w:t>EC2_SSH and EC2_IP</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8"/>
              </w:rPr>
              <w:t>SSH user</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8"/>
              </w:rPr>
              <w:t>ubuntu</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8"/>
              </w:rPr>
              <w:t>Application directory</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8"/>
              </w:rPr>
              <w:t>/var/www/leadgen</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8"/>
              </w:rPr>
              <w:t>Repository checkout</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8"/>
              </w:rPr>
              <w:t>/var/www/leadgen/repo</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8"/>
              </w:rPr>
              <w:t>Python virtualenv</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8"/>
              </w:rPr>
              <w:t>/var/www/leadgen/venv</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8"/>
              </w:rPr>
              <w:t>Protected environment file</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8"/>
              </w:rPr>
              <w:t>/var/www/leadgen/repo/.env</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8"/>
              </w:rPr>
              <w:t>Systemd service</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8"/>
              </w:rPr>
              <w:t>leadgen</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8"/>
              </w:rPr>
              <w:t>Gunicorn socket</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8"/>
              </w:rPr>
              <w:t>/run/leadgen/leadgen.sock</w:t>
            </w:r>
          </w:p>
        </w:tc>
      </w:tr>
      <w:tr>
        <w:trPr>
          <w:cantSplit/>
        </w:trPr>
        <w:tc>
          <w:tcPr>
            <w:tcW w:type="dxa" w:w="2700"/>
            <w:vAlign w:val="center"/>
            <w:tcMar>
              <w:top w:w="80" w:type="dxa"/>
              <w:start w:w="120" w:type="dxa"/>
              <w:bottom w:w="80" w:type="dxa"/>
              <w:end w:w="120" w:type="dxa"/>
            </w:tcMar>
          </w:tcPr>
          <w:p>
            <w:pPr>
              <w:spacing w:before="0" w:after="0" w:line="264" w:lineRule="auto"/>
            </w:pPr>
            <w:r>
              <w:rPr>
                <w:rFonts w:ascii="Calibri" w:hAnsi="Calibri"/>
                <w:color w:val="111827"/>
                <w:sz w:val="18"/>
              </w:rPr>
              <w:t>Public domain</w:t>
            </w:r>
          </w:p>
        </w:tc>
        <w:tc>
          <w:tcPr>
            <w:tcW w:type="dxa" w:w="6660"/>
            <w:vAlign w:val="center"/>
            <w:tcMar>
              <w:top w:w="80" w:type="dxa"/>
              <w:start w:w="120" w:type="dxa"/>
              <w:bottom w:w="80" w:type="dxa"/>
              <w:end w:w="120" w:type="dxa"/>
            </w:tcMar>
          </w:tcPr>
          <w:p>
            <w:pPr>
              <w:spacing w:before="0" w:after="0" w:line="264" w:lineRule="auto"/>
            </w:pPr>
            <w:r>
              <w:rPr>
                <w:rFonts w:ascii="Calibri" w:hAnsi="Calibri"/>
                <w:color w:val="111827"/>
                <w:sz w:val="18"/>
              </w:rPr>
              <w:t>leadgen.flexgcc.com</w:t>
            </w:r>
          </w:p>
        </w:tc>
      </w:tr>
    </w:tbl>
    <w:p>
      <w:pPr>
        <w:spacing w:before="0" w:after="20"/>
      </w:pPr>
    </w:p>
    <w:p>
      <w:pPr>
        <w:pStyle w:val="Heading2"/>
      </w:pPr>
      <w:r>
        <w:t>Deployment sequence</w:t>
      </w:r>
    </w:p>
    <w:p>
      <w:pPr>
        <w:numPr>
          <w:ilvl w:val="0"/>
          <w:numId w:val="14"/>
        </w:numPr>
      </w:pPr>
      <w:r>
        <w:rPr>
          <w:rFonts w:ascii="Calibri" w:hAnsi="Calibri"/>
          <w:color w:val="111827"/>
        </w:rPr>
        <w:t>Configure an ephemeral SSH key from GitHub secrets and test EC2 connectivity.</w:t>
      </w:r>
    </w:p>
    <w:p>
      <w:pPr>
        <w:numPr>
          <w:ilvl w:val="0"/>
          <w:numId w:val="14"/>
        </w:numPr>
      </w:pPr>
      <w:r>
        <w:rPr>
          <w:rFonts w:ascii="Calibri" w:hAnsi="Calibri"/>
          <w:color w:val="111827"/>
        </w:rPr>
        <w:t>Validate that the Git checkout, protected .env, and virtualenv Python exist.</w:t>
      </w:r>
    </w:p>
    <w:p>
      <w:pPr>
        <w:numPr>
          <w:ilvl w:val="0"/>
          <w:numId w:val="14"/>
        </w:numPr>
      </w:pPr>
      <w:r>
        <w:rPr>
          <w:rFonts w:ascii="Calibri" w:hAnsi="Calibri"/>
          <w:color w:val="111827"/>
        </w:rPr>
        <w:t>Fetch origin/main, check out main, hard-reset to origin/main, and clean untracked files while preserving .env, media, and staticfiles.</w:t>
      </w:r>
    </w:p>
    <w:p>
      <w:pPr>
        <w:numPr>
          <w:ilvl w:val="0"/>
          <w:numId w:val="14"/>
        </w:numPr>
      </w:pPr>
      <w:r>
        <w:rPr>
          <w:rFonts w:ascii="Calibri" w:hAnsi="Calibri"/>
          <w:color w:val="111827"/>
        </w:rPr>
        <w:t>Load .env and refuse a missing/non-PostgreSQL DATABASE_URL. Correct a non-false DJANGO_DEBUG value in the protected environment.</w:t>
      </w:r>
    </w:p>
    <w:p>
      <w:pPr>
        <w:numPr>
          <w:ilvl w:val="0"/>
          <w:numId w:val="14"/>
        </w:numPr>
      </w:pPr>
      <w:r>
        <w:rPr>
          <w:rFonts w:ascii="Calibri" w:hAnsi="Calibri"/>
          <w:color w:val="111827"/>
        </w:rPr>
        <w:t>Upgrade packaging tools and install pinned dependencies from requirements.lock.txt.</w:t>
      </w:r>
    </w:p>
    <w:p>
      <w:pPr>
        <w:numPr>
          <w:ilvl w:val="0"/>
          <w:numId w:val="14"/>
        </w:numPr>
      </w:pPr>
      <w:r>
        <w:rPr>
          <w:rFonts w:ascii="Calibri" w:hAnsi="Calibri"/>
          <w:color w:val="111827"/>
        </w:rPr>
        <w:t>Run Django check and the missing-migration check.</w:t>
      </w:r>
    </w:p>
    <w:p>
      <w:pPr>
        <w:numPr>
          <w:ilvl w:val="0"/>
          <w:numId w:val="14"/>
        </w:numPr>
      </w:pPr>
      <w:r>
        <w:rPr>
          <w:rFonts w:ascii="Calibri" w:hAnsi="Calibri"/>
          <w:color w:val="111827"/>
        </w:rPr>
        <w:t>Print the migration plan and apply migrations non-interactively.</w:t>
      </w:r>
    </w:p>
    <w:p>
      <w:pPr>
        <w:numPr>
          <w:ilvl w:val="0"/>
          <w:numId w:val="14"/>
        </w:numPr>
      </w:pPr>
      <w:r>
        <w:rPr>
          <w:rFonts w:ascii="Calibri" w:hAnsi="Calibri"/>
          <w:color w:val="111827"/>
        </w:rPr>
        <w:t>Collect static files and run production deployment checks.</w:t>
      </w:r>
    </w:p>
    <w:p>
      <w:pPr>
        <w:numPr>
          <w:ilvl w:val="0"/>
          <w:numId w:val="14"/>
        </w:numPr>
      </w:pPr>
      <w:r>
        <w:rPr>
          <w:rFonts w:ascii="Calibri" w:hAnsi="Calibri"/>
          <w:color w:val="111827"/>
        </w:rPr>
        <w:t>Set application ownership and static/media permissions.</w:t>
      </w:r>
    </w:p>
    <w:p>
      <w:pPr>
        <w:numPr>
          <w:ilvl w:val="0"/>
          <w:numId w:val="14"/>
        </w:numPr>
      </w:pPr>
      <w:r>
        <w:rPr>
          <w:rFonts w:ascii="Calibri" w:hAnsi="Calibri"/>
          <w:color w:val="111827"/>
        </w:rPr>
        <w:t>Restart and verify the leadgen systemd service and Gunicorn Unix socket.</w:t>
      </w:r>
    </w:p>
    <w:p>
      <w:pPr>
        <w:numPr>
          <w:ilvl w:val="0"/>
          <w:numId w:val="14"/>
        </w:numPr>
      </w:pPr>
      <w:r>
        <w:rPr>
          <w:rFonts w:ascii="Calibri" w:hAnsi="Calibri"/>
          <w:color w:val="111827"/>
        </w:rPr>
        <w:t>Check Django through the socket, validate/reload Nginx, then verify local Nginx and public HTTPS health.</w:t>
      </w:r>
    </w:p>
    <w:p>
      <w:pPr>
        <w:spacing w:before="120" w:after="160"/>
        <w:ind w:left="173" w:right="86"/>
        <w:shd w:fill="FFF8E8"/>
        <w:pBdr>
          <w:left w:val="single" w:sz="18" w:space="8" w:color="7A5A00"/>
        </w:pBdr>
      </w:pPr>
      <w:r>
        <w:rPr>
          <w:rFonts w:ascii="Calibri" w:hAnsi="Calibri"/>
          <w:b/>
          <w:color w:val="7A5A00"/>
        </w:rPr>
        <w:t xml:space="preserve">Important: </w:t>
      </w:r>
      <w:r>
        <w:rPr>
          <w:rFonts w:ascii="Calibri" w:hAnsi="Calibri"/>
          <w:color w:val="111827"/>
        </w:rPr>
        <w:t>Do not place local documentation builds, virtualenvs, databases, or QA artifacts in the production checkout. The deploy workflow intentionally removes untracked files except its protected runtime directories.</w:t>
      </w:r>
    </w:p>
    <w:p>
      <w:pPr>
        <w:pStyle w:val="Heading1"/>
      </w:pPr>
      <w:r>
        <w:t>10. Alternate deployment assets</w:t>
      </w:r>
    </w:p>
    <w:p>
      <w:r>
        <w:rPr>
          <w:rFonts w:ascii="Calibri" w:hAnsi="Calibri"/>
          <w:i w:val="0"/>
          <w:color w:val="111827"/>
        </w:rPr>
        <w:t>The repository also contains .github/workflows/deploy-aws.yml and deploy/aws/. That path builds an immutable Docker image, pushes it to ECR, and deploys through AWS Systems Manager using OIDC. Its job runs only when AWS_REGION, AWS_ROLE_ARN, ECR_REPOSITORY, and EC2_INSTANCE_ID repository variables are populated.</w:t>
      </w:r>
    </w:p>
    <w:p>
      <w:pPr>
        <w:spacing w:before="120" w:after="160"/>
        <w:ind w:left="173" w:right="86"/>
        <w:shd w:fill="FDECEC"/>
        <w:pBdr>
          <w:left w:val="single" w:sz="18" w:space="8" w:color="9B1C1C"/>
        </w:pBdr>
      </w:pPr>
      <w:r>
        <w:rPr>
          <w:rFonts w:ascii="Calibri" w:hAnsi="Calibri"/>
          <w:b/>
          <w:color w:val="9B1C1C"/>
        </w:rPr>
        <w:t xml:space="preserve">Do not confuse the paths: </w:t>
      </w:r>
      <w:r>
        <w:rPr>
          <w:rFonts w:ascii="Calibri" w:hAnsi="Calibri"/>
          <w:color w:val="111827"/>
        </w:rPr>
        <w:t>At this baseline, deploy-production.yml is the documented current live pipeline. Treat deploy-aws.yml and deploy/aws/ as an alternate reference architecture unless the incoming administrator verifies that production ownership has intentionally moved to it.</w:t>
      </w:r>
    </w:p>
    <w:p>
      <w:r>
        <w:rPr>
          <w:rFonts w:ascii="Calibri" w:hAnsi="Calibri"/>
          <w:i w:val="0"/>
          <w:color w:val="111827"/>
        </w:rPr>
        <w:t>A generic native virtualenv runbook also exists under deploy/venv/. Its example /opt paths and service names are reference values. For the current live environment, use the /var/www/leadgen paths and leadgen service encoded in deploy-production.yml.</w:t>
      </w:r>
    </w:p>
    <w:p>
      <w:pPr>
        <w:pStyle w:val="Heading1"/>
      </w:pPr>
      <w:r>
        <w:t>11. Runtime configuration</w:t>
      </w:r>
    </w:p>
    <w:tbl>
      <w:tblPr>
        <w:tblStyle w:val="TableGrid"/>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3400"/>
        <w:gridCol w:w="5960"/>
      </w:tblGrid>
      <w:tr>
        <w:trPr>
          <w:tblHeader w:val="true"/>
          <w:cantSplit/>
        </w:trPr>
        <w:tc>
          <w:tcPr>
            <w:tcW w:type="dxa" w:w="3400"/>
            <w:vAlign w:val="center"/>
            <w:shd w:fill="E8EEF5"/>
            <w:tcMar>
              <w:top w:w="80" w:type="dxa"/>
              <w:start w:w="120" w:type="dxa"/>
              <w:bottom w:w="80" w:type="dxa"/>
              <w:end w:w="120" w:type="dxa"/>
            </w:tcMar>
          </w:tcPr>
          <w:p>
            <w:pPr>
              <w:spacing w:before="0" w:after="0" w:line="264" w:lineRule="auto"/>
            </w:pPr>
            <w:r>
              <w:rPr>
                <w:rFonts w:ascii="Calibri" w:hAnsi="Calibri"/>
                <w:b/>
                <w:color w:val="0B2545"/>
                <w:sz w:val="16"/>
              </w:rPr>
              <w:t>Variable</w:t>
            </w:r>
          </w:p>
        </w:tc>
        <w:tc>
          <w:tcPr>
            <w:tcW w:type="dxa" w:w="5960"/>
            <w:vAlign w:val="center"/>
            <w:shd w:fill="E8EEF5"/>
            <w:tcMar>
              <w:top w:w="80" w:type="dxa"/>
              <w:start w:w="120" w:type="dxa"/>
              <w:bottom w:w="80" w:type="dxa"/>
              <w:end w:w="120" w:type="dxa"/>
            </w:tcMar>
          </w:tcPr>
          <w:p>
            <w:pPr>
              <w:spacing w:before="0" w:after="0" w:line="264" w:lineRule="auto"/>
            </w:pPr>
            <w:r>
              <w:rPr>
                <w:rFonts w:ascii="Calibri" w:hAnsi="Calibri"/>
                <w:b/>
                <w:color w:val="0B2545"/>
                <w:sz w:val="16"/>
              </w:rPr>
              <w:t>Purpose / production expectation</w:t>
            </w:r>
          </w:p>
        </w:tc>
      </w:tr>
      <w:tr>
        <w:trPr>
          <w:cantSplit/>
        </w:trPr>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6"/>
              </w:rPr>
              <w:t>DJANGO_DEBUG</w:t>
            </w:r>
          </w:p>
        </w:tc>
        <w:tc>
          <w:tcPr>
            <w:tcW w:type="dxa" w:w="5960"/>
            <w:vAlign w:val="center"/>
            <w:tcMar>
              <w:top w:w="80" w:type="dxa"/>
              <w:start w:w="120" w:type="dxa"/>
              <w:bottom w:w="80" w:type="dxa"/>
              <w:end w:w="120" w:type="dxa"/>
            </w:tcMar>
          </w:tcPr>
          <w:p>
            <w:pPr>
              <w:spacing w:before="0" w:after="0" w:line="264" w:lineRule="auto"/>
            </w:pPr>
            <w:r>
              <w:rPr>
                <w:rFonts w:ascii="Calibri" w:hAnsi="Calibri"/>
                <w:color w:val="111827"/>
                <w:sz w:val="16"/>
              </w:rPr>
              <w:t>False in production.</w:t>
            </w:r>
          </w:p>
        </w:tc>
      </w:tr>
      <w:tr>
        <w:trPr>
          <w:cantSplit/>
        </w:trPr>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6"/>
              </w:rPr>
              <w:t>DJANGO_SECRET_KEY</w:t>
            </w:r>
          </w:p>
        </w:tc>
        <w:tc>
          <w:tcPr>
            <w:tcW w:type="dxa" w:w="5960"/>
            <w:vAlign w:val="center"/>
            <w:tcMar>
              <w:top w:w="80" w:type="dxa"/>
              <w:start w:w="120" w:type="dxa"/>
              <w:bottom w:w="80" w:type="dxa"/>
              <w:end w:w="120" w:type="dxa"/>
            </w:tcMar>
          </w:tcPr>
          <w:p>
            <w:pPr>
              <w:spacing w:before="0" w:after="0" w:line="264" w:lineRule="auto"/>
            </w:pPr>
            <w:r>
              <w:rPr>
                <w:rFonts w:ascii="Calibri" w:hAnsi="Calibri"/>
                <w:color w:val="111827"/>
                <w:sz w:val="16"/>
              </w:rPr>
              <w:t>Long secret; required when DEBUG is false.</w:t>
            </w:r>
          </w:p>
        </w:tc>
      </w:tr>
      <w:tr>
        <w:trPr>
          <w:cantSplit/>
        </w:trPr>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6"/>
              </w:rPr>
              <w:t>DJANGO_ALLOWED_HOSTS</w:t>
            </w:r>
          </w:p>
        </w:tc>
        <w:tc>
          <w:tcPr>
            <w:tcW w:type="dxa" w:w="5960"/>
            <w:vAlign w:val="center"/>
            <w:tcMar>
              <w:top w:w="80" w:type="dxa"/>
              <w:start w:w="120" w:type="dxa"/>
              <w:bottom w:w="80" w:type="dxa"/>
              <w:end w:w="120" w:type="dxa"/>
            </w:tcMar>
          </w:tcPr>
          <w:p>
            <w:pPr>
              <w:spacing w:before="0" w:after="0" w:line="264" w:lineRule="auto"/>
            </w:pPr>
            <w:r>
              <w:rPr>
                <w:rFonts w:ascii="Calibri" w:hAnsi="Calibri"/>
                <w:color w:val="111827"/>
                <w:sz w:val="16"/>
              </w:rPr>
              <w:t>Approved hostnames, including leadgen.flexgcc.com.</w:t>
            </w:r>
          </w:p>
        </w:tc>
      </w:tr>
      <w:tr>
        <w:trPr>
          <w:cantSplit/>
        </w:trPr>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6"/>
              </w:rPr>
              <w:t>DJANGO_CSRF_TRUSTED_ORIGINS</w:t>
            </w:r>
          </w:p>
        </w:tc>
        <w:tc>
          <w:tcPr>
            <w:tcW w:type="dxa" w:w="5960"/>
            <w:vAlign w:val="center"/>
            <w:tcMar>
              <w:top w:w="80" w:type="dxa"/>
              <w:start w:w="120" w:type="dxa"/>
              <w:bottom w:w="80" w:type="dxa"/>
              <w:end w:w="120" w:type="dxa"/>
            </w:tcMar>
          </w:tcPr>
          <w:p>
            <w:pPr>
              <w:spacing w:before="0" w:after="0" w:line="264" w:lineRule="auto"/>
            </w:pPr>
            <w:r>
              <w:rPr>
                <w:rFonts w:ascii="Calibri" w:hAnsi="Calibri"/>
                <w:color w:val="111827"/>
                <w:sz w:val="16"/>
              </w:rPr>
              <w:t>Approved HTTPS origins.</w:t>
            </w:r>
          </w:p>
        </w:tc>
      </w:tr>
      <w:tr>
        <w:trPr>
          <w:cantSplit/>
        </w:trPr>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6"/>
              </w:rPr>
              <w:t>DJANGO_TIME_ZONE</w:t>
            </w:r>
          </w:p>
        </w:tc>
        <w:tc>
          <w:tcPr>
            <w:tcW w:type="dxa" w:w="5960"/>
            <w:vAlign w:val="center"/>
            <w:tcMar>
              <w:top w:w="80" w:type="dxa"/>
              <w:start w:w="120" w:type="dxa"/>
              <w:bottom w:w="80" w:type="dxa"/>
              <w:end w:w="120" w:type="dxa"/>
            </w:tcMar>
          </w:tcPr>
          <w:p>
            <w:pPr>
              <w:spacing w:before="0" w:after="0" w:line="264" w:lineRule="auto"/>
            </w:pPr>
            <w:r>
              <w:rPr>
                <w:rFonts w:ascii="Calibri" w:hAnsi="Calibri"/>
                <w:color w:val="111827"/>
                <w:sz w:val="16"/>
              </w:rPr>
              <w:t>Defaults to Asia/Kolkata.</w:t>
            </w:r>
          </w:p>
        </w:tc>
      </w:tr>
      <w:tr>
        <w:trPr>
          <w:cantSplit/>
        </w:trPr>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6"/>
              </w:rPr>
              <w:t>DJANGO_SECURE_SSL_REDIRECT / HSTS</w:t>
            </w:r>
          </w:p>
        </w:tc>
        <w:tc>
          <w:tcPr>
            <w:tcW w:type="dxa" w:w="5960"/>
            <w:vAlign w:val="center"/>
            <w:tcMar>
              <w:top w:w="80" w:type="dxa"/>
              <w:start w:w="120" w:type="dxa"/>
              <w:bottom w:w="80" w:type="dxa"/>
              <w:end w:w="120" w:type="dxa"/>
            </w:tcMar>
          </w:tcPr>
          <w:p>
            <w:pPr>
              <w:spacing w:before="0" w:after="0" w:line="264" w:lineRule="auto"/>
            </w:pPr>
            <w:r>
              <w:rPr>
                <w:rFonts w:ascii="Calibri" w:hAnsi="Calibri"/>
                <w:color w:val="111827"/>
                <w:sz w:val="16"/>
              </w:rPr>
              <w:t>Production HTTPS and HSTS behavior.</w:t>
            </w:r>
          </w:p>
        </w:tc>
      </w:tr>
      <w:tr>
        <w:trPr>
          <w:cantSplit/>
        </w:trPr>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6"/>
              </w:rPr>
              <w:t>DJANGO_LOG_LEVEL</w:t>
            </w:r>
          </w:p>
        </w:tc>
        <w:tc>
          <w:tcPr>
            <w:tcW w:type="dxa" w:w="5960"/>
            <w:vAlign w:val="center"/>
            <w:tcMar>
              <w:top w:w="80" w:type="dxa"/>
              <w:start w:w="120" w:type="dxa"/>
              <w:bottom w:w="80" w:type="dxa"/>
              <w:end w:w="120" w:type="dxa"/>
            </w:tcMar>
          </w:tcPr>
          <w:p>
            <w:pPr>
              <w:spacing w:before="0" w:after="0" w:line="264" w:lineRule="auto"/>
            </w:pPr>
            <w:r>
              <w:rPr>
                <w:rFonts w:ascii="Calibri" w:hAnsi="Calibri"/>
                <w:color w:val="111827"/>
                <w:sz w:val="16"/>
              </w:rPr>
              <w:t>Console logging level; defaults to INFO.</w:t>
            </w:r>
          </w:p>
        </w:tc>
      </w:tr>
      <w:tr>
        <w:trPr>
          <w:cantSplit/>
        </w:trPr>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6"/>
              </w:rPr>
              <w:t>DATABASE_URL</w:t>
            </w:r>
          </w:p>
        </w:tc>
        <w:tc>
          <w:tcPr>
            <w:tcW w:type="dxa" w:w="5960"/>
            <w:vAlign w:val="center"/>
            <w:tcMar>
              <w:top w:w="80" w:type="dxa"/>
              <w:start w:w="120" w:type="dxa"/>
              <w:bottom w:w="80" w:type="dxa"/>
              <w:end w:w="120" w:type="dxa"/>
            </w:tcMar>
          </w:tcPr>
          <w:p>
            <w:pPr>
              <w:spacing w:before="0" w:after="0" w:line="264" w:lineRule="auto"/>
            </w:pPr>
            <w:r>
              <w:rPr>
                <w:rFonts w:ascii="Calibri" w:hAnsi="Calibri"/>
                <w:color w:val="111827"/>
                <w:sz w:val="16"/>
              </w:rPr>
              <w:t>Production PostgreSQL URL; special characters must be URL-encoded.</w:t>
            </w:r>
          </w:p>
        </w:tc>
      </w:tr>
      <w:tr>
        <w:trPr>
          <w:cantSplit/>
        </w:trPr>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6"/>
              </w:rPr>
              <w:t>DB_CONN_MAX_AGE</w:t>
            </w:r>
          </w:p>
        </w:tc>
        <w:tc>
          <w:tcPr>
            <w:tcW w:type="dxa" w:w="5960"/>
            <w:vAlign w:val="center"/>
            <w:tcMar>
              <w:top w:w="80" w:type="dxa"/>
              <w:start w:w="120" w:type="dxa"/>
              <w:bottom w:w="80" w:type="dxa"/>
              <w:end w:w="120" w:type="dxa"/>
            </w:tcMar>
          </w:tcPr>
          <w:p>
            <w:pPr>
              <w:spacing w:before="0" w:after="0" w:line="264" w:lineRule="auto"/>
            </w:pPr>
            <w:r>
              <w:rPr>
                <w:rFonts w:ascii="Calibri" w:hAnsi="Calibri"/>
                <w:color w:val="111827"/>
                <w:sz w:val="16"/>
              </w:rPr>
              <w:t>Persistent database connection lifetime; default 60 seconds.</w:t>
            </w:r>
          </w:p>
        </w:tc>
      </w:tr>
      <w:tr>
        <w:trPr>
          <w:cantSplit/>
        </w:trPr>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6"/>
              </w:rPr>
              <w:t>GOOGLE_OAUTH_CLIENT_ID / SECRET</w:t>
            </w:r>
          </w:p>
        </w:tc>
        <w:tc>
          <w:tcPr>
            <w:tcW w:type="dxa" w:w="5960"/>
            <w:vAlign w:val="center"/>
            <w:tcMar>
              <w:top w:w="80" w:type="dxa"/>
              <w:start w:w="120" w:type="dxa"/>
              <w:bottom w:w="80" w:type="dxa"/>
              <w:end w:w="120" w:type="dxa"/>
            </w:tcMar>
          </w:tcPr>
          <w:p>
            <w:pPr>
              <w:spacing w:before="0" w:after="0" w:line="264" w:lineRule="auto"/>
            </w:pPr>
            <w:r>
              <w:rPr>
                <w:rFonts w:ascii="Calibri" w:hAnsi="Calibri"/>
                <w:color w:val="111827"/>
                <w:sz w:val="16"/>
              </w:rPr>
              <w:t>Google OAuth web client credentials.</w:t>
            </w:r>
          </w:p>
        </w:tc>
      </w:tr>
      <w:tr>
        <w:trPr>
          <w:cantSplit/>
        </w:trPr>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6"/>
              </w:rPr>
              <w:t>GOOGLE_ALLOWED_DOMAINS</w:t>
            </w:r>
          </w:p>
        </w:tc>
        <w:tc>
          <w:tcPr>
            <w:tcW w:type="dxa" w:w="5960"/>
            <w:vAlign w:val="center"/>
            <w:tcMar>
              <w:top w:w="80" w:type="dxa"/>
              <w:start w:w="120" w:type="dxa"/>
              <w:bottom w:w="80" w:type="dxa"/>
              <w:end w:w="120" w:type="dxa"/>
            </w:tcMar>
          </w:tcPr>
          <w:p>
            <w:pPr>
              <w:spacing w:before="0" w:after="0" w:line="264" w:lineRule="auto"/>
            </w:pPr>
            <w:r>
              <w:rPr>
                <w:rFonts w:ascii="Calibri" w:hAnsi="Calibri"/>
                <w:color w:val="111827"/>
                <w:sz w:val="16"/>
              </w:rPr>
              <w:t>Optional domain allowlist for non-preprovisioned/non-bootstrap accounts.</w:t>
            </w:r>
          </w:p>
        </w:tc>
      </w:tr>
      <w:tr>
        <w:trPr>
          <w:cantSplit/>
        </w:trPr>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6"/>
              </w:rPr>
              <w:t>REQUIRE_PREPROVISIONED_USERS</w:t>
            </w:r>
          </w:p>
        </w:tc>
        <w:tc>
          <w:tcPr>
            <w:tcW w:type="dxa" w:w="5960"/>
            <w:vAlign w:val="center"/>
            <w:tcMar>
              <w:top w:w="80" w:type="dxa"/>
              <w:start w:w="120" w:type="dxa"/>
              <w:bottom w:w="80" w:type="dxa"/>
              <w:end w:w="120" w:type="dxa"/>
            </w:tcMar>
          </w:tcPr>
          <w:p>
            <w:pPr>
              <w:spacing w:before="0" w:after="0" w:line="264" w:lineRule="auto"/>
            </w:pPr>
            <w:r>
              <w:rPr>
                <w:rFonts w:ascii="Calibri" w:hAnsi="Calibri"/>
                <w:color w:val="111827"/>
                <w:sz w:val="16"/>
              </w:rPr>
              <w:t>Defaults true; rejects unknown exact emails.</w:t>
            </w:r>
          </w:p>
        </w:tc>
      </w:tr>
      <w:tr>
        <w:trPr>
          <w:cantSplit/>
        </w:trPr>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6"/>
              </w:rPr>
              <w:t>SYSTEM_ADMIN_EMAILS / MANAGER_EMAILS</w:t>
            </w:r>
          </w:p>
        </w:tc>
        <w:tc>
          <w:tcPr>
            <w:tcW w:type="dxa" w:w="5960"/>
            <w:vAlign w:val="center"/>
            <w:tcMar>
              <w:top w:w="80" w:type="dxa"/>
              <w:start w:w="120" w:type="dxa"/>
              <w:bottom w:w="80" w:type="dxa"/>
              <w:end w:w="120" w:type="dxa"/>
            </w:tcMar>
          </w:tcPr>
          <w:p>
            <w:pPr>
              <w:spacing w:before="0" w:after="0" w:line="264" w:lineRule="auto"/>
            </w:pPr>
            <w:r>
              <w:rPr>
                <w:rFonts w:ascii="Calibri" w:hAnsi="Calibri"/>
                <w:color w:val="111827"/>
                <w:sz w:val="16"/>
              </w:rPr>
              <w:t>Bootstrap supervisory access. Maintain at least one recoverable system admin.</w:t>
            </w:r>
          </w:p>
        </w:tc>
      </w:tr>
      <w:tr>
        <w:trPr>
          <w:cantSplit/>
        </w:trPr>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6"/>
              </w:rPr>
              <w:t>API_TOKEN_ISSUER / AUDIENCE / SIGNING_KEY</w:t>
            </w:r>
          </w:p>
        </w:tc>
        <w:tc>
          <w:tcPr>
            <w:tcW w:type="dxa" w:w="5960"/>
            <w:vAlign w:val="center"/>
            <w:tcMar>
              <w:top w:w="80" w:type="dxa"/>
              <w:start w:w="120" w:type="dxa"/>
              <w:bottom w:w="80" w:type="dxa"/>
              <w:end w:w="120" w:type="dxa"/>
            </w:tcMar>
          </w:tcPr>
          <w:p>
            <w:pPr>
              <w:spacing w:before="0" w:after="0" w:line="264" w:lineRule="auto"/>
            </w:pPr>
            <w:r>
              <w:rPr>
                <w:rFonts w:ascii="Calibri" w:hAnsi="Calibri"/>
                <w:color w:val="111827"/>
                <w:sz w:val="16"/>
              </w:rPr>
              <w:t>Legacy token validation settings; signing key must be at least 32 characters in production.</w:t>
            </w:r>
          </w:p>
        </w:tc>
      </w:tr>
      <w:tr>
        <w:trPr>
          <w:cantSplit/>
        </w:trPr>
        <w:tc>
          <w:tcPr>
            <w:tcW w:type="dxa" w:w="3400"/>
            <w:vAlign w:val="center"/>
            <w:tcMar>
              <w:top w:w="80" w:type="dxa"/>
              <w:start w:w="120" w:type="dxa"/>
              <w:bottom w:w="80" w:type="dxa"/>
              <w:end w:w="120" w:type="dxa"/>
            </w:tcMar>
          </w:tcPr>
          <w:p>
            <w:pPr>
              <w:spacing w:before="0" w:after="0" w:line="264" w:lineRule="auto"/>
            </w:pPr>
            <w:r>
              <w:rPr>
                <w:rFonts w:ascii="Calibri" w:hAnsi="Calibri"/>
                <w:color w:val="111827"/>
                <w:sz w:val="16"/>
              </w:rPr>
              <w:t>FLEXGCC_*</w:t>
            </w:r>
          </w:p>
        </w:tc>
        <w:tc>
          <w:tcPr>
            <w:tcW w:type="dxa" w:w="5960"/>
            <w:vAlign w:val="center"/>
            <w:tcMar>
              <w:top w:w="80" w:type="dxa"/>
              <w:start w:w="120" w:type="dxa"/>
              <w:bottom w:w="80" w:type="dxa"/>
              <w:end w:w="120" w:type="dxa"/>
            </w:tcMar>
          </w:tcPr>
          <w:p>
            <w:pPr>
              <w:spacing w:before="0" w:after="0" w:line="264" w:lineRule="auto"/>
            </w:pPr>
            <w:r>
              <w:rPr>
                <w:rFonts w:ascii="Calibri" w:hAnsi="Calibri"/>
                <w:color w:val="111827"/>
                <w:sz w:val="16"/>
              </w:rPr>
              <w:t>Native deploy service name, restart/test controls, health host/socket, retry timing, and deployment lock.</w:t>
            </w:r>
          </w:p>
        </w:tc>
      </w:tr>
    </w:tbl>
    <w:p>
      <w:pPr>
        <w:spacing w:before="0" w:after="20"/>
      </w:pPr>
    </w:p>
    <w:p>
      <w:pPr>
        <w:spacing w:before="120" w:after="160"/>
        <w:ind w:left="173" w:right="86"/>
        <w:shd w:fill="FDECEC"/>
        <w:pBdr>
          <w:left w:val="single" w:sz="18" w:space="8" w:color="9B1C1C"/>
        </w:pBdr>
      </w:pPr>
      <w:r>
        <w:rPr>
          <w:rFonts w:ascii="Calibri" w:hAnsi="Calibri"/>
          <w:b/>
          <w:color w:val="9B1C1C"/>
        </w:rPr>
        <w:t xml:space="preserve">Secret handling: </w:t>
      </w:r>
      <w:r>
        <w:rPr>
          <w:rFonts w:ascii="Calibri" w:hAnsi="Calibri"/>
          <w:color w:val="111827"/>
        </w:rPr>
        <w:t>Never commit .env, OAuth secrets, database credentials, SSH keys, API tokens, or copied production configuration. Store GitHub deployment secrets in Actions and runtime secrets in the protected EC2 environment file or an approved secret-management service.</w:t>
      </w:r>
    </w:p>
    <w:p>
      <w:pPr>
        <w:pStyle w:val="Heading1"/>
      </w:pPr>
      <w:r>
        <w:t>12. Database changes and recovery</w:t>
      </w:r>
    </w:p>
    <w:p>
      <w:pPr>
        <w:pStyle w:val="Heading2"/>
      </w:pPr>
      <w:r>
        <w:t>Migration procedure</w:t>
      </w:r>
    </w:p>
    <w:p>
      <w:pPr>
        <w:numPr>
          <w:ilvl w:val="0"/>
          <w:numId w:val="15"/>
        </w:numPr>
      </w:pPr>
      <w:r>
        <w:rPr>
          <w:rFonts w:ascii="Calibri" w:hAnsi="Calibri"/>
          <w:color w:val="111827"/>
        </w:rPr>
        <w:t>Model the schema change and create the migration locally.</w:t>
      </w:r>
    </w:p>
    <w:p>
      <w:pPr>
        <w:numPr>
          <w:ilvl w:val="0"/>
          <w:numId w:val="15"/>
        </w:numPr>
      </w:pPr>
      <w:r>
        <w:rPr>
          <w:rFonts w:ascii="Calibri" w:hAnsi="Calibri"/>
          <w:color w:val="111827"/>
        </w:rPr>
        <w:t>Review generated migration operations and test forward migration from a production-like schema/data set.</w:t>
      </w:r>
    </w:p>
    <w:p>
      <w:pPr>
        <w:numPr>
          <w:ilvl w:val="0"/>
          <w:numId w:val="15"/>
        </w:numPr>
      </w:pPr>
      <w:r>
        <w:rPr>
          <w:rFonts w:ascii="Calibri" w:hAnsi="Calibri"/>
          <w:color w:val="111827"/>
        </w:rPr>
        <w:t>Assess lock time, data conversion, backward compatibility, and whether old code can run after the migration.</w:t>
      </w:r>
    </w:p>
    <w:p>
      <w:pPr>
        <w:numPr>
          <w:ilvl w:val="0"/>
          <w:numId w:val="15"/>
        </w:numPr>
      </w:pPr>
      <w:r>
        <w:rPr>
          <w:rFonts w:ascii="Calibri" w:hAnsi="Calibri"/>
          <w:color w:val="111827"/>
        </w:rPr>
        <w:t>For destructive or irreversible changes, require an explicit backup/snapshot and tested restore path before release.</w:t>
      </w:r>
    </w:p>
    <w:p>
      <w:pPr>
        <w:numPr>
          <w:ilvl w:val="0"/>
          <w:numId w:val="15"/>
        </w:numPr>
      </w:pPr>
      <w:r>
        <w:rPr>
          <w:rFonts w:ascii="Calibri" w:hAnsi="Calibri"/>
          <w:color w:val="111827"/>
        </w:rPr>
        <w:t>Commit the migration with tests. CI must report no missing migrations.</w:t>
      </w:r>
    </w:p>
    <w:p>
      <w:pPr>
        <w:numPr>
          <w:ilvl w:val="0"/>
          <w:numId w:val="15"/>
        </w:numPr>
      </w:pPr>
      <w:r>
        <w:rPr>
          <w:rFonts w:ascii="Calibri" w:hAnsi="Calibri"/>
          <w:color w:val="111827"/>
        </w:rPr>
        <w:t>During deploy, inspect the printed migration plan and monitor migration completion before the application restarts.</w:t>
      </w:r>
    </w:p>
    <w:p>
      <w:pPr>
        <w:numPr>
          <w:ilvl w:val="0"/>
          <w:numId w:val="15"/>
        </w:numPr>
      </w:pPr>
      <w:r>
        <w:rPr>
          <w:rFonts w:ascii="Calibri" w:hAnsi="Calibri"/>
          <w:color w:val="111827"/>
        </w:rPr>
        <w:t>After deploy, run read-only application checks and verify data invariants relevant to the change.</w:t>
      </w:r>
    </w:p>
    <w:p>
      <w:pPr>
        <w:pStyle w:val="Heading2"/>
      </w:pPr>
      <w:r>
        <w:t>Backup and restore ownership</w:t>
      </w:r>
    </w:p>
    <w:p>
      <w:r>
        <w:rPr>
          <w:rFonts w:ascii="Calibri" w:hAnsi="Calibri"/>
          <w:i w:val="0"/>
          <w:color w:val="111827"/>
        </w:rPr>
        <w:t>The repository does not prove the current database hosting model, automated backup schedule, retention, encryption, or point-in-time-recovery configuration. The system administrator must document those live settings, confirm the backup account/region, and execute a controlled restore test. The engineering manager must define application-level consistency checks for the restored database.</w:t>
      </w:r>
    </w:p>
    <w:p>
      <w:pPr>
        <w:spacing w:before="120" w:after="160"/>
        <w:ind w:left="173" w:right="86"/>
        <w:shd w:fill="FDECEC"/>
        <w:pBdr>
          <w:left w:val="single" w:sz="18" w:space="8" w:color="9B1C1C"/>
        </w:pBdr>
      </w:pPr>
      <w:r>
        <w:rPr>
          <w:rFonts w:ascii="Calibri" w:hAnsi="Calibri"/>
          <w:b/>
          <w:color w:val="9B1C1C"/>
        </w:rPr>
        <w:t xml:space="preserve">Rollback limitation: </w:t>
      </w:r>
      <w:r>
        <w:rPr>
          <w:rFonts w:ascii="Calibri" w:hAnsi="Calibri"/>
          <w:color w:val="111827"/>
        </w:rPr>
        <w:t>Reverting application code does not reverse a database migration. Favor additive, backward-compatible schema changes and use an explicit data recovery plan for destructive changes.</w:t>
      </w:r>
    </w:p>
    <w:p>
      <w:pPr>
        <w:pStyle w:val="Heading1"/>
      </w:pPr>
      <w:r>
        <w:t>13. Release verification and rollback</w:t>
      </w:r>
    </w:p>
    <w:p>
      <w:pPr>
        <w:pStyle w:val="Heading2"/>
      </w:pPr>
      <w:r>
        <w:t>Post-deploy verification</w:t>
      </w:r>
    </w:p>
    <w:p>
      <w:pPr>
        <w:numPr>
          <w:ilvl w:val="0"/>
          <w:numId w:val="16"/>
        </w:numPr>
      </w:pPr>
      <w:r>
        <w:rPr>
          <w:rFonts w:ascii="Calibri" w:hAnsi="Calibri"/>
          <w:color w:val="111827"/>
        </w:rPr>
        <w:t>Confirm the production workflow completed and capture its commit SHA.</w:t>
      </w:r>
    </w:p>
    <w:p>
      <w:pPr>
        <w:numPr>
          <w:ilvl w:val="0"/>
          <w:numId w:val="16"/>
        </w:numPr>
      </w:pPr>
      <w:r>
        <w:rPr>
          <w:rFonts w:ascii="Calibri" w:hAnsi="Calibri"/>
          <w:color w:val="111827"/>
        </w:rPr>
        <w:t>Confirm https://leadgen.flexgcc.com/health/ returns HTTP 200 and status ok.</w:t>
      </w:r>
    </w:p>
    <w:p>
      <w:pPr>
        <w:numPr>
          <w:ilvl w:val="0"/>
          <w:numId w:val="16"/>
        </w:numPr>
      </w:pPr>
      <w:r>
        <w:rPr>
          <w:rFonts w:ascii="Calibri" w:hAnsi="Calibri"/>
          <w:color w:val="111827"/>
        </w:rPr>
        <w:t>Check leadgen systemd service and the Gunicorn socket if access is available.</w:t>
      </w:r>
    </w:p>
    <w:p>
      <w:pPr>
        <w:numPr>
          <w:ilvl w:val="0"/>
          <w:numId w:val="16"/>
        </w:numPr>
      </w:pPr>
      <w:r>
        <w:rPr>
          <w:rFonts w:ascii="Calibri" w:hAnsi="Calibri"/>
          <w:color w:val="111827"/>
        </w:rPr>
        <w:t>Open the Google login page and verify the application loads over HTTPS. Avoid creating production records merely to test.</w:t>
      </w:r>
    </w:p>
    <w:p>
      <w:pPr>
        <w:numPr>
          <w:ilvl w:val="0"/>
          <w:numId w:val="16"/>
        </w:numPr>
      </w:pPr>
      <w:r>
        <w:rPr>
          <w:rFonts w:ascii="Calibri" w:hAnsi="Calibri"/>
          <w:color w:val="111827"/>
        </w:rPr>
        <w:t>Perform role-appropriate, read-only checks of Dashboard, Users for system admin, and API access documentation.</w:t>
      </w:r>
    </w:p>
    <w:p>
      <w:pPr>
        <w:numPr>
          <w:ilvl w:val="0"/>
          <w:numId w:val="16"/>
        </w:numPr>
      </w:pPr>
      <w:r>
        <w:rPr>
          <w:rFonts w:ascii="Calibri" w:hAnsi="Calibri"/>
          <w:color w:val="111827"/>
        </w:rPr>
        <w:t>Verify any changed user journey using existing safe records or an approved test plan that preserves production data.</w:t>
      </w:r>
    </w:p>
    <w:p>
      <w:pPr>
        <w:numPr>
          <w:ilvl w:val="0"/>
          <w:numId w:val="16"/>
        </w:numPr>
      </w:pPr>
      <w:r>
        <w:rPr>
          <w:rFonts w:ascii="Calibri" w:hAnsi="Calibri"/>
          <w:color w:val="111827"/>
        </w:rPr>
        <w:t>Record release owner, commit, workflow run, checks performed, result, and residual risk.</w:t>
      </w:r>
    </w:p>
    <w:p>
      <w:pPr>
        <w:pStyle w:val="Heading2"/>
      </w:pPr>
      <w:r>
        <w:t>Preferred application rollback</w:t>
      </w:r>
    </w:p>
    <w:p>
      <w:r>
        <w:rPr>
          <w:rFonts w:ascii="Calibri" w:hAnsi="Calibri"/>
          <w:i w:val="0"/>
          <w:color w:val="111827"/>
        </w:rPr>
        <w:t>Because the production workflow resets the EC2 checkout to origin/main, the durable rollback is a new git revert commit on main. It preserves history and triggers the normal deployment path.</w:t>
      </w:r>
    </w:p>
    <w:p>
      <w:pPr>
        <w:spacing w:before="80" w:after="160" w:line="252" w:lineRule="auto"/>
        <w:ind w:left="173" w:right="86"/>
        <w:shd w:fill="F7F8FA"/>
      </w:pPr>
      <w:r>
        <w:rPr>
          <w:rFonts w:ascii="Consolas" w:hAnsi="Consolas"/>
          <w:color w:val="273444"/>
          <w:sz w:val="17"/>
        </w:rPr>
        <w:t>git checkout main</w:t>
      </w:r>
      <w:r>
        <w:br/>
      </w:r>
      <w:r>
        <w:rPr>
          <w:rFonts w:ascii="Consolas" w:hAnsi="Consolas"/>
          <w:color w:val="273444"/>
          <w:sz w:val="17"/>
        </w:rPr>
        <w:t>git pull --ff-only origin main</w:t>
      </w:r>
      <w:r>
        <w:br/>
      </w:r>
      <w:r>
        <w:rPr>
          <w:rFonts w:ascii="Consolas" w:hAnsi="Consolas"/>
          <w:color w:val="273444"/>
          <w:sz w:val="17"/>
        </w:rPr>
        <w:t>git revert &lt;bad_commit_sha&gt;</w:t>
      </w:r>
      <w:r>
        <w:br/>
      </w:r>
      <w:r>
        <w:rPr>
          <w:rFonts w:ascii="Consolas" w:hAnsi="Consolas"/>
          <w:color w:val="273444"/>
          <w:sz w:val="17"/>
        </w:rPr>
        <w:t>git push origin main</w:t>
      </w:r>
    </w:p>
    <w:p>
      <w:pPr>
        <w:numPr>
          <w:ilvl w:val="0"/>
          <w:numId w:val="17"/>
        </w:numPr>
      </w:pPr>
      <w:r>
        <w:rPr>
          <w:rFonts w:ascii="Calibri" w:hAnsi="Calibri"/>
          <w:color w:val="111827"/>
        </w:rPr>
        <w:t>Review migration compatibility before reverting. Do not assume old code can run against the new schema.</w:t>
      </w:r>
    </w:p>
    <w:p>
      <w:pPr>
        <w:numPr>
          <w:ilvl w:val="0"/>
          <w:numId w:val="17"/>
        </w:numPr>
      </w:pPr>
      <w:r>
        <w:rPr>
          <w:rFonts w:ascii="Calibri" w:hAnsi="Calibri"/>
          <w:color w:val="111827"/>
        </w:rPr>
        <w:t>Monitor both CI and production deployment for the revert commit.</w:t>
      </w:r>
    </w:p>
    <w:p>
      <w:pPr>
        <w:numPr>
          <w:ilvl w:val="0"/>
          <w:numId w:val="17"/>
        </w:numPr>
      </w:pPr>
      <w:r>
        <w:rPr>
          <w:rFonts w:ascii="Calibri" w:hAnsi="Calibri"/>
          <w:color w:val="111827"/>
        </w:rPr>
        <w:t>Re-run the full health and read-only verification checklist.</w:t>
      </w:r>
    </w:p>
    <w:p>
      <w:pPr>
        <w:numPr>
          <w:ilvl w:val="0"/>
          <w:numId w:val="17"/>
        </w:numPr>
      </w:pPr>
      <w:r>
        <w:rPr>
          <w:rFonts w:ascii="Calibri" w:hAnsi="Calibri"/>
          <w:color w:val="111827"/>
        </w:rPr>
        <w:t>Do not leave the production checkout on a detached historical commit; a later deployment will reset it to origin/main.</w:t>
      </w:r>
    </w:p>
    <w:p>
      <w:pPr>
        <w:pStyle w:val="Heading1"/>
      </w:pPr>
      <w:r>
        <w:t>14. Availability and incident runbook</w:t>
      </w:r>
    </w:p>
    <w:p>
      <w:pPr>
        <w:pStyle w:val="Heading2"/>
      </w:pPr>
      <w:r>
        <w:t>Triage order</w:t>
      </w:r>
    </w:p>
    <w:p>
      <w:pPr>
        <w:numPr>
          <w:ilvl w:val="0"/>
          <w:numId w:val="18"/>
        </w:numPr>
      </w:pPr>
      <w:r>
        <w:rPr>
          <w:rFonts w:ascii="Calibri" w:hAnsi="Calibri"/>
          <w:color w:val="111827"/>
        </w:rPr>
        <w:t>Confirm impact: who is affected, which route or workflow fails, start time, and whether data changes are involved.</w:t>
      </w:r>
    </w:p>
    <w:p>
      <w:pPr>
        <w:numPr>
          <w:ilvl w:val="0"/>
          <w:numId w:val="18"/>
        </w:numPr>
      </w:pPr>
      <w:r>
        <w:rPr>
          <w:rFonts w:ascii="Calibri" w:hAnsi="Calibri"/>
          <w:color w:val="111827"/>
        </w:rPr>
        <w:t>Check public /health/. An HTTP 503 indicates the database or required tables are unavailable to the application.</w:t>
      </w:r>
    </w:p>
    <w:p>
      <w:pPr>
        <w:numPr>
          <w:ilvl w:val="0"/>
          <w:numId w:val="18"/>
        </w:numPr>
      </w:pPr>
      <w:r>
        <w:rPr>
          <w:rFonts w:ascii="Calibri" w:hAnsi="Calibri"/>
          <w:color w:val="111827"/>
        </w:rPr>
        <w:t>Check the latest production and CI Actions runs for the deployed commit.</w:t>
      </w:r>
    </w:p>
    <w:p>
      <w:pPr>
        <w:numPr>
          <w:ilvl w:val="0"/>
          <w:numId w:val="18"/>
        </w:numPr>
      </w:pPr>
      <w:r>
        <w:rPr>
          <w:rFonts w:ascii="Calibri" w:hAnsi="Calibri"/>
          <w:color w:val="111827"/>
        </w:rPr>
        <w:t>On EC2, check systemd service state, recent leadgen journal logs, Gunicorn socket existence, and Nginx configuration/status.</w:t>
      </w:r>
    </w:p>
    <w:p>
      <w:pPr>
        <w:numPr>
          <w:ilvl w:val="0"/>
          <w:numId w:val="18"/>
        </w:numPr>
      </w:pPr>
      <w:r>
        <w:rPr>
          <w:rFonts w:ascii="Calibri" w:hAnsi="Calibri"/>
          <w:color w:val="111827"/>
        </w:rPr>
        <w:t>Confirm disk, memory, process, network, certificate/DNS, and database connectivity as appropriate to the symptom.</w:t>
      </w:r>
    </w:p>
    <w:p>
      <w:pPr>
        <w:numPr>
          <w:ilvl w:val="0"/>
          <w:numId w:val="18"/>
        </w:numPr>
      </w:pPr>
      <w:r>
        <w:rPr>
          <w:rFonts w:ascii="Calibri" w:hAnsi="Calibri"/>
          <w:color w:val="111827"/>
        </w:rPr>
        <w:t>Choose contain, rollback, or fix-forward. Protect data first; do not run speculative mutations in production.</w:t>
      </w:r>
    </w:p>
    <w:p>
      <w:pPr>
        <w:numPr>
          <w:ilvl w:val="0"/>
          <w:numId w:val="18"/>
        </w:numPr>
      </w:pPr>
      <w:r>
        <w:rPr>
          <w:rFonts w:ascii="Calibri" w:hAnsi="Calibri"/>
          <w:color w:val="111827"/>
        </w:rPr>
        <w:t>Verify recovery through the socket, local Nginx, public HTTPS health, and the affected user journey.</w:t>
      </w:r>
    </w:p>
    <w:p>
      <w:pPr>
        <w:numPr>
          <w:ilvl w:val="0"/>
          <w:numId w:val="18"/>
        </w:numPr>
      </w:pPr>
      <w:r>
        <w:rPr>
          <w:rFonts w:ascii="Calibri" w:hAnsi="Calibri"/>
          <w:color w:val="111827"/>
        </w:rPr>
        <w:t>Document timeline, root cause, impact, recovery, data integrity result, and preventive action with a named owner and due date.</w:t>
      </w:r>
    </w:p>
    <w:p>
      <w:pPr>
        <w:pStyle w:val="Heading2"/>
      </w:pPr>
      <w:r>
        <w:t>Read-only service checks</w:t>
      </w:r>
    </w:p>
    <w:p>
      <w:pPr>
        <w:spacing w:before="80" w:after="160" w:line="252" w:lineRule="auto"/>
        <w:ind w:left="173" w:right="86"/>
        <w:shd w:fill="F7F8FA"/>
      </w:pPr>
      <w:r>
        <w:rPr>
          <w:rFonts w:ascii="Consolas" w:hAnsi="Consolas"/>
          <w:color w:val="273444"/>
          <w:sz w:val="17"/>
        </w:rPr>
        <w:t>curl --fail --silent --show-error https://leadgen.flexgcc.com/health/</w:t>
      </w:r>
      <w:r>
        <w:br/>
      </w:r>
      <w:r>
        <w:rPr>
          <w:rFonts w:ascii="Consolas" w:hAnsi="Consolas"/>
          <w:color w:val="273444"/>
          <w:sz w:val="17"/>
        </w:rPr>
        <w:t>sudo systemctl status leadgen --no-pager -l</w:t>
      </w:r>
      <w:r>
        <w:br/>
      </w:r>
      <w:r>
        <w:rPr>
          <w:rFonts w:ascii="Consolas" w:hAnsi="Consolas"/>
          <w:color w:val="273444"/>
          <w:sz w:val="17"/>
        </w:rPr>
        <w:t>sudo journalctl -u leadgen -n 150 --no-pager</w:t>
      </w:r>
      <w:r>
        <w:br/>
      </w:r>
      <w:r>
        <w:rPr>
          <w:rFonts w:ascii="Consolas" w:hAnsi="Consolas"/>
          <w:color w:val="273444"/>
          <w:sz w:val="17"/>
        </w:rPr>
        <w:t>sudo ls -l /run/leadgen/leadgen.sock</w:t>
      </w:r>
      <w:r>
        <w:br/>
      </w:r>
      <w:r>
        <w:rPr>
          <w:rFonts w:ascii="Consolas" w:hAnsi="Consolas"/>
          <w:color w:val="273444"/>
          <w:sz w:val="17"/>
        </w:rPr>
        <w:t>sudo nginx -t</w:t>
      </w:r>
    </w:p>
    <w:tbl>
      <w:tblPr>
        <w:tblStyle w:val="TableGrid"/>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800"/>
        <w:gridCol w:w="6560"/>
      </w:tblGrid>
      <w:tr>
        <w:trPr>
          <w:tblHeader w:val="true"/>
          <w:cantSplit/>
        </w:trPr>
        <w:tc>
          <w:tcPr>
            <w:tcW w:type="dxa" w:w="2800"/>
            <w:vAlign w:val="center"/>
            <w:shd w:fill="E8EEF5"/>
            <w:tcMar>
              <w:top w:w="80" w:type="dxa"/>
              <w:start w:w="120" w:type="dxa"/>
              <w:bottom w:w="80" w:type="dxa"/>
              <w:end w:w="120" w:type="dxa"/>
            </w:tcMar>
          </w:tcPr>
          <w:p>
            <w:pPr>
              <w:spacing w:before="0" w:after="0" w:line="264" w:lineRule="auto"/>
            </w:pPr>
            <w:r>
              <w:rPr>
                <w:rFonts w:ascii="Calibri" w:hAnsi="Calibri"/>
                <w:b/>
                <w:color w:val="0B2545"/>
                <w:sz w:val="17"/>
              </w:rPr>
              <w:t>Symptom</w:t>
            </w:r>
          </w:p>
        </w:tc>
        <w:tc>
          <w:tcPr>
            <w:tcW w:type="dxa" w:w="6560"/>
            <w:vAlign w:val="center"/>
            <w:shd w:fill="E8EEF5"/>
            <w:tcMar>
              <w:top w:w="80" w:type="dxa"/>
              <w:start w:w="120" w:type="dxa"/>
              <w:bottom w:w="80" w:type="dxa"/>
              <w:end w:w="120" w:type="dxa"/>
            </w:tcMar>
          </w:tcPr>
          <w:p>
            <w:pPr>
              <w:spacing w:before="0" w:after="0" w:line="264" w:lineRule="auto"/>
            </w:pPr>
            <w:r>
              <w:rPr>
                <w:rFonts w:ascii="Calibri" w:hAnsi="Calibri"/>
                <w:b/>
                <w:color w:val="0B2545"/>
                <w:sz w:val="17"/>
              </w:rPr>
              <w:t>First checks</w:t>
            </w:r>
          </w:p>
        </w:tc>
      </w:tr>
      <w:tr>
        <w:trPr>
          <w:cantSplit/>
        </w:trPr>
        <w:tc>
          <w:tcPr>
            <w:tcW w:type="dxa" w:w="2800"/>
            <w:vAlign w:val="center"/>
            <w:tcMar>
              <w:top w:w="80" w:type="dxa"/>
              <w:start w:w="120" w:type="dxa"/>
              <w:bottom w:w="80" w:type="dxa"/>
              <w:end w:w="120" w:type="dxa"/>
            </w:tcMar>
          </w:tcPr>
          <w:p>
            <w:pPr>
              <w:spacing w:before="0" w:after="0" w:line="264" w:lineRule="auto"/>
            </w:pPr>
            <w:r>
              <w:rPr>
                <w:rFonts w:ascii="Calibri" w:hAnsi="Calibri"/>
                <w:color w:val="111827"/>
                <w:sz w:val="17"/>
              </w:rPr>
              <w:t>Public 502/504</w:t>
            </w:r>
          </w:p>
        </w:tc>
        <w:tc>
          <w:tcPr>
            <w:tcW w:type="dxa" w:w="6560"/>
            <w:vAlign w:val="center"/>
            <w:tcMar>
              <w:top w:w="80" w:type="dxa"/>
              <w:start w:w="120" w:type="dxa"/>
              <w:bottom w:w="80" w:type="dxa"/>
              <w:end w:w="120" w:type="dxa"/>
            </w:tcMar>
          </w:tcPr>
          <w:p>
            <w:pPr>
              <w:spacing w:before="0" w:after="0" w:line="264" w:lineRule="auto"/>
            </w:pPr>
            <w:r>
              <w:rPr>
                <w:rFonts w:ascii="Calibri" w:hAnsi="Calibri"/>
                <w:color w:val="111827"/>
                <w:sz w:val="17"/>
              </w:rPr>
              <w:t>leadgen service, socket, Nginx upstream/config, recent deployment logs.</w:t>
            </w:r>
          </w:p>
        </w:tc>
      </w:tr>
      <w:tr>
        <w:trPr>
          <w:cantSplit/>
        </w:trPr>
        <w:tc>
          <w:tcPr>
            <w:tcW w:type="dxa" w:w="2800"/>
            <w:vAlign w:val="center"/>
            <w:tcMar>
              <w:top w:w="80" w:type="dxa"/>
              <w:start w:w="120" w:type="dxa"/>
              <w:bottom w:w="80" w:type="dxa"/>
              <w:end w:w="120" w:type="dxa"/>
            </w:tcMar>
          </w:tcPr>
          <w:p>
            <w:pPr>
              <w:spacing w:before="0" w:after="0" w:line="264" w:lineRule="auto"/>
            </w:pPr>
            <w:r>
              <w:rPr>
                <w:rFonts w:ascii="Calibri" w:hAnsi="Calibri"/>
                <w:color w:val="111827"/>
                <w:sz w:val="17"/>
              </w:rPr>
              <w:t>Health returns 503</w:t>
            </w:r>
          </w:p>
        </w:tc>
        <w:tc>
          <w:tcPr>
            <w:tcW w:type="dxa" w:w="6560"/>
            <w:vAlign w:val="center"/>
            <w:tcMar>
              <w:top w:w="80" w:type="dxa"/>
              <w:start w:w="120" w:type="dxa"/>
              <w:bottom w:w="80" w:type="dxa"/>
              <w:end w:w="120" w:type="dxa"/>
            </w:tcMar>
          </w:tcPr>
          <w:p>
            <w:pPr>
              <w:spacing w:before="0" w:after="0" w:line="264" w:lineRule="auto"/>
            </w:pPr>
            <w:r>
              <w:rPr>
                <w:rFonts w:ascii="Calibri" w:hAnsi="Calibri"/>
                <w:color w:val="111827"/>
                <w:sz w:val="17"/>
              </w:rPr>
              <w:t>DATABASE_URL availability, PostgreSQL connectivity, migration/table state, app logs.</w:t>
            </w:r>
          </w:p>
        </w:tc>
      </w:tr>
      <w:tr>
        <w:trPr>
          <w:cantSplit/>
        </w:trPr>
        <w:tc>
          <w:tcPr>
            <w:tcW w:type="dxa" w:w="2800"/>
            <w:vAlign w:val="center"/>
            <w:tcMar>
              <w:top w:w="80" w:type="dxa"/>
              <w:start w:w="120" w:type="dxa"/>
              <w:bottom w:w="80" w:type="dxa"/>
              <w:end w:w="120" w:type="dxa"/>
            </w:tcMar>
          </w:tcPr>
          <w:p>
            <w:pPr>
              <w:spacing w:before="0" w:after="0" w:line="264" w:lineRule="auto"/>
            </w:pPr>
            <w:r>
              <w:rPr>
                <w:rFonts w:ascii="Calibri" w:hAnsi="Calibri"/>
                <w:color w:val="111827"/>
                <w:sz w:val="17"/>
              </w:rPr>
              <w:t>Static files missing</w:t>
            </w:r>
          </w:p>
        </w:tc>
        <w:tc>
          <w:tcPr>
            <w:tcW w:type="dxa" w:w="6560"/>
            <w:vAlign w:val="center"/>
            <w:tcMar>
              <w:top w:w="80" w:type="dxa"/>
              <w:start w:w="120" w:type="dxa"/>
              <w:bottom w:w="80" w:type="dxa"/>
              <w:end w:w="120" w:type="dxa"/>
            </w:tcMar>
          </w:tcPr>
          <w:p>
            <w:pPr>
              <w:spacing w:before="0" w:after="0" w:line="264" w:lineRule="auto"/>
            </w:pPr>
            <w:r>
              <w:rPr>
                <w:rFonts w:ascii="Calibri" w:hAnsi="Calibri"/>
                <w:color w:val="111827"/>
                <w:sz w:val="17"/>
              </w:rPr>
              <w:t>collectstatic result, manifest errors, staticfiles permissions, Nginx/WhiteNoise path.</w:t>
            </w:r>
          </w:p>
        </w:tc>
      </w:tr>
      <w:tr>
        <w:trPr>
          <w:cantSplit/>
        </w:trPr>
        <w:tc>
          <w:tcPr>
            <w:tcW w:type="dxa" w:w="2800"/>
            <w:vAlign w:val="center"/>
            <w:tcMar>
              <w:top w:w="80" w:type="dxa"/>
              <w:start w:w="120" w:type="dxa"/>
              <w:bottom w:w="80" w:type="dxa"/>
              <w:end w:w="120" w:type="dxa"/>
            </w:tcMar>
          </w:tcPr>
          <w:p>
            <w:pPr>
              <w:spacing w:before="0" w:after="0" w:line="264" w:lineRule="auto"/>
            </w:pPr>
            <w:r>
              <w:rPr>
                <w:rFonts w:ascii="Calibri" w:hAnsi="Calibri"/>
                <w:color w:val="111827"/>
                <w:sz w:val="17"/>
              </w:rPr>
              <w:t>Google login fails</w:t>
            </w:r>
          </w:p>
        </w:tc>
        <w:tc>
          <w:tcPr>
            <w:tcW w:type="dxa" w:w="6560"/>
            <w:vAlign w:val="center"/>
            <w:tcMar>
              <w:top w:w="80" w:type="dxa"/>
              <w:start w:w="120" w:type="dxa"/>
              <w:bottom w:w="80" w:type="dxa"/>
              <w:end w:w="120" w:type="dxa"/>
            </w:tcMar>
          </w:tcPr>
          <w:p>
            <w:pPr>
              <w:spacing w:before="0" w:after="0" w:line="264" w:lineRule="auto"/>
            </w:pPr>
            <w:r>
              <w:rPr>
                <w:rFonts w:ascii="Calibri" w:hAnsi="Calibri"/>
                <w:color w:val="111827"/>
                <w:sz w:val="17"/>
              </w:rPr>
              <w:t>OAuth client/secret, exact redirect URI, domain/pre-provision settings, disabled user state.</w:t>
            </w:r>
          </w:p>
        </w:tc>
      </w:tr>
      <w:tr>
        <w:trPr>
          <w:cantSplit/>
        </w:trPr>
        <w:tc>
          <w:tcPr>
            <w:tcW w:type="dxa" w:w="2800"/>
            <w:vAlign w:val="center"/>
            <w:tcMar>
              <w:top w:w="80" w:type="dxa"/>
              <w:start w:w="120" w:type="dxa"/>
              <w:bottom w:w="80" w:type="dxa"/>
              <w:end w:w="120" w:type="dxa"/>
            </w:tcMar>
          </w:tcPr>
          <w:p>
            <w:pPr>
              <w:spacing w:before="0" w:after="0" w:line="264" w:lineRule="auto"/>
            </w:pPr>
            <w:r>
              <w:rPr>
                <w:rFonts w:ascii="Calibri" w:hAnsi="Calibri"/>
                <w:color w:val="111827"/>
                <w:sz w:val="17"/>
              </w:rPr>
              <w:t>Only one user/role affected</w:t>
            </w:r>
          </w:p>
        </w:tc>
        <w:tc>
          <w:tcPr>
            <w:tcW w:type="dxa" w:w="6560"/>
            <w:vAlign w:val="center"/>
            <w:tcMar>
              <w:top w:w="80" w:type="dxa"/>
              <w:start w:w="120" w:type="dxa"/>
              <w:bottom w:w="80" w:type="dxa"/>
              <w:end w:w="120" w:type="dxa"/>
            </w:tcMar>
          </w:tcPr>
          <w:p>
            <w:pPr>
              <w:spacing w:before="0" w:after="0" w:line="264" w:lineRule="auto"/>
            </w:pPr>
            <w:r>
              <w:rPr>
                <w:rFonts w:ascii="Calibri" w:hAnsi="Calibri"/>
                <w:color w:val="111827"/>
                <w:sz w:val="17"/>
              </w:rPr>
              <w:t>Profile role, owner/workstream match, active state, exact email, object ownership.</w:t>
            </w:r>
          </w:p>
        </w:tc>
      </w:tr>
      <w:tr>
        <w:trPr>
          <w:cantSplit/>
        </w:trPr>
        <w:tc>
          <w:tcPr>
            <w:tcW w:type="dxa" w:w="2800"/>
            <w:vAlign w:val="center"/>
            <w:tcMar>
              <w:top w:w="80" w:type="dxa"/>
              <w:start w:w="120" w:type="dxa"/>
              <w:bottom w:w="80" w:type="dxa"/>
              <w:end w:w="120" w:type="dxa"/>
            </w:tcMar>
          </w:tcPr>
          <w:p>
            <w:pPr>
              <w:spacing w:before="0" w:after="0" w:line="264" w:lineRule="auto"/>
            </w:pPr>
            <w:r>
              <w:rPr>
                <w:rFonts w:ascii="Calibri" w:hAnsi="Calibri"/>
                <w:color w:val="111827"/>
                <w:sz w:val="17"/>
              </w:rPr>
              <w:t>Deploy cannot connect</w:t>
            </w:r>
          </w:p>
        </w:tc>
        <w:tc>
          <w:tcPr>
            <w:tcW w:type="dxa" w:w="6560"/>
            <w:vAlign w:val="center"/>
            <w:tcMar>
              <w:top w:w="80" w:type="dxa"/>
              <w:start w:w="120" w:type="dxa"/>
              <w:bottom w:w="80" w:type="dxa"/>
              <w:end w:w="120" w:type="dxa"/>
            </w:tcMar>
          </w:tcPr>
          <w:p>
            <w:pPr>
              <w:spacing w:before="0" w:after="0" w:line="264" w:lineRule="auto"/>
            </w:pPr>
            <w:r>
              <w:rPr>
                <w:rFonts w:ascii="Calibri" w:hAnsi="Calibri"/>
                <w:color w:val="111827"/>
                <w:sz w:val="17"/>
              </w:rPr>
              <w:t>EC2_IP, EC2_SSH, instance reachability, SSH user, security group/network path.</w:t>
            </w:r>
          </w:p>
        </w:tc>
      </w:tr>
      <w:tr>
        <w:trPr>
          <w:cantSplit/>
        </w:trPr>
        <w:tc>
          <w:tcPr>
            <w:tcW w:type="dxa" w:w="2800"/>
            <w:vAlign w:val="center"/>
            <w:tcMar>
              <w:top w:w="80" w:type="dxa"/>
              <w:start w:w="120" w:type="dxa"/>
              <w:bottom w:w="80" w:type="dxa"/>
              <w:end w:w="120" w:type="dxa"/>
            </w:tcMar>
          </w:tcPr>
          <w:p>
            <w:pPr>
              <w:spacing w:before="0" w:after="0" w:line="264" w:lineRule="auto"/>
            </w:pPr>
            <w:r>
              <w:rPr>
                <w:rFonts w:ascii="Calibri" w:hAnsi="Calibri"/>
                <w:color w:val="111827"/>
                <w:sz w:val="17"/>
              </w:rPr>
              <w:t>Deploy fails at migration</w:t>
            </w:r>
          </w:p>
        </w:tc>
        <w:tc>
          <w:tcPr>
            <w:tcW w:type="dxa" w:w="6560"/>
            <w:vAlign w:val="center"/>
            <w:tcMar>
              <w:top w:w="80" w:type="dxa"/>
              <w:start w:w="120" w:type="dxa"/>
              <w:bottom w:w="80" w:type="dxa"/>
              <w:end w:w="120" w:type="dxa"/>
            </w:tcMar>
          </w:tcPr>
          <w:p>
            <w:pPr>
              <w:spacing w:before="0" w:after="0" w:line="264" w:lineRule="auto"/>
            </w:pPr>
            <w:r>
              <w:rPr>
                <w:rFonts w:ascii="Calibri" w:hAnsi="Calibri"/>
                <w:color w:val="111827"/>
                <w:sz w:val="17"/>
              </w:rPr>
              <w:t>Loaded .env, PostgreSQL DATABASE_URL, migration plan, DB permissions/locks, application logs.</w:t>
            </w:r>
          </w:p>
        </w:tc>
      </w:tr>
    </w:tbl>
    <w:p>
      <w:pPr>
        <w:spacing w:before="0" w:after="20"/>
      </w:pPr>
    </w:p>
    <w:p>
      <w:pPr>
        <w:pStyle w:val="Heading1"/>
      </w:pPr>
      <w:r>
        <w:t>15. Operational workflows</w:t>
      </w:r>
    </w:p>
    <w:p>
      <w:pPr>
        <w:pStyle w:val="Heading2"/>
      </w:pPr>
      <w:r>
        <w:t>User access recovery</w:t>
      </w:r>
    </w:p>
    <w:p>
      <w:pPr>
        <w:numPr>
          <w:ilvl w:val="0"/>
          <w:numId w:val="19"/>
        </w:numPr>
      </w:pPr>
      <w:r>
        <w:rPr>
          <w:rFonts w:ascii="Calibri" w:hAnsi="Calibri"/>
          <w:color w:val="111827"/>
        </w:rPr>
        <w:t>Normal path: a system admin uses /system/users/ to add, edit, disable, or restore access.</w:t>
      </w:r>
    </w:p>
    <w:p>
      <w:pPr>
        <w:numPr>
          <w:ilvl w:val="0"/>
          <w:numId w:val="19"/>
        </w:numPr>
      </w:pPr>
      <w:r>
        <w:rPr>
          <w:rFonts w:ascii="Calibri" w:hAnsi="Calibri"/>
          <w:color w:val="111827"/>
        </w:rPr>
        <w:t>Bootstrap path: ensure at least one controlled email remains in SYSTEM_ADMIN_EMAILS and can complete Google sign-in.</w:t>
      </w:r>
    </w:p>
    <w:p>
      <w:pPr>
        <w:numPr>
          <w:ilvl w:val="0"/>
          <w:numId w:val="19"/>
        </w:numPr>
      </w:pPr>
      <w:r>
        <w:rPr>
          <w:rFonts w:ascii="Calibri" w:hAnsi="Calibri"/>
          <w:color w:val="111827"/>
        </w:rPr>
        <w:t>Emergency command after a user's first sign-in: python manage.py set_user_role EMAIL &lt;role&gt;.</w:t>
      </w:r>
    </w:p>
    <w:p>
      <w:pPr>
        <w:numPr>
          <w:ilvl w:val="0"/>
          <w:numId w:val="19"/>
        </w:numPr>
      </w:pPr>
      <w:r>
        <w:rPr>
          <w:rFonts w:ascii="Calibri" w:hAnsi="Calibri"/>
          <w:color w:val="111827"/>
        </w:rPr>
        <w:t>Do not modify Django auth tables manually. Preserve ownership and audit references when changing or disabling users.</w:t>
      </w:r>
    </w:p>
    <w:p>
      <w:pPr>
        <w:pStyle w:val="Heading2"/>
      </w:pPr>
      <w:r>
        <w:t>Approved target-firm import</w:t>
      </w:r>
    </w:p>
    <w:p>
      <w:r>
        <w:rPr>
          <w:rFonts w:ascii="Calibri" w:hAnsi="Calibri"/>
          <w:i w:val="0"/>
          <w:color w:val="111827"/>
        </w:rPr>
        <w:t>The manual GitHub workflow .github/workflows/import-target-firms.yml runs the idempotent management command on production under the leadgen deployment concurrency group. It uses a fixed created-by email in the checked-in workflow and verifies Django plus public health after import. Change that actor only through review.</w:t>
      </w:r>
    </w:p>
    <w:p>
      <w:pPr>
        <w:spacing w:before="80" w:after="160" w:line="252" w:lineRule="auto"/>
        <w:ind w:left="173" w:right="86"/>
        <w:shd w:fill="F7F8FA"/>
      </w:pPr>
      <w:r>
        <w:rPr>
          <w:rFonts w:ascii="Consolas" w:hAnsi="Consolas"/>
          <w:color w:val="273444"/>
          <w:sz w:val="17"/>
        </w:rPr>
        <w:t>.venv/bin/python manage.py import_target_firms</w:t>
      </w:r>
      <w:r>
        <w:br/>
      </w:r>
      <w:r>
        <w:rPr>
          <w:rFonts w:ascii="Consolas" w:hAnsi="Consolas"/>
          <w:color w:val="273444"/>
          <w:sz w:val="17"/>
        </w:rPr>
        <w:t>.venv/bin/python manage.py import_target_firms --apply --created-by-email admin@flexgcc.com</w:t>
      </w:r>
    </w:p>
    <w:p>
      <w:pPr>
        <w:spacing w:before="120" w:after="160"/>
        <w:ind w:left="173" w:right="86"/>
        <w:shd w:fill="FDECEC"/>
        <w:pBdr>
          <w:left w:val="single" w:sz="18" w:space="8" w:color="9B1C1C"/>
        </w:pBdr>
      </w:pPr>
      <w:r>
        <w:rPr>
          <w:rFonts w:ascii="Calibri" w:hAnsi="Calibri"/>
          <w:b/>
          <w:color w:val="9B1C1C"/>
        </w:rPr>
        <w:t xml:space="preserve">Data mutation: </w:t>
      </w:r>
      <w:r>
        <w:rPr>
          <w:rFonts w:ascii="Calibri" w:hAnsi="Calibri"/>
          <w:color w:val="111827"/>
        </w:rPr>
        <w:t>The first command is a rolled-back rehearsal. The --apply command creates production records. Require explicit business authorization, confirm the actor email exists, and review the source lists before triggering the production workflow.</w:t>
      </w:r>
    </w:p>
    <w:p>
      <w:pPr>
        <w:pStyle w:val="Heading1"/>
      </w:pPr>
      <w:r>
        <w:t>16. API operations</w:t>
      </w:r>
    </w:p>
    <w:p>
      <w:pPr>
        <w:numPr>
          <w:ilvl w:val="0"/>
          <w:numId w:val="20"/>
        </w:numPr>
      </w:pPr>
      <w:r>
        <w:rPr>
          <w:rFonts w:ascii="Calibri" w:hAnsi="Calibri"/>
          <w:color w:val="111827"/>
        </w:rPr>
        <w:t>Every logged-in user can generate and revoke personal persistent access tokens at /api-access/.</w:t>
      </w:r>
    </w:p>
    <w:p>
      <w:pPr>
        <w:numPr>
          <w:ilvl w:val="0"/>
          <w:numId w:val="20"/>
        </w:numPr>
      </w:pPr>
      <w:r>
        <w:rPr>
          <w:rFonts w:ascii="Calibri" w:hAnsi="Calibri"/>
          <w:color w:val="111827"/>
        </w:rPr>
        <w:t>Raw tokens are shown once; only SHA-256 hashes are stored. Token prefixes and last-used timestamps aid identification.</w:t>
      </w:r>
    </w:p>
    <w:p>
      <w:pPr>
        <w:numPr>
          <w:ilvl w:val="0"/>
          <w:numId w:val="20"/>
        </w:numPr>
      </w:pPr>
      <w:r>
        <w:rPr>
          <w:rFonts w:ascii="Calibri" w:hAnsi="Calibri"/>
          <w:color w:val="111827"/>
        </w:rPr>
        <w:t>Tokens inherit the current user role and active state. Disabling the user prevents authorized use.</w:t>
      </w:r>
    </w:p>
    <w:p>
      <w:pPr>
        <w:numPr>
          <w:ilvl w:val="0"/>
          <w:numId w:val="20"/>
        </w:numPr>
      </w:pPr>
      <w:r>
        <w:rPr>
          <w:rFonts w:ascii="Calibri" w:hAnsi="Calibri"/>
          <w:color w:val="111827"/>
        </w:rPr>
        <w:t>Purpose endpoints reject unsupported fields, wrong types, invalid choices, and workflow violations with field-level errors.</w:t>
      </w:r>
    </w:p>
    <w:p>
      <w:pPr>
        <w:numPr>
          <w:ilvl w:val="0"/>
          <w:numId w:val="20"/>
        </w:numPr>
      </w:pPr>
      <w:r>
        <w:rPr>
          <w:rFonts w:ascii="Calibri" w:hAnsi="Calibri"/>
          <w:color w:val="111827"/>
        </w:rPr>
        <w:t>Successful company, prospect, and outreach changes create corresponding audit rows.</w:t>
      </w:r>
    </w:p>
    <w:p>
      <w:pPr>
        <w:numPr>
          <w:ilvl w:val="0"/>
          <w:numId w:val="20"/>
        </w:numPr>
      </w:pPr>
      <w:r>
        <w:rPr>
          <w:rFonts w:ascii="Calibri" w:hAnsi="Calibri"/>
          <w:color w:val="111827"/>
        </w:rPr>
        <w:t>There is no API delete for prospect or outreach workflow records.</w:t>
      </w:r>
    </w:p>
    <w:p>
      <w:pPr>
        <w:numPr>
          <w:ilvl w:val="0"/>
          <w:numId w:val="20"/>
        </w:numPr>
      </w:pPr>
      <w:r>
        <w:rPr>
          <w:rFonts w:ascii="Calibri" w:hAnsi="Calibri"/>
          <w:color w:val="111827"/>
        </w:rPr>
        <w:t>Suspected token exposure requires immediate revocation, investigation of last-used time and audit rows, and issuance of a new token only if still needed.</w:t>
      </w:r>
    </w:p>
    <w:p>
      <w:pPr>
        <w:pStyle w:val="Heading1"/>
      </w:pPr>
      <w:r>
        <w:t>17. Change-management checklist</w:t>
      </w:r>
    </w:p>
    <w:tbl>
      <w:tblPr>
        <w:tblStyle w:val="TableGrid"/>
        <w:tblW w:type="dxa" w:w="9360"/>
        <w:jc w:val="left"/>
        <w:tblLayout w:type="fixed"/>
        <w:tblLook w:firstColumn="1" w:firstRow="1" w:lastColumn="0" w:lastRow="0" w:noHBand="0" w:noVBand="1" w:val="04A0"/>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before="0" w:after="0" w:line="264" w:lineRule="auto"/>
            </w:pPr>
            <w:r>
              <w:rPr>
                <w:rFonts w:ascii="Calibri" w:hAnsi="Calibri"/>
                <w:b/>
                <w:color w:val="0B2545"/>
                <w:sz w:val="17"/>
              </w:rPr>
              <w:t>Change type</w:t>
            </w:r>
          </w:p>
        </w:tc>
        <w:tc>
          <w:tcPr>
            <w:tcW w:type="dxa" w:w="6860"/>
            <w:vAlign w:val="center"/>
            <w:shd w:fill="E8EEF5"/>
            <w:tcMar>
              <w:top w:w="80" w:type="dxa"/>
              <w:start w:w="120" w:type="dxa"/>
              <w:bottom w:w="80" w:type="dxa"/>
              <w:end w:w="120" w:type="dxa"/>
            </w:tcMar>
          </w:tcPr>
          <w:p>
            <w:pPr>
              <w:spacing w:before="0" w:after="0" w:line="264" w:lineRule="auto"/>
            </w:pPr>
            <w:r>
              <w:rPr>
                <w:rFonts w:ascii="Calibri" w:hAnsi="Calibri"/>
                <w:b/>
                <w:color w:val="0B2545"/>
                <w:sz w:val="17"/>
              </w:rPr>
              <w:t>Required analysis and evidence</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7"/>
              </w:rPr>
              <w:t>UI / workflow</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7"/>
              </w:rPr>
              <w:t>Role visibility, owner rules, browser validation, API parity, tests, user manual update, acceptance screenshots or walkthrough.</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7"/>
              </w:rPr>
              <w:t>API</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7"/>
              </w:rPr>
              <w:t>Authentication, role scope, input types/choices, validation, audit behavior, idempotency/concurrency, error codes, in-app guide, tests.</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7"/>
              </w:rPr>
              <w:t>Database</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7"/>
              </w:rPr>
              <w:t>Migration review, production data volume, locking, backward compatibility, backup/restore, forward and rollback tests.</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7"/>
              </w:rPr>
              <w:t>Authentication / roles</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7"/>
              </w:rPr>
              <w:t>Pre-provisioning, bootstrap access, last-admin protections, session/token effect, account recovery, least privilege.</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7"/>
              </w:rPr>
              <w:t>Bulk ingestion</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7"/>
              </w:rPr>
              <w:t>Header/file validation, duplicates, transaction boundary, row reporting, rollback protection, large-file behavior, tests.</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7"/>
              </w:rPr>
              <w:t>Deployment / infra</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7"/>
              </w:rPr>
              <w:t>Current-vs-alternate path, secret impact, connectivity, permissions, health checks, rollback, operational owner, runbook update.</w:t>
            </w:r>
          </w:p>
        </w:tc>
      </w:tr>
      <w:tr>
        <w:trPr>
          <w:cantSplit/>
        </w:trPr>
        <w:tc>
          <w:tcPr>
            <w:tcW w:type="dxa" w:w="2500"/>
            <w:vAlign w:val="center"/>
            <w:tcMar>
              <w:top w:w="80" w:type="dxa"/>
              <w:start w:w="120" w:type="dxa"/>
              <w:bottom w:w="80" w:type="dxa"/>
              <w:end w:w="120" w:type="dxa"/>
            </w:tcMar>
          </w:tcPr>
          <w:p>
            <w:pPr>
              <w:spacing w:before="0" w:after="0" w:line="264" w:lineRule="auto"/>
            </w:pPr>
            <w:r>
              <w:rPr>
                <w:rFonts w:ascii="Calibri" w:hAnsi="Calibri"/>
                <w:color w:val="111827"/>
                <w:sz w:val="17"/>
              </w:rPr>
              <w:t>Dependency</w:t>
            </w:r>
          </w:p>
        </w:tc>
        <w:tc>
          <w:tcPr>
            <w:tcW w:type="dxa" w:w="6860"/>
            <w:vAlign w:val="center"/>
            <w:tcMar>
              <w:top w:w="80" w:type="dxa"/>
              <w:start w:w="120" w:type="dxa"/>
              <w:bottom w:w="80" w:type="dxa"/>
              <w:end w:w="120" w:type="dxa"/>
            </w:tcMar>
          </w:tcPr>
          <w:p>
            <w:pPr>
              <w:spacing w:before="0" w:after="0" w:line="264" w:lineRule="auto"/>
            </w:pPr>
            <w:r>
              <w:rPr>
                <w:rFonts w:ascii="Calibri" w:hAnsi="Calibri"/>
                <w:color w:val="111827"/>
                <w:sz w:val="17"/>
              </w:rPr>
              <w:t>Pinned lock update, compatibility, advisories, migrations/static impact, CI and Docker build, production install time.</w:t>
            </w:r>
          </w:p>
        </w:tc>
      </w:tr>
    </w:tbl>
    <w:p>
      <w:pPr>
        <w:spacing w:before="0" w:after="20"/>
      </w:pPr>
    </w:p>
    <w:p>
      <w:pPr>
        <w:pStyle w:val="Heading1"/>
      </w:pPr>
      <w:r>
        <w:t>18. Handover inventory to complete</w:t>
      </w:r>
    </w:p>
    <w:p>
      <w:r>
        <w:rPr>
          <w:rFonts w:ascii="Calibri" w:hAnsi="Calibri"/>
          <w:i w:val="0"/>
          <w:color w:val="111827"/>
        </w:rPr>
        <w:t>The formal handover should attach current evidence for every item below. Do not infer ownership or settings from filenames alone.</w:t>
      </w:r>
    </w:p>
    <w:p>
      <w:pPr>
        <w:numPr>
          <w:ilvl w:val="0"/>
          <w:numId w:val="21"/>
        </w:numPr>
      </w:pPr>
      <w:r>
        <w:rPr>
          <w:rFonts w:ascii="Calibri" w:hAnsi="Calibri"/>
          <w:color w:val="111827"/>
        </w:rPr>
        <w:t>GitHub organization/repository owners, administrators, collaborators, deploy keys/apps, branch rules, environments, secrets, variables, and recent Actions history.</w:t>
      </w:r>
    </w:p>
    <w:p>
      <w:pPr>
        <w:numPr>
          <w:ilvl w:val="0"/>
          <w:numId w:val="21"/>
        </w:numPr>
      </w:pPr>
      <w:r>
        <w:rPr>
          <w:rFonts w:ascii="Calibri" w:hAnsi="Calibri"/>
          <w:color w:val="111827"/>
        </w:rPr>
        <w:t>AWS account ID and legal owner, region, IAM identities/roles, MFA/break-glass access, EC2 instance and volumes, Elastic IP, security groups, VPC/subnets/routes, DNS, certificate ownership, and cost owner.</w:t>
      </w:r>
    </w:p>
    <w:p>
      <w:pPr>
        <w:numPr>
          <w:ilvl w:val="0"/>
          <w:numId w:val="21"/>
        </w:numPr>
      </w:pPr>
      <w:r>
        <w:rPr>
          <w:rFonts w:ascii="Calibri" w:hAnsi="Calibri"/>
          <w:color w:val="111827"/>
        </w:rPr>
        <w:t>Linux administrator access, SSH-key lifecycle, package/OS patch status, sudo rules, service unit, Nginx sites, log locations/retention, disk utilization, and restart/recovery procedure.</w:t>
      </w:r>
    </w:p>
    <w:p>
      <w:pPr>
        <w:numPr>
          <w:ilvl w:val="0"/>
          <w:numId w:val="21"/>
        </w:numPr>
      </w:pPr>
      <w:r>
        <w:rPr>
          <w:rFonts w:ascii="Calibri" w:hAnsi="Calibri"/>
          <w:color w:val="111827"/>
        </w:rPr>
        <w:t>PostgreSQL hosting, endpoint, database/user ownership, version, network access, encryption, automated backups, retention, snapshots, point-in-time recovery, maintenance window, and last successful restore test.</w:t>
      </w:r>
    </w:p>
    <w:p>
      <w:pPr>
        <w:numPr>
          <w:ilvl w:val="0"/>
          <w:numId w:val="21"/>
        </w:numPr>
      </w:pPr>
      <w:r>
        <w:rPr>
          <w:rFonts w:ascii="Calibri" w:hAnsi="Calibri"/>
          <w:color w:val="111827"/>
        </w:rPr>
        <w:t>Google OAuth Cloud project owner, consent screen, authorized origins/redirect URIs, client-secret rotation date, and recovery contacts.</w:t>
      </w:r>
    </w:p>
    <w:p>
      <w:pPr>
        <w:numPr>
          <w:ilvl w:val="0"/>
          <w:numId w:val="21"/>
        </w:numPr>
      </w:pPr>
      <w:r>
        <w:rPr>
          <w:rFonts w:ascii="Calibri" w:hAnsi="Calibri"/>
          <w:color w:val="111827"/>
        </w:rPr>
        <w:t>Domain registrar/DNS owner, TLS renewal method, expiry monitoring, and emergency contacts.</w:t>
      </w:r>
    </w:p>
    <w:p>
      <w:pPr>
        <w:numPr>
          <w:ilvl w:val="0"/>
          <w:numId w:val="21"/>
        </w:numPr>
      </w:pPr>
      <w:r>
        <w:rPr>
          <w:rFonts w:ascii="Calibri" w:hAnsi="Calibri"/>
          <w:color w:val="111827"/>
        </w:rPr>
        <w:t>Production .env variable names, source of truth, custodian, rotation plan, and confirmation that no secret is copied into the handover document.</w:t>
      </w:r>
    </w:p>
    <w:p>
      <w:pPr>
        <w:numPr>
          <w:ilvl w:val="0"/>
          <w:numId w:val="21"/>
        </w:numPr>
      </w:pPr>
      <w:r>
        <w:rPr>
          <w:rFonts w:ascii="Calibri" w:hAnsi="Calibri"/>
          <w:color w:val="111827"/>
        </w:rPr>
        <w:t>Monitoring/alerting coverage, notification recipients, escalation tree, severity definitions, availability target, and incident communication channel.</w:t>
      </w:r>
    </w:p>
    <w:p>
      <w:pPr>
        <w:numPr>
          <w:ilvl w:val="0"/>
          <w:numId w:val="21"/>
        </w:numPr>
      </w:pPr>
      <w:r>
        <w:rPr>
          <w:rFonts w:ascii="Calibri" w:hAnsi="Calibri"/>
          <w:color w:val="111827"/>
        </w:rPr>
        <w:t>Current product backlog, known defects, support contacts, release calendar, pending migrations, integration consumers, outstanding access removals, and documentation gaps.</w:t>
      </w:r>
    </w:p>
    <w:p>
      <w:pPr>
        <w:numPr>
          <w:ilvl w:val="0"/>
          <w:numId w:val="21"/>
        </w:numPr>
      </w:pPr>
      <w:r>
        <w:rPr>
          <w:rFonts w:ascii="Calibri" w:hAnsi="Calibri"/>
          <w:color w:val="111827"/>
        </w:rPr>
        <w:t>Verified final parity: local/committed main SHA, production checkout SHA, public health, deployed workflow run, and clean repository status.</w:t>
      </w:r>
    </w:p>
    <w:p>
      <w:pPr>
        <w:pStyle w:val="Heading1"/>
      </w:pPr>
      <w:r>
        <w:t>19. Definition of a complete release</w:t>
      </w:r>
    </w:p>
    <w:p>
      <w:pPr>
        <w:numPr>
          <w:ilvl w:val="0"/>
          <w:numId w:val="22"/>
        </w:numPr>
      </w:pPr>
      <w:r>
        <w:rPr>
          <w:rFonts w:ascii="Calibri" w:hAnsi="Calibri"/>
          <w:color w:val="111827"/>
        </w:rPr>
        <w:t>Requirements and acceptance criteria approved by the accountable product owner.</w:t>
      </w:r>
    </w:p>
    <w:p>
      <w:pPr>
        <w:numPr>
          <w:ilvl w:val="0"/>
          <w:numId w:val="22"/>
        </w:numPr>
      </w:pPr>
      <w:r>
        <w:rPr>
          <w:rFonts w:ascii="Calibri" w:hAnsi="Calibri"/>
          <w:color w:val="111827"/>
        </w:rPr>
        <w:t>Code, migrations, tests, API guides, and operating documents are internally consistent.</w:t>
      </w:r>
    </w:p>
    <w:p>
      <w:pPr>
        <w:numPr>
          <w:ilvl w:val="0"/>
          <w:numId w:val="22"/>
        </w:numPr>
      </w:pPr>
      <w:r>
        <w:rPr>
          <w:rFonts w:ascii="Calibri" w:hAnsi="Calibri"/>
          <w:color w:val="111827"/>
        </w:rPr>
        <w:t>Local checks and GitHub CI pass for the same commit.</w:t>
      </w:r>
    </w:p>
    <w:p>
      <w:pPr>
        <w:numPr>
          <w:ilvl w:val="0"/>
          <w:numId w:val="22"/>
        </w:numPr>
      </w:pPr>
      <w:r>
        <w:rPr>
          <w:rFonts w:ascii="Calibri" w:hAnsi="Calibri"/>
          <w:color w:val="111827"/>
        </w:rPr>
        <w:t>Operational impact, data risk, secret/config changes, and rollback path are reviewed.</w:t>
      </w:r>
    </w:p>
    <w:p>
      <w:pPr>
        <w:numPr>
          <w:ilvl w:val="0"/>
          <w:numId w:val="22"/>
        </w:numPr>
      </w:pPr>
      <w:r>
        <w:rPr>
          <w:rFonts w:ascii="Calibri" w:hAnsi="Calibri"/>
          <w:color w:val="111827"/>
        </w:rPr>
        <w:t>The authorized commit is merged to main and the production deployment completes.</w:t>
      </w:r>
    </w:p>
    <w:p>
      <w:pPr>
        <w:numPr>
          <w:ilvl w:val="0"/>
          <w:numId w:val="22"/>
        </w:numPr>
      </w:pPr>
      <w:r>
        <w:rPr>
          <w:rFonts w:ascii="Calibri" w:hAnsi="Calibri"/>
          <w:color w:val="111827"/>
        </w:rPr>
        <w:t>Health and relevant read-only user journeys pass in production.</w:t>
      </w:r>
    </w:p>
    <w:p>
      <w:pPr>
        <w:numPr>
          <w:ilvl w:val="0"/>
          <w:numId w:val="22"/>
        </w:numPr>
      </w:pPr>
      <w:r>
        <w:rPr>
          <w:rFonts w:ascii="Calibri" w:hAnsi="Calibri"/>
          <w:color w:val="111827"/>
        </w:rPr>
        <w:t>Release evidence records commit, workflow run, verification, owner, time, and residual risk.</w:t>
      </w:r>
    </w:p>
    <w:p>
      <w:pPr>
        <w:numPr>
          <w:ilvl w:val="0"/>
          <w:numId w:val="22"/>
        </w:numPr>
      </w:pPr>
      <w:r>
        <w:rPr>
          <w:rFonts w:ascii="Calibri" w:hAnsi="Calibri"/>
          <w:color w:val="111827"/>
        </w:rPr>
        <w:t>Any follow-up has one owner and a specific due date.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8"/>
      </w:rPr>
      <w:t>FlexGCC Outreach | Technical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0">
    <w:abstractNumId w:val="9"/>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9"/>
    <w:lvlOverride w:ilvl="0">
      <w:startOverride w:val="1"/>
    </w:lvlOverride>
  </w:num>
  <w:num w:numId="18">
    <w:abstractNumId w:val="10"/>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64" w:lineRule="auto"/>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dgen.flexgcc.com" TargetMode="External"/><Relationship Id="rId12" Type="http://schemas.openxmlformats.org/officeDocument/2006/relationships/hyperlink" Target="https://github.com/gopalakrishnanplus-creator/FlexGCC-Outrea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Operations Guide</dc:title>
  <dc:subject>Repository, CI/CD, production operations, change management, incident response, and engineering ownership</dc:subject>
  <dc:creator>FlexGCC</dc:creator>
  <cp:keywords>FlexGCC Outreach, LeadGen, operations, handover</cp:keywords>
  <dc:description>Prepared from baseline commit 2f634ab53dbbffcaf1364f33b7c88fe5a2319109.</dc:description>
  <cp:lastModifiedBy/>
  <cp:revision>1</cp:revision>
  <dcterms:created xsi:type="dcterms:W3CDTF">2013-12-23T23:15:00Z</dcterms:created>
  <dcterms:modified xsi:type="dcterms:W3CDTF">2013-12-23T23:15:00Z</dcterms:modified>
  <cp:category/>
</cp:coreProperties>
</file>