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320"/>
        <w:jc w:val="center"/>
      </w:pPr>
      <w:r>
        <w:rPr>
          <w:rFonts w:ascii="Calibri" w:hAnsi="Calibri"/>
          <w:b/>
          <w:color w:val="2E74B5"/>
          <w:sz w:val="21"/>
        </w:rPr>
        <w:t>FLEXGCC OUTREACH</w:t>
      </w:r>
    </w:p>
    <w:p>
      <w:pPr>
        <w:pStyle w:val="Title"/>
        <w:jc w:val="center"/>
      </w:pPr>
      <w:r>
        <w:t>User Manual</w:t>
      </w:r>
    </w:p>
    <w:p>
      <w:pPr>
        <w:pStyle w:val="Subtitle"/>
        <w:jc w:val="center"/>
      </w:pPr>
      <w:r>
        <w:t>A role-by-role guide to qualifying prospects, recording outreach, and handing interested firms to founders</w:t>
      </w:r>
    </w:p>
    <w:p>
      <w:pPr>
        <w:spacing w:before="520" w:after="120"/>
        <w:jc w:val="center"/>
      </w:pPr>
      <w:r>
        <w:rPr>
          <w:rFonts w:ascii="Calibri" w:hAnsi="Calibri"/>
          <w:i/>
          <w:color w:val="5B6573"/>
          <w:sz w:val="22"/>
        </w:rPr>
        <w:t>Prepared for sales interns, inside-sales users, LinkedIn outreach users, managers, and system administrators</w:t>
      </w:r>
    </w:p>
    <w:p>
      <w:pPr>
        <w:spacing w:after="40"/>
        <w:jc w:val="center"/>
      </w:pPr>
      <w:r>
        <w:rPr>
          <w:rFonts w:ascii="Calibri" w:hAnsi="Calibri"/>
          <w:b/>
          <w:color w:val="0B2545"/>
          <w:sz w:val="20"/>
        </w:rPr>
        <w:t>Version 1.0  |  Baseline 2 September 2026</w:t>
      </w:r>
    </w:p>
    <w:p>
      <w:pPr>
        <w:spacing w:after="40"/>
        <w:jc w:val="center"/>
      </w:pPr>
      <w:r>
        <w:rPr>
          <w:rFonts w:ascii="Calibri" w:hAnsi="Calibri"/>
          <w:color w:val="5B6573"/>
          <w:sz w:val="19"/>
        </w:rPr>
        <w:t>Production baseline commit 2f634ab53dbb</w:t>
      </w:r>
    </w:p>
    <w:p>
      <w:pPr>
        <w:spacing w:before="760" w:after="60"/>
        <w:jc w:val="center"/>
      </w:pPr>
      <w:hyperlink r:id="rId11">
        <w:r>
          <w:rPr>
            <w:rFonts w:ascii="Calibri" w:hAnsi="Calibri"/>
            <w:color w:val="2E74B5"/>
            <w:u w:val="single"/>
            <w:b/>
          </w:rPr>
          <w:t>Open FlexGCC Outreach</w:t>
        </w:r>
      </w:hyperlink>
    </w:p>
    <w:p>
      <w:pPr>
        <w:jc w:val="center"/>
      </w:pPr>
      <w:hyperlink r:id="rId12">
        <w:r>
          <w:rPr>
            <w:rFonts w:ascii="Calibri" w:hAnsi="Calibri"/>
            <w:color w:val="2E74B5"/>
            <w:u w:val="single"/>
          </w:rPr>
          <w:t>Open the connected GitHub repository</w:t>
        </w:r>
      </w:hyperlink>
    </w:p>
    <w:p>
      <w:r>
        <w:br w:type="page"/>
      </w:r>
    </w:p>
    <w:p>
      <w:pPr>
        <w:pStyle w:val="Heading1"/>
      </w:pPr>
      <w:r>
        <w:t>Document control</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tblHeader w:val="true"/>
          <w:cantSplit/>
        </w:trPr>
        <w:tc>
          <w:tcPr>
            <w:tcW w:type="dxa" w:w="2700"/>
            <w:vAlign w:val="center"/>
            <w:shd w:fill="E8EEF5"/>
            <w:tcMar>
              <w:top w:w="80" w:type="dxa"/>
              <w:start w:w="120" w:type="dxa"/>
              <w:bottom w:w="80" w:type="dxa"/>
              <w:end w:w="120" w:type="dxa"/>
            </w:tcMar>
          </w:tcPr>
          <w:p>
            <w:pPr>
              <w:spacing w:before="0" w:after="0" w:line="264" w:lineRule="auto"/>
            </w:pPr>
            <w:r>
              <w:rPr>
                <w:rFonts w:ascii="Calibri" w:hAnsi="Calibri"/>
                <w:b/>
                <w:color w:val="0B2545"/>
                <w:sz w:val="19"/>
              </w:rPr>
              <w:t>Item</w:t>
            </w:r>
          </w:p>
        </w:tc>
        <w:tc>
          <w:tcPr>
            <w:tcW w:type="dxa" w:w="6660"/>
            <w:vAlign w:val="center"/>
            <w:shd w:fill="E8EEF5"/>
            <w:tcMar>
              <w:top w:w="80" w:type="dxa"/>
              <w:start w:w="120" w:type="dxa"/>
              <w:bottom w:w="80" w:type="dxa"/>
              <w:end w:w="120" w:type="dxa"/>
            </w:tcMar>
          </w:tcPr>
          <w:p>
            <w:pPr>
              <w:spacing w:before="0" w:after="0" w:line="264" w:lineRule="auto"/>
            </w:pPr>
            <w:r>
              <w:rPr>
                <w:rFonts w:ascii="Calibri" w:hAnsi="Calibri"/>
                <w:b/>
                <w:color w:val="0B2545"/>
                <w:sz w:val="19"/>
              </w:rPr>
              <w:t>Value</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Purpose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Explain how each user class completes its work in FlexGCC Outreach.</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Primary owner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Product operations / sales operations</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Source baseline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Production-aligned main at 2f634ab53dbb, reviewed 2 September 2026</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Review trigger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Any change to roles, navigation, prospect fields, workflow rules, bulk ingestion, API access, or user administration.</w:t>
            </w:r>
          </w:p>
        </w:tc>
      </w:tr>
    </w:tbl>
    <w:p>
      <w:pPr>
        <w:spacing w:before="0" w:after="20"/>
      </w:pPr>
    </w:p>
    <w:p>
      <w:pPr>
        <w:spacing w:before="120" w:after="160"/>
        <w:ind w:left="173" w:right="86"/>
        <w:shd w:fill="F4F6F9"/>
        <w:pBdr>
          <w:left w:val="single" w:sz="18" w:space="8" w:color="2E74B5"/>
        </w:pBdr>
      </w:pPr>
      <w:r>
        <w:rPr>
          <w:rFonts w:ascii="Calibri" w:hAnsi="Calibri"/>
          <w:b/>
          <w:color w:val="2E74B5"/>
        </w:rPr>
        <w:t xml:space="preserve">Scope: </w:t>
      </w:r>
      <w:r>
        <w:rPr>
          <w:rFonts w:ascii="Calibri" w:hAnsi="Calibri"/>
          <w:color w:val="111827"/>
        </w:rPr>
        <w:t>This document describes the product and checked-in operating model at the stated baseline. It contains no credentials. Production access, AWS resource identities, backup settings, and third-party account ownership must be verified during the formal handover.</w:t>
      </w:r>
    </w:p>
    <w:p>
      <w:pPr>
        <w:pStyle w:val="Heading1"/>
      </w:pPr>
      <w:r>
        <w:t>1. Start here</w:t>
      </w:r>
    </w:p>
    <w:p>
      <w:r>
        <w:rPr>
          <w:rFonts w:ascii="Calibri" w:hAnsi="Calibri"/>
          <w:i w:val="0"/>
          <w:color w:val="111827"/>
        </w:rPr>
        <w:t>FlexGCC Outreach is the working record for moving a consulting-firm prospect from research to a founder meeting. Use it to prevent duplicate outreach, keep one accountable owner, record every contact attempt, and give founders a factual handoff.</w:t>
      </w:r>
    </w:p>
    <w:p>
      <w:pPr>
        <w:pStyle w:val="Heading2"/>
      </w:pPr>
      <w:r>
        <w:t>Sign in</w:t>
      </w:r>
    </w:p>
    <w:p>
      <w:pPr>
        <w:numPr>
          <w:ilvl w:val="0"/>
          <w:numId w:val="10"/>
        </w:numPr>
      </w:pPr>
      <w:r>
        <w:rPr>
          <w:rFonts w:ascii="Calibri" w:hAnsi="Calibri"/>
          <w:color w:val="111827"/>
        </w:rPr>
        <w:t>Open https://leadgen.flexgcc.com.</w:t>
      </w:r>
    </w:p>
    <w:p>
      <w:pPr>
        <w:numPr>
          <w:ilvl w:val="0"/>
          <w:numId w:val="10"/>
        </w:numPr>
      </w:pPr>
      <w:r>
        <w:rPr>
          <w:rFonts w:ascii="Calibri" w:hAnsi="Calibri"/>
          <w:color w:val="111827"/>
        </w:rPr>
        <w:t>Select the Google sign-in option and choose the exact email address approved by a system administrator.</w:t>
      </w:r>
    </w:p>
    <w:p>
      <w:pPr>
        <w:numPr>
          <w:ilvl w:val="0"/>
          <w:numId w:val="10"/>
        </w:numPr>
      </w:pPr>
      <w:r>
        <w:rPr>
          <w:rFonts w:ascii="Calibri" w:hAnsi="Calibri"/>
          <w:color w:val="111827"/>
        </w:rPr>
        <w:t>After sign-in, confirm that the user class shown beside your name is correct.</w:t>
      </w:r>
    </w:p>
    <w:p>
      <w:pPr>
        <w:numPr>
          <w:ilvl w:val="0"/>
          <w:numId w:val="10"/>
        </w:numPr>
      </w:pPr>
      <w:r>
        <w:rPr>
          <w:rFonts w:ascii="Calibri" w:hAnsi="Calibri"/>
          <w:color w:val="111827"/>
        </w:rPr>
        <w:t>If access is denied, ask a system administrator to add or restore your exact Google email and assign the correct class. Do not create a second account.</w:t>
      </w:r>
    </w:p>
    <w:p>
      <w:pPr>
        <w:pStyle w:val="Heading2"/>
      </w:pPr>
      <w:r>
        <w:t>Main navigation</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550"/>
        <w:gridCol w:w="4900"/>
        <w:gridCol w:w="2910"/>
      </w:tblGrid>
      <w:tr>
        <w:trPr>
          <w:tblHeader w:val="true"/>
          <w:cantSplit/>
        </w:trPr>
        <w:tc>
          <w:tcPr>
            <w:tcW w:type="dxa" w:w="155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Item</w:t>
            </w:r>
          </w:p>
        </w:tc>
        <w:tc>
          <w:tcPr>
            <w:tcW w:type="dxa" w:w="49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What it does</w:t>
            </w:r>
          </w:p>
        </w:tc>
        <w:tc>
          <w:tcPr>
            <w:tcW w:type="dxa" w:w="291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Who sees it</w:t>
            </w:r>
          </w:p>
        </w:tc>
      </w:tr>
      <w:tr>
        <w:trPr>
          <w:cantSplit/>
        </w:trPr>
        <w:tc>
          <w:tcPr>
            <w:tcW w:type="dxa" w:w="1550"/>
            <w:vAlign w:val="center"/>
            <w:tcMar>
              <w:top w:w="80" w:type="dxa"/>
              <w:start w:w="120" w:type="dxa"/>
              <w:bottom w:w="80" w:type="dxa"/>
              <w:end w:w="120" w:type="dxa"/>
            </w:tcMar>
          </w:tcPr>
          <w:p>
            <w:pPr>
              <w:spacing w:before="0" w:after="0" w:line="264" w:lineRule="auto"/>
            </w:pPr>
            <w:r>
              <w:rPr>
                <w:rFonts w:ascii="Calibri" w:hAnsi="Calibri"/>
                <w:color w:val="111827"/>
                <w:sz w:val="18"/>
              </w:rPr>
              <w:t>Dashboard</w:t>
            </w:r>
          </w:p>
        </w:tc>
        <w:tc>
          <w:tcPr>
            <w:tcW w:type="dxa" w:w="4900"/>
            <w:vAlign w:val="center"/>
            <w:tcMar>
              <w:top w:w="80" w:type="dxa"/>
              <w:start w:w="120" w:type="dxa"/>
              <w:bottom w:w="80" w:type="dxa"/>
              <w:end w:w="120" w:type="dxa"/>
            </w:tcMar>
          </w:tcPr>
          <w:p>
            <w:pPr>
              <w:spacing w:before="0" w:after="0" w:line="264" w:lineRule="auto"/>
            </w:pPr>
            <w:r>
              <w:rPr>
                <w:rFonts w:ascii="Calibri" w:hAnsi="Calibri"/>
                <w:color w:val="111827"/>
                <w:sz w:val="18"/>
              </w:rPr>
              <w:t>Shows the pipeline, priorities, filters, exports, imports, and prospect records available to you.</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8"/>
              </w:rPr>
              <w:t>All users</w:t>
            </w:r>
          </w:p>
        </w:tc>
      </w:tr>
      <w:tr>
        <w:trPr>
          <w:cantSplit/>
        </w:trPr>
        <w:tc>
          <w:tcPr>
            <w:tcW w:type="dxa" w:w="1550"/>
            <w:vAlign w:val="center"/>
            <w:tcMar>
              <w:top w:w="80" w:type="dxa"/>
              <w:start w:w="120" w:type="dxa"/>
              <w:bottom w:w="80" w:type="dxa"/>
              <w:end w:w="120" w:type="dxa"/>
            </w:tcMar>
          </w:tcPr>
          <w:p>
            <w:pPr>
              <w:spacing w:before="0" w:after="0" w:line="264" w:lineRule="auto"/>
            </w:pPr>
            <w:r>
              <w:rPr>
                <w:rFonts w:ascii="Calibri" w:hAnsi="Calibri"/>
                <w:color w:val="111827"/>
                <w:sz w:val="18"/>
              </w:rPr>
              <w:t>Users</w:t>
            </w:r>
          </w:p>
        </w:tc>
        <w:tc>
          <w:tcPr>
            <w:tcW w:type="dxa" w:w="4900"/>
            <w:vAlign w:val="center"/>
            <w:tcMar>
              <w:top w:w="80" w:type="dxa"/>
              <w:start w:w="120" w:type="dxa"/>
              <w:bottom w:w="80" w:type="dxa"/>
              <w:end w:w="120" w:type="dxa"/>
            </w:tcMar>
          </w:tcPr>
          <w:p>
            <w:pPr>
              <w:spacing w:before="0" w:after="0" w:line="264" w:lineRule="auto"/>
            </w:pPr>
            <w:r>
              <w:rPr>
                <w:rFonts w:ascii="Calibri" w:hAnsi="Calibri"/>
                <w:color w:val="111827"/>
                <w:sz w:val="18"/>
              </w:rPr>
              <w:t>Adds, edits, disables, restores, or removes user accounts.</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8"/>
              </w:rPr>
              <w:t>System admin only</w:t>
            </w:r>
          </w:p>
        </w:tc>
      </w:tr>
      <w:tr>
        <w:trPr>
          <w:cantSplit/>
        </w:trPr>
        <w:tc>
          <w:tcPr>
            <w:tcW w:type="dxa" w:w="1550"/>
            <w:vAlign w:val="center"/>
            <w:tcMar>
              <w:top w:w="80" w:type="dxa"/>
              <w:start w:w="120" w:type="dxa"/>
              <w:bottom w:w="80" w:type="dxa"/>
              <w:end w:w="120" w:type="dxa"/>
            </w:tcMar>
          </w:tcPr>
          <w:p>
            <w:pPr>
              <w:spacing w:before="0" w:after="0" w:line="264" w:lineRule="auto"/>
            </w:pPr>
            <w:r>
              <w:rPr>
                <w:rFonts w:ascii="Calibri" w:hAnsi="Calibri"/>
                <w:color w:val="111827"/>
                <w:sz w:val="18"/>
              </w:rPr>
              <w:t>API access</w:t>
            </w:r>
          </w:p>
        </w:tc>
        <w:tc>
          <w:tcPr>
            <w:tcW w:type="dxa" w:w="4900"/>
            <w:vAlign w:val="center"/>
            <w:tcMar>
              <w:top w:w="80" w:type="dxa"/>
              <w:start w:w="120" w:type="dxa"/>
              <w:bottom w:w="80" w:type="dxa"/>
              <w:end w:w="120" w:type="dxa"/>
            </w:tcMar>
          </w:tcPr>
          <w:p>
            <w:pPr>
              <w:spacing w:before="0" w:after="0" w:line="264" w:lineRule="auto"/>
            </w:pPr>
            <w:r>
              <w:rPr>
                <w:rFonts w:ascii="Calibri" w:hAnsi="Calibri"/>
                <w:color w:val="111827"/>
                <w:sz w:val="18"/>
              </w:rPr>
              <w:t>Creates or revokes personal API tokens and opens one guide for each API.</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8"/>
              </w:rPr>
              <w:t>All users</w:t>
            </w:r>
          </w:p>
        </w:tc>
      </w:tr>
      <w:tr>
        <w:trPr>
          <w:cantSplit/>
        </w:trPr>
        <w:tc>
          <w:tcPr>
            <w:tcW w:type="dxa" w:w="1550"/>
            <w:vAlign w:val="center"/>
            <w:tcMar>
              <w:top w:w="80" w:type="dxa"/>
              <w:start w:w="120" w:type="dxa"/>
              <w:bottom w:w="80" w:type="dxa"/>
              <w:end w:w="120" w:type="dxa"/>
            </w:tcMar>
          </w:tcPr>
          <w:p>
            <w:pPr>
              <w:spacing w:before="0" w:after="0" w:line="264" w:lineRule="auto"/>
            </w:pPr>
            <w:r>
              <w:rPr>
                <w:rFonts w:ascii="Calibri" w:hAnsi="Calibri"/>
                <w:color w:val="111827"/>
                <w:sz w:val="18"/>
              </w:rPr>
              <w:t>+ Add prospect</w:t>
            </w:r>
          </w:p>
        </w:tc>
        <w:tc>
          <w:tcPr>
            <w:tcW w:type="dxa" w:w="4900"/>
            <w:vAlign w:val="center"/>
            <w:tcMar>
              <w:top w:w="80" w:type="dxa"/>
              <w:start w:w="120" w:type="dxa"/>
              <w:bottom w:w="80" w:type="dxa"/>
              <w:end w:w="120" w:type="dxa"/>
            </w:tcMar>
          </w:tcPr>
          <w:p>
            <w:pPr>
              <w:spacing w:before="0" w:after="0" w:line="264" w:lineRule="auto"/>
            </w:pPr>
            <w:r>
              <w:rPr>
                <w:rFonts w:ascii="Calibri" w:hAnsi="Calibri"/>
                <w:color w:val="111827"/>
                <w:sz w:val="18"/>
              </w:rPr>
              <w:t>Creates one prospect manually or opens the bulk CSV ingestion route.</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8"/>
              </w:rPr>
              <w:t>All users</w:t>
            </w:r>
          </w:p>
        </w:tc>
      </w:tr>
      <w:tr>
        <w:trPr>
          <w:cantSplit/>
        </w:trPr>
        <w:tc>
          <w:tcPr>
            <w:tcW w:type="dxa" w:w="1550"/>
            <w:vAlign w:val="center"/>
            <w:tcMar>
              <w:top w:w="80" w:type="dxa"/>
              <w:start w:w="120" w:type="dxa"/>
              <w:bottom w:w="80" w:type="dxa"/>
              <w:end w:w="120" w:type="dxa"/>
            </w:tcMar>
          </w:tcPr>
          <w:p>
            <w:pPr>
              <w:spacing w:before="0" w:after="0" w:line="264" w:lineRule="auto"/>
            </w:pPr>
            <w:r>
              <w:rPr>
                <w:rFonts w:ascii="Calibri" w:hAnsi="Calibri"/>
                <w:color w:val="111827"/>
                <w:sz w:val="18"/>
              </w:rPr>
              <w:t>Sign out</w:t>
            </w:r>
          </w:p>
        </w:tc>
        <w:tc>
          <w:tcPr>
            <w:tcW w:type="dxa" w:w="4900"/>
            <w:vAlign w:val="center"/>
            <w:tcMar>
              <w:top w:w="80" w:type="dxa"/>
              <w:start w:w="120" w:type="dxa"/>
              <w:bottom w:w="80" w:type="dxa"/>
              <w:end w:w="120" w:type="dxa"/>
            </w:tcMar>
          </w:tcPr>
          <w:p>
            <w:pPr>
              <w:spacing w:before="0" w:after="0" w:line="264" w:lineRule="auto"/>
            </w:pPr>
            <w:r>
              <w:rPr>
                <w:rFonts w:ascii="Calibri" w:hAnsi="Calibri"/>
                <w:color w:val="111827"/>
                <w:sz w:val="18"/>
              </w:rPr>
              <w:t>Ends the current browser session.</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8"/>
              </w:rPr>
              <w:t>All users</w:t>
            </w:r>
          </w:p>
        </w:tc>
      </w:tr>
    </w:tbl>
    <w:p>
      <w:pPr>
        <w:spacing w:before="0" w:after="20"/>
      </w:pPr>
    </w:p>
    <w:p>
      <w:pPr>
        <w:pStyle w:val="Heading1"/>
      </w:pPr>
      <w:r>
        <w:t>2. Concepts every user should understand</w:t>
      </w:r>
    </w:p>
    <w:p>
      <w:pPr>
        <w:pStyle w:val="Heading2"/>
      </w:pPr>
      <w:r>
        <w:t>Company, prospect, and workstream</w:t>
      </w:r>
    </w:p>
    <w:p>
      <w:pPr>
        <w:numPr>
          <w:ilvl w:val="0"/>
          <w:numId w:val="11"/>
        </w:numPr>
      </w:pPr>
      <w:r>
        <w:rPr>
          <w:rFonts w:ascii="Calibri" w:hAnsi="Calibri"/>
          <w:color w:val="111827"/>
        </w:rPr>
        <w:t>Company: the real consulting firm. The system gives it an immutable UUID shared by that company's workstream records.</w:t>
      </w:r>
    </w:p>
    <w:p>
      <w:pPr>
        <w:numPr>
          <w:ilvl w:val="0"/>
          <w:numId w:val="11"/>
        </w:numPr>
      </w:pPr>
      <w:r>
        <w:rPr>
          <w:rFonts w:ascii="Calibri" w:hAnsi="Calibri"/>
          <w:color w:val="111827"/>
        </w:rPr>
        <w:t>Prospect: one company's record inside one workstream. It has a numeric prospect ID, owner, stage, status, contact details, outreach history, and handoff fields.</w:t>
      </w:r>
    </w:p>
    <w:p>
      <w:pPr>
        <w:numPr>
          <w:ilvl w:val="0"/>
          <w:numId w:val="11"/>
        </w:numPr>
      </w:pPr>
      <w:r>
        <w:rPr>
          <w:rFonts w:ascii="Calibri" w:hAnsi="Calibri"/>
          <w:color w:val="111827"/>
        </w:rPr>
        <w:t>Workstream: Sales intern, Inside sales, or LinkedIn outreach. A company may have a separate prospect in more than one workstream, while duplicates are blocked within the same workstream.</w:t>
      </w:r>
    </w:p>
    <w:p>
      <w:pPr>
        <w:numPr>
          <w:ilvl w:val="0"/>
          <w:numId w:val="11"/>
        </w:numPr>
      </w:pPr>
      <w:r>
        <w:rPr>
          <w:rFonts w:ascii="Calibri" w:hAnsi="Calibri"/>
          <w:color w:val="111827"/>
        </w:rPr>
        <w:t>Owner: the frontline user responsible for the prospect. An unassigned prospect sits in the matching role queue until claimed or assigned.</w:t>
      </w:r>
    </w:p>
    <w:p>
      <w:pPr>
        <w:spacing w:before="120" w:after="160"/>
        <w:ind w:left="173" w:right="86"/>
        <w:shd w:fill="F4F6F9"/>
        <w:pBdr>
          <w:left w:val="single" w:sz="18" w:space="8" w:color="2E74B5"/>
        </w:pBdr>
      </w:pPr>
      <w:r>
        <w:rPr>
          <w:rFonts w:ascii="Calibri" w:hAnsi="Calibri"/>
          <w:b/>
          <w:color w:val="2E74B5"/>
        </w:rPr>
        <w:t xml:space="preserve">Identity rule: </w:t>
      </w:r>
      <w:r>
        <w:rPr>
          <w:rFonts w:ascii="Calibri" w:hAnsi="Calibri"/>
          <w:color w:val="111827"/>
        </w:rPr>
        <w:t>Use the UUID when an integration needs the company. Use the numeric prospect ID when updating a specific workstream record or its outreach history.</w:t>
      </w:r>
    </w:p>
    <w:p>
      <w:pPr>
        <w:pStyle w:val="Heading2"/>
      </w:pPr>
      <w:r>
        <w:t>Playbook stages</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Stage</w:t>
            </w:r>
          </w:p>
        </w:tc>
        <w:tc>
          <w:tcPr>
            <w:tcW w:type="dxa" w:w="68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Meaning</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Research required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The imported or newly queued firm still needs qualification and contact research.</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Eligible</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Required qualification and contact details have been completed.</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Contacted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At least one outreach activity has been recorded.</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Responded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 response or factual response note has been recorded.</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Interested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The outcome is Meeting to be scheduled.</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Founder meeting booked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The outcome is Meeting scheduled and all meeting details are present.</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Meeting completed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The outcome is Meeting done.</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Closed</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The outcome is Not interested.</w:t>
            </w:r>
          </w:p>
        </w:tc>
      </w:tr>
    </w:tbl>
    <w:p>
      <w:pPr>
        <w:spacing w:before="0" w:after="20"/>
      </w:pPr>
    </w:p>
    <w:p>
      <w:pPr>
        <w:pStyle w:val="Heading2"/>
      </w:pPr>
      <w:r>
        <w:t>Outcome statuses</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450"/>
        <w:gridCol w:w="3950"/>
        <w:gridCol w:w="2960"/>
      </w:tblGrid>
      <w:tr>
        <w:trPr>
          <w:tblHeader w:val="true"/>
          <w:cantSplit/>
        </w:trPr>
        <w:tc>
          <w:tcPr>
            <w:tcW w:type="dxa" w:w="245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Status</w:t>
            </w:r>
          </w:p>
        </w:tc>
        <w:tc>
          <w:tcPr>
            <w:tcW w:type="dxa" w:w="395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Use when</w:t>
            </w:r>
          </w:p>
        </w:tc>
        <w:tc>
          <w:tcPr>
            <w:tcW w:type="dxa" w:w="29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Stage effect</w:t>
            </w:r>
          </w:p>
        </w:tc>
      </w:tr>
      <w:tr>
        <w:trPr>
          <w:cantSplit/>
        </w:trPr>
        <w:tc>
          <w:tcPr>
            <w:tcW w:type="dxa" w:w="2450"/>
            <w:vAlign w:val="center"/>
            <w:tcMar>
              <w:top w:w="80" w:type="dxa"/>
              <w:start w:w="120" w:type="dxa"/>
              <w:bottom w:w="80" w:type="dxa"/>
              <w:end w:w="120" w:type="dxa"/>
            </w:tcMar>
          </w:tcPr>
          <w:p>
            <w:pPr>
              <w:spacing w:before="0" w:after="0" w:line="264" w:lineRule="auto"/>
            </w:pPr>
            <w:r>
              <w:rPr>
                <w:rFonts w:ascii="Calibri" w:hAnsi="Calibri"/>
                <w:color w:val="111827"/>
                <w:sz w:val="18"/>
              </w:rPr>
              <w:t>Not yet responded</w:t>
            </w:r>
          </w:p>
        </w:tc>
        <w:tc>
          <w:tcPr>
            <w:tcW w:type="dxa" w:w="3950"/>
            <w:vAlign w:val="center"/>
            <w:tcMar>
              <w:top w:w="80" w:type="dxa"/>
              <w:start w:w="120" w:type="dxa"/>
              <w:bottom w:w="80" w:type="dxa"/>
              <w:end w:w="120" w:type="dxa"/>
            </w:tcMar>
          </w:tcPr>
          <w:p>
            <w:pPr>
              <w:spacing w:before="0" w:after="0" w:line="264" w:lineRule="auto"/>
            </w:pPr>
            <w:r>
              <w:rPr>
                <w:rFonts w:ascii="Calibri" w:hAnsi="Calibri"/>
                <w:color w:val="111827"/>
                <w:sz w:val="18"/>
              </w:rPr>
              <w:t>No final prospect outcome has been established.</w:t>
            </w:r>
          </w:p>
        </w:tc>
        <w:tc>
          <w:tcPr>
            <w:tcW w:type="dxa" w:w="2960"/>
            <w:vAlign w:val="center"/>
            <w:tcMar>
              <w:top w:w="80" w:type="dxa"/>
              <w:start w:w="120" w:type="dxa"/>
              <w:bottom w:w="80" w:type="dxa"/>
              <w:end w:w="120" w:type="dxa"/>
            </w:tcMar>
          </w:tcPr>
          <w:p>
            <w:pPr>
              <w:spacing w:before="0" w:after="0" w:line="264" w:lineRule="auto"/>
            </w:pPr>
            <w:r>
              <w:rPr>
                <w:rFonts w:ascii="Calibri" w:hAnsi="Calibri"/>
                <w:color w:val="111827"/>
                <w:sz w:val="18"/>
              </w:rPr>
              <w:t>Does not force the stage backwards.</w:t>
            </w:r>
          </w:p>
        </w:tc>
      </w:tr>
      <w:tr>
        <w:trPr>
          <w:cantSplit/>
        </w:trPr>
        <w:tc>
          <w:tcPr>
            <w:tcW w:type="dxa" w:w="2450"/>
            <w:vAlign w:val="center"/>
            <w:tcMar>
              <w:top w:w="80" w:type="dxa"/>
              <w:start w:w="120" w:type="dxa"/>
              <w:bottom w:w="80" w:type="dxa"/>
              <w:end w:w="120" w:type="dxa"/>
            </w:tcMar>
          </w:tcPr>
          <w:p>
            <w:pPr>
              <w:spacing w:before="0" w:after="0" w:line="264" w:lineRule="auto"/>
            </w:pPr>
            <w:r>
              <w:rPr>
                <w:rFonts w:ascii="Calibri" w:hAnsi="Calibri"/>
                <w:color w:val="111827"/>
                <w:sz w:val="18"/>
              </w:rPr>
              <w:t>Not interested</w:t>
            </w:r>
          </w:p>
        </w:tc>
        <w:tc>
          <w:tcPr>
            <w:tcW w:type="dxa" w:w="3950"/>
            <w:vAlign w:val="center"/>
            <w:tcMar>
              <w:top w:w="80" w:type="dxa"/>
              <w:start w:w="120" w:type="dxa"/>
              <w:bottom w:w="80" w:type="dxa"/>
              <w:end w:w="120" w:type="dxa"/>
            </w:tcMar>
          </w:tcPr>
          <w:p>
            <w:pPr>
              <w:spacing w:before="0" w:after="0" w:line="264" w:lineRule="auto"/>
            </w:pPr>
            <w:r>
              <w:rPr>
                <w:rFonts w:ascii="Calibri" w:hAnsi="Calibri"/>
                <w:color w:val="111827"/>
                <w:sz w:val="18"/>
              </w:rPr>
              <w:t>The prospect has declined or is not proceeding.</w:t>
            </w:r>
          </w:p>
        </w:tc>
        <w:tc>
          <w:tcPr>
            <w:tcW w:type="dxa" w:w="2960"/>
            <w:vAlign w:val="center"/>
            <w:tcMar>
              <w:top w:w="80" w:type="dxa"/>
              <w:start w:w="120" w:type="dxa"/>
              <w:bottom w:w="80" w:type="dxa"/>
              <w:end w:w="120" w:type="dxa"/>
            </w:tcMar>
          </w:tcPr>
          <w:p>
            <w:pPr>
              <w:spacing w:before="0" w:after="0" w:line="264" w:lineRule="auto"/>
            </w:pPr>
            <w:r>
              <w:rPr>
                <w:rFonts w:ascii="Calibri" w:hAnsi="Calibri"/>
                <w:color w:val="111827"/>
                <w:sz w:val="18"/>
              </w:rPr>
              <w:t>Moves to Closed.</w:t>
            </w:r>
          </w:p>
        </w:tc>
      </w:tr>
      <w:tr>
        <w:trPr>
          <w:cantSplit/>
        </w:trPr>
        <w:tc>
          <w:tcPr>
            <w:tcW w:type="dxa" w:w="2450"/>
            <w:vAlign w:val="center"/>
            <w:tcMar>
              <w:top w:w="80" w:type="dxa"/>
              <w:start w:w="120" w:type="dxa"/>
              <w:bottom w:w="80" w:type="dxa"/>
              <w:end w:w="120" w:type="dxa"/>
            </w:tcMar>
          </w:tcPr>
          <w:p>
            <w:pPr>
              <w:spacing w:before="0" w:after="0" w:line="264" w:lineRule="auto"/>
            </w:pPr>
            <w:r>
              <w:rPr>
                <w:rFonts w:ascii="Calibri" w:hAnsi="Calibri"/>
                <w:color w:val="111827"/>
                <w:sz w:val="18"/>
              </w:rPr>
              <w:t>Meeting to be scheduled</w:t>
            </w:r>
          </w:p>
        </w:tc>
        <w:tc>
          <w:tcPr>
            <w:tcW w:type="dxa" w:w="3950"/>
            <w:vAlign w:val="center"/>
            <w:tcMar>
              <w:top w:w="80" w:type="dxa"/>
              <w:start w:w="120" w:type="dxa"/>
              <w:bottom w:w="80" w:type="dxa"/>
              <w:end w:w="120" w:type="dxa"/>
            </w:tcMar>
          </w:tcPr>
          <w:p>
            <w:pPr>
              <w:spacing w:before="0" w:after="0" w:line="264" w:lineRule="auto"/>
            </w:pPr>
            <w:r>
              <w:rPr>
                <w:rFonts w:ascii="Calibri" w:hAnsi="Calibri"/>
                <w:color w:val="111827"/>
                <w:sz w:val="18"/>
              </w:rPr>
              <w:t>Interest is confirmed and the next task is agreeing a time.</w:t>
            </w:r>
          </w:p>
        </w:tc>
        <w:tc>
          <w:tcPr>
            <w:tcW w:type="dxa" w:w="2960"/>
            <w:vAlign w:val="center"/>
            <w:tcMar>
              <w:top w:w="80" w:type="dxa"/>
              <w:start w:w="120" w:type="dxa"/>
              <w:bottom w:w="80" w:type="dxa"/>
              <w:end w:w="120" w:type="dxa"/>
            </w:tcMar>
          </w:tcPr>
          <w:p>
            <w:pPr>
              <w:spacing w:before="0" w:after="0" w:line="264" w:lineRule="auto"/>
            </w:pPr>
            <w:r>
              <w:rPr>
                <w:rFonts w:ascii="Calibri" w:hAnsi="Calibri"/>
                <w:color w:val="111827"/>
                <w:sz w:val="18"/>
              </w:rPr>
              <w:t>Moves to Interested.</w:t>
            </w:r>
          </w:p>
        </w:tc>
      </w:tr>
      <w:tr>
        <w:trPr>
          <w:cantSplit/>
        </w:trPr>
        <w:tc>
          <w:tcPr>
            <w:tcW w:type="dxa" w:w="2450"/>
            <w:vAlign w:val="center"/>
            <w:tcMar>
              <w:top w:w="80" w:type="dxa"/>
              <w:start w:w="120" w:type="dxa"/>
              <w:bottom w:w="80" w:type="dxa"/>
              <w:end w:w="120" w:type="dxa"/>
            </w:tcMar>
          </w:tcPr>
          <w:p>
            <w:pPr>
              <w:spacing w:before="0" w:after="0" w:line="264" w:lineRule="auto"/>
            </w:pPr>
            <w:r>
              <w:rPr>
                <w:rFonts w:ascii="Calibri" w:hAnsi="Calibri"/>
                <w:color w:val="111827"/>
                <w:sz w:val="18"/>
              </w:rPr>
              <w:t>Meeting scheduled</w:t>
            </w:r>
          </w:p>
        </w:tc>
        <w:tc>
          <w:tcPr>
            <w:tcW w:type="dxa" w:w="3950"/>
            <w:vAlign w:val="center"/>
            <w:tcMar>
              <w:top w:w="80" w:type="dxa"/>
              <w:start w:w="120" w:type="dxa"/>
              <w:bottom w:w="80" w:type="dxa"/>
              <w:end w:w="120" w:type="dxa"/>
            </w:tcMar>
          </w:tcPr>
          <w:p>
            <w:pPr>
              <w:spacing w:before="0" w:after="0" w:line="264" w:lineRule="auto"/>
            </w:pPr>
            <w:r>
              <w:rPr>
                <w:rFonts w:ascii="Calibri" w:hAnsi="Calibri"/>
                <w:color w:val="111827"/>
                <w:sz w:val="18"/>
              </w:rPr>
              <w:t>A founder meeting is confirmed.</w:t>
            </w:r>
          </w:p>
        </w:tc>
        <w:tc>
          <w:tcPr>
            <w:tcW w:type="dxa" w:w="2960"/>
            <w:vAlign w:val="center"/>
            <w:tcMar>
              <w:top w:w="80" w:type="dxa"/>
              <w:start w:w="120" w:type="dxa"/>
              <w:bottom w:w="80" w:type="dxa"/>
              <w:end w:w="120" w:type="dxa"/>
            </w:tcMar>
          </w:tcPr>
          <w:p>
            <w:pPr>
              <w:spacing w:before="0" w:after="0" w:line="264" w:lineRule="auto"/>
            </w:pPr>
            <w:r>
              <w:rPr>
                <w:rFonts w:ascii="Calibri" w:hAnsi="Calibri"/>
                <w:color w:val="111827"/>
                <w:sz w:val="18"/>
              </w:rPr>
              <w:t>Moves to Founder meeting booked; requires date/time, time zone, and participants.</w:t>
            </w:r>
          </w:p>
        </w:tc>
      </w:tr>
      <w:tr>
        <w:trPr>
          <w:cantSplit/>
        </w:trPr>
        <w:tc>
          <w:tcPr>
            <w:tcW w:type="dxa" w:w="2450"/>
            <w:vAlign w:val="center"/>
            <w:tcMar>
              <w:top w:w="80" w:type="dxa"/>
              <w:start w:w="120" w:type="dxa"/>
              <w:bottom w:w="80" w:type="dxa"/>
              <w:end w:w="120" w:type="dxa"/>
            </w:tcMar>
          </w:tcPr>
          <w:p>
            <w:pPr>
              <w:spacing w:before="0" w:after="0" w:line="264" w:lineRule="auto"/>
            </w:pPr>
            <w:r>
              <w:rPr>
                <w:rFonts w:ascii="Calibri" w:hAnsi="Calibri"/>
                <w:color w:val="111827"/>
                <w:sz w:val="18"/>
              </w:rPr>
              <w:t>Meeting done</w:t>
            </w:r>
          </w:p>
        </w:tc>
        <w:tc>
          <w:tcPr>
            <w:tcW w:type="dxa" w:w="3950"/>
            <w:vAlign w:val="center"/>
            <w:tcMar>
              <w:top w:w="80" w:type="dxa"/>
              <w:start w:w="120" w:type="dxa"/>
              <w:bottom w:w="80" w:type="dxa"/>
              <w:end w:w="120" w:type="dxa"/>
            </w:tcMar>
          </w:tcPr>
          <w:p>
            <w:pPr>
              <w:spacing w:before="0" w:after="0" w:line="264" w:lineRule="auto"/>
            </w:pPr>
            <w:r>
              <w:rPr>
                <w:rFonts w:ascii="Calibri" w:hAnsi="Calibri"/>
                <w:color w:val="111827"/>
                <w:sz w:val="18"/>
              </w:rPr>
              <w:t>The founder meeting has occurred.</w:t>
            </w:r>
          </w:p>
        </w:tc>
        <w:tc>
          <w:tcPr>
            <w:tcW w:type="dxa" w:w="2960"/>
            <w:vAlign w:val="center"/>
            <w:tcMar>
              <w:top w:w="80" w:type="dxa"/>
              <w:start w:w="120" w:type="dxa"/>
              <w:bottom w:w="80" w:type="dxa"/>
              <w:end w:w="120" w:type="dxa"/>
            </w:tcMar>
          </w:tcPr>
          <w:p>
            <w:pPr>
              <w:spacing w:before="0" w:after="0" w:line="264" w:lineRule="auto"/>
            </w:pPr>
            <w:r>
              <w:rPr>
                <w:rFonts w:ascii="Calibri" w:hAnsi="Calibri"/>
                <w:color w:val="111827"/>
                <w:sz w:val="18"/>
              </w:rPr>
              <w:t>Moves to Meeting completed.</w:t>
            </w:r>
          </w:p>
        </w:tc>
      </w:tr>
    </w:tbl>
    <w:p>
      <w:pPr>
        <w:spacing w:before="0" w:after="20"/>
      </w:pPr>
    </w:p>
    <w:p>
      <w:pPr>
        <w:pStyle w:val="Heading1"/>
      </w:pPr>
      <w:r>
        <w:t>3. Access by user class</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900"/>
        <w:gridCol w:w="3400"/>
        <w:gridCol w:w="4060"/>
      </w:tblGrid>
      <w:tr>
        <w:trPr>
          <w:tblHeader w:val="true"/>
          <w:cantSplit/>
        </w:trPr>
        <w:tc>
          <w:tcPr>
            <w:tcW w:type="dxa" w:w="19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User class</w:t>
            </w:r>
          </w:p>
        </w:tc>
        <w:tc>
          <w:tcPr>
            <w:tcW w:type="dxa" w:w="34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Prospects visible</w:t>
            </w:r>
          </w:p>
        </w:tc>
        <w:tc>
          <w:tcPr>
            <w:tcW w:type="dxa" w:w="40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Main responsibility</w:t>
            </w:r>
          </w:p>
        </w:tc>
      </w:tr>
      <w:tr>
        <w:trPr>
          <w:cantSplit/>
        </w:trPr>
        <w:tc>
          <w:tcPr>
            <w:tcW w:type="dxa" w:w="1900"/>
            <w:vAlign w:val="center"/>
            <w:tcMar>
              <w:top w:w="80" w:type="dxa"/>
              <w:start w:w="120" w:type="dxa"/>
              <w:bottom w:w="80" w:type="dxa"/>
              <w:end w:w="120" w:type="dxa"/>
            </w:tcMar>
          </w:tcPr>
          <w:p>
            <w:pPr>
              <w:spacing w:before="0" w:after="0" w:line="264" w:lineRule="auto"/>
            </w:pPr>
            <w:r>
              <w:rPr>
                <w:rFonts w:ascii="Calibri" w:hAnsi="Calibri"/>
                <w:color w:val="111827"/>
                <w:sz w:val="18"/>
              </w:rPr>
              <w:t>Sales intern</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8"/>
              </w:rPr>
              <w:t>Owned prospects plus unassigned Sales intern queue.</w:t>
            </w:r>
          </w:p>
        </w:tc>
        <w:tc>
          <w:tcPr>
            <w:tcW w:type="dxa" w:w="4060"/>
            <w:vAlign w:val="center"/>
            <w:tcMar>
              <w:top w:w="80" w:type="dxa"/>
              <w:start w:w="120" w:type="dxa"/>
              <w:bottom w:w="80" w:type="dxa"/>
              <w:end w:w="120" w:type="dxa"/>
            </w:tcMar>
          </w:tcPr>
          <w:p>
            <w:pPr>
              <w:spacing w:before="0" w:after="0" w:line="264" w:lineRule="auto"/>
            </w:pPr>
            <w:r>
              <w:rPr>
                <w:rFonts w:ascii="Calibri" w:hAnsi="Calibri"/>
                <w:color w:val="111827"/>
                <w:sz w:val="18"/>
              </w:rPr>
              <w:t>Research, qualify, personalize, execute approved outreach, and hand off.</w:t>
            </w:r>
          </w:p>
        </w:tc>
      </w:tr>
      <w:tr>
        <w:trPr>
          <w:cantSplit/>
        </w:trPr>
        <w:tc>
          <w:tcPr>
            <w:tcW w:type="dxa" w:w="1900"/>
            <w:vAlign w:val="center"/>
            <w:tcMar>
              <w:top w:w="80" w:type="dxa"/>
              <w:start w:w="120" w:type="dxa"/>
              <w:bottom w:w="80" w:type="dxa"/>
              <w:end w:w="120" w:type="dxa"/>
            </w:tcMar>
          </w:tcPr>
          <w:p>
            <w:pPr>
              <w:spacing w:before="0" w:after="0" w:line="264" w:lineRule="auto"/>
            </w:pPr>
            <w:r>
              <w:rPr>
                <w:rFonts w:ascii="Calibri" w:hAnsi="Calibri"/>
                <w:color w:val="111827"/>
                <w:sz w:val="18"/>
              </w:rPr>
              <w:t>Inside sales</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8"/>
              </w:rPr>
              <w:t>Owned prospects plus unassigned Inside sales queue.</w:t>
            </w:r>
          </w:p>
        </w:tc>
        <w:tc>
          <w:tcPr>
            <w:tcW w:type="dxa" w:w="4060"/>
            <w:vAlign w:val="center"/>
            <w:tcMar>
              <w:top w:w="80" w:type="dxa"/>
              <w:start w:w="120" w:type="dxa"/>
              <w:bottom w:w="80" w:type="dxa"/>
              <w:end w:w="120" w:type="dxa"/>
            </w:tcMar>
          </w:tcPr>
          <w:p>
            <w:pPr>
              <w:spacing w:before="0" w:after="0" w:line="264" w:lineRule="auto"/>
            </w:pPr>
            <w:r>
              <w:rPr>
                <w:rFonts w:ascii="Calibri" w:hAnsi="Calibri"/>
                <w:color w:val="111827"/>
                <w:sz w:val="18"/>
              </w:rPr>
              <w:t>Run the multi-channel cadence, capture responses, and schedule founder meetings.</w:t>
            </w:r>
          </w:p>
        </w:tc>
      </w:tr>
      <w:tr>
        <w:trPr>
          <w:cantSplit/>
        </w:trPr>
        <w:tc>
          <w:tcPr>
            <w:tcW w:type="dxa" w:w="1900"/>
            <w:vAlign w:val="center"/>
            <w:tcMar>
              <w:top w:w="80" w:type="dxa"/>
              <w:start w:w="120" w:type="dxa"/>
              <w:bottom w:w="80" w:type="dxa"/>
              <w:end w:w="120" w:type="dxa"/>
            </w:tcMar>
          </w:tcPr>
          <w:p>
            <w:pPr>
              <w:spacing w:before="0" w:after="0" w:line="264" w:lineRule="auto"/>
            </w:pPr>
            <w:r>
              <w:rPr>
                <w:rFonts w:ascii="Calibri" w:hAnsi="Calibri"/>
                <w:color w:val="111827"/>
                <w:sz w:val="18"/>
              </w:rPr>
              <w:t>LinkedIn outreach</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8"/>
              </w:rPr>
              <w:t>Owned prospects plus unassigned LinkedIn outreach queue.</w:t>
            </w:r>
          </w:p>
        </w:tc>
        <w:tc>
          <w:tcPr>
            <w:tcW w:type="dxa" w:w="4060"/>
            <w:vAlign w:val="center"/>
            <w:tcMar>
              <w:top w:w="80" w:type="dxa"/>
              <w:start w:w="120" w:type="dxa"/>
              <w:bottom w:w="80" w:type="dxa"/>
              <w:end w:w="120" w:type="dxa"/>
            </w:tcMar>
          </w:tcPr>
          <w:p>
            <w:pPr>
              <w:spacing w:before="0" w:after="0" w:line="264" w:lineRule="auto"/>
            </w:pPr>
            <w:r>
              <w:rPr>
                <w:rFonts w:ascii="Calibri" w:hAnsi="Calibri"/>
                <w:color w:val="111827"/>
                <w:sz w:val="18"/>
              </w:rPr>
              <w:t>Operate one founder account per prospect and follow the connection sequence.</w:t>
            </w:r>
          </w:p>
        </w:tc>
      </w:tr>
      <w:tr>
        <w:trPr>
          <w:cantSplit/>
        </w:trPr>
        <w:tc>
          <w:tcPr>
            <w:tcW w:type="dxa" w:w="1900"/>
            <w:vAlign w:val="center"/>
            <w:tcMar>
              <w:top w:w="80" w:type="dxa"/>
              <w:start w:w="120" w:type="dxa"/>
              <w:bottom w:w="80" w:type="dxa"/>
              <w:end w:w="120" w:type="dxa"/>
            </w:tcMar>
          </w:tcPr>
          <w:p>
            <w:pPr>
              <w:spacing w:before="0" w:after="0" w:line="264" w:lineRule="auto"/>
            </w:pPr>
            <w:r>
              <w:rPr>
                <w:rFonts w:ascii="Calibri" w:hAnsi="Calibri"/>
                <w:color w:val="111827"/>
                <w:sz w:val="18"/>
              </w:rPr>
              <w:t>Manager</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8"/>
              </w:rPr>
              <w:t>All prospects and all workstreams.</w:t>
            </w:r>
          </w:p>
        </w:tc>
        <w:tc>
          <w:tcPr>
            <w:tcW w:type="dxa" w:w="4060"/>
            <w:vAlign w:val="center"/>
            <w:tcMar>
              <w:top w:w="80" w:type="dxa"/>
              <w:start w:w="120" w:type="dxa"/>
              <w:bottom w:w="80" w:type="dxa"/>
              <w:end w:w="120" w:type="dxa"/>
            </w:tcMar>
          </w:tcPr>
          <w:p>
            <w:pPr>
              <w:spacing w:before="0" w:after="0" w:line="264" w:lineRule="auto"/>
            </w:pPr>
            <w:r>
              <w:rPr>
                <w:rFonts w:ascii="Calibri" w:hAnsi="Calibri"/>
                <w:color w:val="111827"/>
                <w:sz w:val="18"/>
              </w:rPr>
              <w:t>Assign work, correct records, monitor queues, and manage pipeline quality.</w:t>
            </w:r>
          </w:p>
        </w:tc>
      </w:tr>
      <w:tr>
        <w:trPr>
          <w:cantSplit/>
        </w:trPr>
        <w:tc>
          <w:tcPr>
            <w:tcW w:type="dxa" w:w="1900"/>
            <w:vAlign w:val="center"/>
            <w:tcMar>
              <w:top w:w="80" w:type="dxa"/>
              <w:start w:w="120" w:type="dxa"/>
              <w:bottom w:w="80" w:type="dxa"/>
              <w:end w:w="120" w:type="dxa"/>
            </w:tcMar>
          </w:tcPr>
          <w:p>
            <w:pPr>
              <w:spacing w:before="0" w:after="0" w:line="264" w:lineRule="auto"/>
            </w:pPr>
            <w:r>
              <w:rPr>
                <w:rFonts w:ascii="Calibri" w:hAnsi="Calibri"/>
                <w:color w:val="111827"/>
                <w:sz w:val="18"/>
              </w:rPr>
              <w:t>System admin</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8"/>
              </w:rPr>
              <w:t>All prospects and all workstreams.</w:t>
            </w:r>
          </w:p>
        </w:tc>
        <w:tc>
          <w:tcPr>
            <w:tcW w:type="dxa" w:w="4060"/>
            <w:vAlign w:val="center"/>
            <w:tcMar>
              <w:top w:w="80" w:type="dxa"/>
              <w:start w:w="120" w:type="dxa"/>
              <w:bottom w:w="80" w:type="dxa"/>
              <w:end w:w="120" w:type="dxa"/>
            </w:tcMar>
          </w:tcPr>
          <w:p>
            <w:pPr>
              <w:spacing w:before="0" w:after="0" w:line="264" w:lineRule="auto"/>
            </w:pPr>
            <w:r>
              <w:rPr>
                <w:rFonts w:ascii="Calibri" w:hAnsi="Calibri"/>
                <w:color w:val="111827"/>
                <w:sz w:val="18"/>
              </w:rPr>
              <w:t>Everything a manager can do, plus user access administration.</w:t>
            </w:r>
          </w:p>
        </w:tc>
      </w:tr>
    </w:tbl>
    <w:p>
      <w:pPr>
        <w:spacing w:before="0" w:after="20"/>
      </w:pPr>
    </w:p>
    <w:p>
      <w:pPr>
        <w:spacing w:before="120" w:after="160"/>
        <w:ind w:left="173" w:right="86"/>
        <w:shd w:fill="F4F6F9"/>
        <w:pBdr>
          <w:left w:val="single" w:sz="18" w:space="8" w:color="2E74B5"/>
        </w:pBdr>
      </w:pPr>
      <w:r>
        <w:rPr>
          <w:rFonts w:ascii="Calibri" w:hAnsi="Calibri"/>
          <w:b/>
          <w:color w:val="2E74B5"/>
        </w:rPr>
        <w:t xml:space="preserve">Ownership: </w:t>
      </w:r>
      <w:r>
        <w:rPr>
          <w:rFonts w:ascii="Calibri" w:hAnsi="Calibri"/>
          <w:color w:val="111827"/>
        </w:rPr>
        <w:t>A frontline user must claim an unassigned prospect before editing it or recording outreach. Managers and system administrators edit or assign records directly and do not claim them.</w:t>
      </w:r>
    </w:p>
    <w:p>
      <w:pPr>
        <w:pStyle w:val="Heading1"/>
      </w:pPr>
      <w:r>
        <w:t>4. The shared daily workflow</w:t>
      </w:r>
    </w:p>
    <w:p>
      <w:pPr>
        <w:numPr>
          <w:ilvl w:val="0"/>
          <w:numId w:val="12"/>
        </w:numPr>
      </w:pPr>
      <w:r>
        <w:rPr>
          <w:rFonts w:ascii="Calibri" w:hAnsi="Calibri"/>
          <w:color w:val="111827"/>
        </w:rPr>
        <w:t>Open Dashboard. Start with Actions today and Overdue, then review unassigned prospects in your role queue.</w:t>
      </w:r>
    </w:p>
    <w:p>
      <w:pPr>
        <w:numPr>
          <w:ilvl w:val="0"/>
          <w:numId w:val="12"/>
        </w:numPr>
      </w:pPr>
      <w:r>
        <w:rPr>
          <w:rFonts w:ascii="Calibri" w:hAnsi="Calibri"/>
          <w:color w:val="111827"/>
        </w:rPr>
        <w:t>Claim an unassigned prospect or open one already assigned to you. Managers may assign a matching active outreach user from Edit prospect.</w:t>
      </w:r>
    </w:p>
    <w:p>
      <w:pPr>
        <w:numPr>
          <w:ilvl w:val="0"/>
          <w:numId w:val="12"/>
        </w:numPr>
      </w:pPr>
      <w:r>
        <w:rPr>
          <w:rFonts w:ascii="Calibri" w:hAnsi="Calibri"/>
          <w:color w:val="111827"/>
        </w:rPr>
        <w:t>Complete company and eligibility research. Record only verified facts and identify a relevant senior contact.</w:t>
      </w:r>
    </w:p>
    <w:p>
      <w:pPr>
        <w:numPr>
          <w:ilvl w:val="0"/>
          <w:numId w:val="12"/>
        </w:numPr>
      </w:pPr>
      <w:r>
        <w:rPr>
          <w:rFonts w:ascii="Calibri" w:hAnsi="Calibri"/>
          <w:color w:val="111827"/>
        </w:rPr>
        <w:t>Save the qualified record. A record saved from Research required advances to Eligible when validation passes.</w:t>
      </w:r>
    </w:p>
    <w:p>
      <w:pPr>
        <w:numPr>
          <w:ilvl w:val="0"/>
          <w:numId w:val="12"/>
        </w:numPr>
      </w:pPr>
      <w:r>
        <w:rPr>
          <w:rFonts w:ascii="Calibri" w:hAnsi="Calibri"/>
          <w:color w:val="111827"/>
        </w:rPr>
        <w:t>Perform outreach outside the application, then immediately add the activity to Outreach history.</w:t>
      </w:r>
    </w:p>
    <w:p>
      <w:pPr>
        <w:numPr>
          <w:ilvl w:val="0"/>
          <w:numId w:val="12"/>
        </w:numPr>
      </w:pPr>
      <w:r>
        <w:rPr>
          <w:rFonts w:ascii="Calibri" w:hAnsi="Calibri"/>
          <w:color w:val="111827"/>
        </w:rPr>
        <w:t>Update the outcome status, one clear next action, and its date. The action text and date must be present together.</w:t>
      </w:r>
    </w:p>
    <w:p>
      <w:pPr>
        <w:numPr>
          <w:ilvl w:val="0"/>
          <w:numId w:val="12"/>
        </w:numPr>
      </w:pPr>
      <w:r>
        <w:rPr>
          <w:rFonts w:ascii="Calibri" w:hAnsi="Calibri"/>
          <w:color w:val="111827"/>
        </w:rPr>
        <w:t>When interest appears, record material shared, the exact interest signal, and only the prospect's actual questions for founders.</w:t>
      </w:r>
    </w:p>
    <w:p>
      <w:pPr>
        <w:numPr>
          <w:ilvl w:val="0"/>
          <w:numId w:val="12"/>
        </w:numPr>
      </w:pPr>
      <w:r>
        <w:rPr>
          <w:rFonts w:ascii="Calibri" w:hAnsi="Calibri"/>
          <w:color w:val="111827"/>
        </w:rPr>
        <w:t>When a meeting is confirmed, set Meeting scheduled and enter date/time, time zone, and all confirmed participants.</w:t>
      </w:r>
    </w:p>
    <w:p>
      <w:pPr>
        <w:spacing w:before="120" w:after="160"/>
        <w:ind w:left="173" w:right="86"/>
        <w:shd w:fill="F4F6F9"/>
        <w:pBdr>
          <w:left w:val="single" w:sz="18" w:space="8" w:color="2E74B5"/>
        </w:pBdr>
      </w:pPr>
      <w:r>
        <w:rPr>
          <w:rFonts w:ascii="Calibri" w:hAnsi="Calibri"/>
          <w:b/>
          <w:color w:val="2E74B5"/>
        </w:rPr>
        <w:t xml:space="preserve">What the product records: </w:t>
      </w:r>
      <w:r>
        <w:rPr>
          <w:rFonts w:ascii="Calibri" w:hAnsi="Calibri"/>
          <w:color w:val="111827"/>
        </w:rPr>
        <w:t>The application tracks activity and outcomes. Phone calls, emails, LinkedIn actions, and meetings happen in their respective external tools; record the completed action here.</w:t>
      </w:r>
    </w:p>
    <w:p>
      <w:pPr>
        <w:pStyle w:val="Heading1"/>
      </w:pPr>
      <w:r>
        <w:t>5. Use the dashboard</w:t>
      </w:r>
    </w:p>
    <w:p>
      <w:r>
        <w:rPr>
          <w:rFonts w:ascii="Calibri" w:hAnsi="Calibri"/>
          <w:i w:val="0"/>
          <w:color w:val="111827"/>
        </w:rPr>
        <w:t>The dashboard is the operating queue. Summary cards show total prospects, actions due today, overdue actions, and scheduled meetings. Stage and status chips apply quick filters.</w:t>
      </w:r>
    </w:p>
    <w:p>
      <w:pPr>
        <w:pStyle w:val="Heading2"/>
      </w:pPr>
      <w:r>
        <w:t>Search and filters</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Control</w:t>
            </w:r>
          </w:p>
        </w:tc>
        <w:tc>
          <w:tcPr>
            <w:tcW w:type="dxa" w:w="68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Options or behavior</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Search</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Matches company, contact, email, location, or consulting focus.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Action date</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All; Actions for today; Overdue; Upcoming; No action date.</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Status</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Any of the five outcome statuses.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Playbook stage</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Any of the eight stages.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Claim status</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All; Claimed; Unclaimed.</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Outreaches</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Any count, or exactly 0 through 5.</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User class / Outreach user</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Manager and system-admin filters across workstreams and owners.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8"/>
              </w:rPr>
              <w:t>Pagination</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8"/>
              </w:rPr>
              <w:t>Twenty prospects per page.</w:t>
            </w:r>
          </w:p>
        </w:tc>
      </w:tr>
    </w:tbl>
    <w:p>
      <w:pPr>
        <w:spacing w:before="0" w:after="20"/>
      </w:pPr>
    </w:p>
    <w:p>
      <w:pPr>
        <w:pStyle w:val="Heading2"/>
      </w:pPr>
      <w:r>
        <w:t>Exports</w:t>
      </w:r>
    </w:p>
    <w:p>
      <w:r>
        <w:rPr>
          <w:rFonts w:ascii="Calibri" w:hAnsi="Calibri"/>
          <w:i w:val="0"/>
          <w:color w:val="111827"/>
        </w:rPr>
        <w:t>Download CSV or XLSX from the dashboard. The export respects your role scope and contains ID, Name, Location, and URL. A manager or system administrator receives the all-workstream view; a frontline user receives only records in their accessible queue.</w:t>
      </w:r>
    </w:p>
    <w:p>
      <w:pPr>
        <w:pStyle w:val="Heading1"/>
      </w:pPr>
      <w:r>
        <w:t>6. Claim, add, and edit prospects</w:t>
      </w:r>
    </w:p>
    <w:p>
      <w:pPr>
        <w:pStyle w:val="Heading2"/>
      </w:pPr>
      <w:r>
        <w:t>Claim a queued prospect</w:t>
      </w:r>
    </w:p>
    <w:p>
      <w:pPr>
        <w:numPr>
          <w:ilvl w:val="0"/>
          <w:numId w:val="13"/>
        </w:numPr>
      </w:pPr>
      <w:r>
        <w:rPr>
          <w:rFonts w:ascii="Calibri" w:hAnsi="Calibri"/>
          <w:color w:val="111827"/>
        </w:rPr>
        <w:t>Open an unassigned prospect from your role queue.</w:t>
      </w:r>
    </w:p>
    <w:p>
      <w:pPr>
        <w:numPr>
          <w:ilvl w:val="0"/>
          <w:numId w:val="13"/>
        </w:numPr>
      </w:pPr>
      <w:r>
        <w:rPr>
          <w:rFonts w:ascii="Calibri" w:hAnsi="Calibri"/>
          <w:color w:val="111827"/>
        </w:rPr>
        <w:t>Select Claim prospect.</w:t>
      </w:r>
    </w:p>
    <w:p>
      <w:pPr>
        <w:numPr>
          <w:ilvl w:val="0"/>
          <w:numId w:val="13"/>
        </w:numPr>
      </w:pPr>
      <w:r>
        <w:rPr>
          <w:rFonts w:ascii="Calibri" w:hAnsi="Calibri"/>
          <w:color w:val="111827"/>
        </w:rPr>
        <w:t>Confirm that your name now appears as the owner before editing or adding outreach.</w:t>
      </w:r>
    </w:p>
    <w:p>
      <w:pPr>
        <w:spacing w:before="120" w:after="160"/>
        <w:ind w:left="173" w:right="86"/>
        <w:shd w:fill="FFF8E8"/>
        <w:pBdr>
          <w:left w:val="single" w:sz="18" w:space="8" w:color="7A5A00"/>
        </w:pBdr>
      </w:pPr>
      <w:r>
        <w:rPr>
          <w:rFonts w:ascii="Calibri" w:hAnsi="Calibri"/>
          <w:b/>
          <w:color w:val="7A5A00"/>
        </w:rPr>
        <w:t xml:space="preserve">Concurrent claims: </w:t>
      </w:r>
      <w:r>
        <w:rPr>
          <w:rFonts w:ascii="Calibri" w:hAnsi="Calibri"/>
          <w:color w:val="111827"/>
        </w:rPr>
        <w:t>Claims are atomic. If another user claims the record first, the application refuses your claim and identifies that the prospect is already owned.</w:t>
      </w:r>
    </w:p>
    <w:p>
      <w:pPr>
        <w:pStyle w:val="Heading2"/>
      </w:pPr>
      <w:r>
        <w:t>Add one prospect</w:t>
      </w:r>
    </w:p>
    <w:p>
      <w:r>
        <w:rPr>
          <w:rFonts w:ascii="Calibri" w:hAnsi="Calibri"/>
          <w:i w:val="0"/>
          <w:color w:val="111827"/>
        </w:rPr>
        <w:t>Select + Add prospect. Frontline users are automatically assigned in their own workstream. Managers and system administrators choose a workstream and either assign a matching active user or leave the prospect in that role's unassigned queue.</w:t>
      </w:r>
    </w:p>
    <w:p>
      <w:pPr>
        <w:pStyle w:val="Heading2"/>
      </w:pPr>
      <w:r>
        <w:t>Prospect field guide</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000"/>
        <w:gridCol w:w="4450"/>
        <w:gridCol w:w="2910"/>
      </w:tblGrid>
      <w:tr>
        <w:trPr>
          <w:tblHeader w:val="true"/>
          <w:cantSplit/>
        </w:trPr>
        <w:tc>
          <w:tcPr>
            <w:tcW w:type="dxa" w:w="20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Section</w:t>
            </w:r>
          </w:p>
        </w:tc>
        <w:tc>
          <w:tcPr>
            <w:tcW w:type="dxa" w:w="445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What to enter</w:t>
            </w:r>
          </w:p>
        </w:tc>
        <w:tc>
          <w:tcPr>
            <w:tcW w:type="dxa" w:w="291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Important rule</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Assignment and company</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Workstream, owner, company name, complete website URL, area/location, and short description.</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An owner's user class must match the workstream.</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Eligibility</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Consulting focus, client segment, evidence of fit, or Is not eligible.</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Use verified facts; do not infer eligibility without evidence.</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Primary contact</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Name, title, LinkedIn URL, email, and phone where known.</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Outside Research required, add at least one contact method.</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Prospect sent</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Set true when the prospect has been sent through the agreed business process.</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This flag does not change stage or status.</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Founder LinkedIn account</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Founder account, connection state, factual personalization, escalation flag and note.</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LinkedIn workstream only; use one founder account per prospect.</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Interest and handoff</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Material shared, exact interest signal, and prospect questions for founders.</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Do not turn assumptions into prospect statements.</w:t>
            </w:r>
          </w:p>
        </w:tc>
      </w:tr>
      <w:tr>
        <w:trPr>
          <w:cantSplit/>
        </w:trPr>
        <w:tc>
          <w:tcPr>
            <w:tcW w:type="dxa" w:w="2000"/>
            <w:vAlign w:val="center"/>
            <w:tcMar>
              <w:top w:w="80" w:type="dxa"/>
              <w:start w:w="120" w:type="dxa"/>
              <w:bottom w:w="80" w:type="dxa"/>
              <w:end w:w="120" w:type="dxa"/>
            </w:tcMar>
          </w:tcPr>
          <w:p>
            <w:pPr>
              <w:spacing w:before="0" w:after="0" w:line="264" w:lineRule="auto"/>
            </w:pPr>
            <w:r>
              <w:rPr>
                <w:rFonts w:ascii="Calibri" w:hAnsi="Calibri"/>
                <w:color w:val="111827"/>
                <w:sz w:val="17"/>
              </w:rPr>
              <w:t>Follow-up</w:t>
            </w:r>
          </w:p>
        </w:tc>
        <w:tc>
          <w:tcPr>
            <w:tcW w:type="dxa" w:w="4450"/>
            <w:vAlign w:val="center"/>
            <w:tcMar>
              <w:top w:w="80" w:type="dxa"/>
              <w:start w:w="120" w:type="dxa"/>
              <w:bottom w:w="80" w:type="dxa"/>
              <w:end w:w="120" w:type="dxa"/>
            </w:tcMar>
          </w:tcPr>
          <w:p>
            <w:pPr>
              <w:spacing w:before="0" w:after="0" w:line="264" w:lineRule="auto"/>
            </w:pPr>
            <w:r>
              <w:rPr>
                <w:rFonts w:ascii="Calibri" w:hAnsi="Calibri"/>
                <w:color w:val="111827"/>
                <w:sz w:val="17"/>
              </w:rPr>
              <w:t>Outcome status, next action, next-action date, meeting details, and comments.</w:t>
            </w:r>
          </w:p>
        </w:tc>
        <w:tc>
          <w:tcPr>
            <w:tcW w:type="dxa" w:w="2910"/>
            <w:vAlign w:val="center"/>
            <w:tcMar>
              <w:top w:w="80" w:type="dxa"/>
              <w:start w:w="120" w:type="dxa"/>
              <w:bottom w:w="80" w:type="dxa"/>
              <w:end w:w="120" w:type="dxa"/>
            </w:tcMar>
          </w:tcPr>
          <w:p>
            <w:pPr>
              <w:spacing w:before="0" w:after="0" w:line="264" w:lineRule="auto"/>
            </w:pPr>
            <w:r>
              <w:rPr>
                <w:rFonts w:ascii="Calibri" w:hAnsi="Calibri"/>
                <w:color w:val="111827"/>
                <w:sz w:val="17"/>
              </w:rPr>
              <w:t>Action and date are paired; scheduled meetings need all meeting fields.</w:t>
            </w:r>
          </w:p>
        </w:tc>
      </w:tr>
    </w:tbl>
    <w:p>
      <w:pPr>
        <w:spacing w:before="0" w:after="20"/>
      </w:pPr>
    </w:p>
    <w:p>
      <w:pPr>
        <w:pStyle w:val="Heading2"/>
      </w:pPr>
      <w:r>
        <w:t>Duplicate protection</w:t>
      </w:r>
    </w:p>
    <w:p>
      <w:r>
        <w:rPr>
          <w:rFonts w:ascii="Calibri" w:hAnsi="Calibri"/>
          <w:i w:val="0"/>
          <w:color w:val="111827"/>
        </w:rPr>
        <w:t>The application blocks an existing company website domain or contact LinkedIn profile within the same workstream. If warned, open, claim, or transfer the existing record rather than creating a duplicate. A separate workstream record may legitimately share the same company UUID.</w:t>
      </w:r>
    </w:p>
    <w:p>
      <w:pPr>
        <w:pStyle w:val="Heading1"/>
      </w:pPr>
      <w:r>
        <w:t>7. Record outreach history</w:t>
      </w:r>
    </w:p>
    <w:p>
      <w:pPr>
        <w:pStyle w:val="Heading2"/>
      </w:pPr>
      <w:r>
        <w:t>Before adding outreach</w:t>
      </w:r>
    </w:p>
    <w:p>
      <w:pPr>
        <w:numPr>
          <w:ilvl w:val="0"/>
          <w:numId w:val="14"/>
        </w:numPr>
      </w:pPr>
      <w:r>
        <w:rPr>
          <w:rFonts w:ascii="Calibri" w:hAnsi="Calibri"/>
          <w:color w:val="111827"/>
        </w:rPr>
        <w:t>The prospect must no longer be at Research required.</w:t>
      </w:r>
    </w:p>
    <w:p>
      <w:pPr>
        <w:numPr>
          <w:ilvl w:val="0"/>
          <w:numId w:val="14"/>
        </w:numPr>
      </w:pPr>
      <w:r>
        <w:rPr>
          <w:rFonts w:ascii="Calibri" w:hAnsi="Calibri"/>
          <w:color w:val="111827"/>
        </w:rPr>
        <w:t>You must own the prospect unless you are a manager or system administrator.</w:t>
      </w:r>
    </w:p>
    <w:p>
      <w:pPr>
        <w:numPr>
          <w:ilvl w:val="0"/>
          <w:numId w:val="14"/>
        </w:numPr>
      </w:pPr>
      <w:r>
        <w:rPr>
          <w:rFonts w:ascii="Calibri" w:hAnsi="Calibri"/>
          <w:color w:val="111827"/>
        </w:rPr>
        <w:t>The selected medium must have a matching contact detail: email address, phone number, or LinkedIn profile.</w:t>
      </w:r>
    </w:p>
    <w:p>
      <w:pPr>
        <w:numPr>
          <w:ilvl w:val="0"/>
          <w:numId w:val="14"/>
        </w:numPr>
      </w:pPr>
      <w:r>
        <w:rPr>
          <w:rFonts w:ascii="Calibri" w:hAnsi="Calibri"/>
          <w:color w:val="111827"/>
        </w:rPr>
        <w:t>The outreach date cannot be in the future.</w:t>
      </w:r>
    </w:p>
    <w:p>
      <w:pPr>
        <w:numPr>
          <w:ilvl w:val="0"/>
          <w:numId w:val="14"/>
        </w:numPr>
      </w:pPr>
      <w:r>
        <w:rPr>
          <w:rFonts w:ascii="Calibri" w:hAnsi="Calibri"/>
          <w:color w:val="111827"/>
        </w:rPr>
        <w:t>Each prospect can have no more than five numbered outreach records.</w:t>
      </w:r>
    </w:p>
    <w:p>
      <w:pPr>
        <w:pStyle w:val="Heading2"/>
      </w:pPr>
      <w:r>
        <w:t>Standard activity types</w:t>
      </w:r>
    </w:p>
    <w:p>
      <w:pPr>
        <w:numPr>
          <w:ilvl w:val="0"/>
          <w:numId w:val="15"/>
        </w:numPr>
      </w:pPr>
      <w:r>
        <w:rPr>
          <w:rFonts w:ascii="Calibri" w:hAnsi="Calibri"/>
          <w:color w:val="111827"/>
        </w:rPr>
        <w:t>Initial outreach</w:t>
      </w:r>
    </w:p>
    <w:p>
      <w:pPr>
        <w:numPr>
          <w:ilvl w:val="0"/>
          <w:numId w:val="15"/>
        </w:numPr>
      </w:pPr>
      <w:r>
        <w:rPr>
          <w:rFonts w:ascii="Calibri" w:hAnsi="Calibri"/>
          <w:color w:val="111827"/>
        </w:rPr>
        <w:t>Follow-up</w:t>
      </w:r>
    </w:p>
    <w:p>
      <w:pPr>
        <w:numPr>
          <w:ilvl w:val="0"/>
          <w:numId w:val="15"/>
        </w:numPr>
      </w:pPr>
      <w:r>
        <w:rPr>
          <w:rFonts w:ascii="Calibri" w:hAnsi="Calibri"/>
          <w:color w:val="111827"/>
        </w:rPr>
        <w:t>Phone call</w:t>
      </w:r>
    </w:p>
    <w:p>
      <w:pPr>
        <w:numPr>
          <w:ilvl w:val="0"/>
          <w:numId w:val="15"/>
        </w:numPr>
      </w:pPr>
      <w:r>
        <w:rPr>
          <w:rFonts w:ascii="Calibri" w:hAnsi="Calibri"/>
          <w:color w:val="111827"/>
        </w:rPr>
        <w:t>Voicemail</w:t>
      </w:r>
    </w:p>
    <w:p>
      <w:pPr>
        <w:numPr>
          <w:ilvl w:val="0"/>
          <w:numId w:val="15"/>
        </w:numPr>
      </w:pPr>
      <w:r>
        <w:rPr>
          <w:rFonts w:ascii="Calibri" w:hAnsi="Calibri"/>
          <w:color w:val="111827"/>
        </w:rPr>
        <w:t>One-page overview or deck sent</w:t>
      </w:r>
    </w:p>
    <w:p>
      <w:pPr>
        <w:numPr>
          <w:ilvl w:val="0"/>
          <w:numId w:val="15"/>
        </w:numPr>
      </w:pPr>
      <w:r>
        <w:rPr>
          <w:rFonts w:ascii="Calibri" w:hAnsi="Calibri"/>
          <w:color w:val="111827"/>
        </w:rPr>
        <w:t>Prospect response</w:t>
      </w:r>
    </w:p>
    <w:p>
      <w:pPr>
        <w:numPr>
          <w:ilvl w:val="0"/>
          <w:numId w:val="15"/>
        </w:numPr>
      </w:pPr>
      <w:r>
        <w:rPr>
          <w:rFonts w:ascii="Calibri" w:hAnsi="Calibri"/>
          <w:color w:val="111827"/>
        </w:rPr>
        <w:t>Close-the-loop message</w:t>
      </w:r>
    </w:p>
    <w:p>
      <w:pPr>
        <w:numPr>
          <w:ilvl w:val="0"/>
          <w:numId w:val="15"/>
        </w:numPr>
      </w:pPr>
      <w:r>
        <w:rPr>
          <w:rFonts w:ascii="Calibri" w:hAnsi="Calibri"/>
          <w:color w:val="111827"/>
        </w:rPr>
        <w:t>Founder meeting handoff</w:t>
      </w:r>
    </w:p>
    <w:p>
      <w:pPr>
        <w:pStyle w:val="Heading2"/>
      </w:pPr>
      <w:r>
        <w:t>Add or correct a record</w:t>
      </w:r>
    </w:p>
    <w:p>
      <w:pPr>
        <w:numPr>
          <w:ilvl w:val="0"/>
          <w:numId w:val="16"/>
        </w:numPr>
      </w:pPr>
      <w:r>
        <w:rPr>
          <w:rFonts w:ascii="Calibri" w:hAnsi="Calibri"/>
          <w:color w:val="111827"/>
        </w:rPr>
        <w:t>Open the prospect and select Add outreach.</w:t>
      </w:r>
    </w:p>
    <w:p>
      <w:pPr>
        <w:numPr>
          <w:ilvl w:val="0"/>
          <w:numId w:val="16"/>
        </w:numPr>
      </w:pPr>
      <w:r>
        <w:rPr>
          <w:rFonts w:ascii="Calibri" w:hAnsi="Calibri"/>
          <w:color w:val="111827"/>
        </w:rPr>
        <w:t>Choose the activity type and medium, enter the actual outreach date, and add a response or factual note when useful.</w:t>
      </w:r>
    </w:p>
    <w:p>
      <w:pPr>
        <w:numPr>
          <w:ilvl w:val="0"/>
          <w:numId w:val="16"/>
        </w:numPr>
      </w:pPr>
      <w:r>
        <w:rPr>
          <w:rFonts w:ascii="Calibri" w:hAnsi="Calibri"/>
          <w:color w:val="111827"/>
        </w:rPr>
        <w:t>Save. The application assigns the next sequence number and records who entered it.</w:t>
      </w:r>
    </w:p>
    <w:p>
      <w:pPr>
        <w:numPr>
          <w:ilvl w:val="0"/>
          <w:numId w:val="16"/>
        </w:numPr>
      </w:pPr>
      <w:r>
        <w:rPr>
          <w:rFonts w:ascii="Calibri" w:hAnsi="Calibri"/>
          <w:color w:val="111827"/>
        </w:rPr>
        <w:t>If a factual correction is needed, open Edit beside that outreach entry. There is no user-facing delete action.</w:t>
      </w:r>
    </w:p>
    <w:p>
      <w:r>
        <w:rPr>
          <w:rFonts w:ascii="Calibri" w:hAnsi="Calibri"/>
          <w:i w:val="0"/>
          <w:color w:val="111827"/>
        </w:rPr>
        <w:t>The first outreach can move Eligible to Contacted. A recorded response can move Eligible or Contacted to Responded. Certain LinkedIn activities also update the connection status, material shared, or founder escalation fields.</w:t>
      </w:r>
    </w:p>
    <w:p>
      <w:pPr>
        <w:pStyle w:val="Heading2"/>
      </w:pPr>
      <w:r>
        <w:t>Correction checklist</w:t>
      </w:r>
    </w:p>
    <w:p>
      <w:pPr>
        <w:numPr>
          <w:ilvl w:val="0"/>
          <w:numId w:val="17"/>
        </w:numPr>
      </w:pPr>
      <w:r>
        <w:rPr>
          <w:rFonts w:ascii="Calibri" w:hAnsi="Calibri"/>
          <w:color w:val="111827"/>
        </w:rPr>
        <w:t>Edit the existing outreach entry when its date, type, medium, response, or factual note is wrong.</w:t>
      </w:r>
    </w:p>
    <w:p>
      <w:pPr>
        <w:numPr>
          <w:ilvl w:val="0"/>
          <w:numId w:val="17"/>
        </w:numPr>
      </w:pPr>
      <w:r>
        <w:rPr>
          <w:rFonts w:ascii="Calibri" w:hAnsi="Calibri"/>
          <w:color w:val="111827"/>
        </w:rPr>
        <w:t>Keep the original sequence number and entering user; create a new entry only for a separate activity that actually occurred.</w:t>
      </w:r>
    </w:p>
    <w:p>
      <w:pPr>
        <w:numPr>
          <w:ilvl w:val="0"/>
          <w:numId w:val="17"/>
        </w:numPr>
      </w:pPr>
      <w:r>
        <w:rPr>
          <w:rFonts w:ascii="Calibri" w:hAnsi="Calibri"/>
          <w:color w:val="111827"/>
        </w:rPr>
        <w:t>After a correction, confirm the prospect's stage, status, connection state, material-shared flag, and escalation flag still reflect reality.</w:t>
      </w:r>
    </w:p>
    <w:p>
      <w:r>
        <w:br w:type="page"/>
      </w:r>
    </w:p>
    <w:p>
      <w:pPr>
        <w:pStyle w:val="Heading1"/>
      </w:pPr>
      <w:r>
        <w:t>8. Sales intern manual</w:t>
      </w:r>
    </w:p>
    <w:p>
      <w:r>
        <w:rPr>
          <w:rFonts w:ascii="Calibri" w:hAnsi="Calibri"/>
          <w:i w:val="0"/>
          <w:color w:val="111827"/>
        </w:rPr>
        <w:t>Your queue contains prospects assigned to you and unassigned Sales intern records. You cannot see or claim another frontline workstream's queue.</w:t>
      </w:r>
    </w:p>
    <w:p>
      <w:pPr>
        <w:pStyle w:val="Heading2"/>
      </w:pPr>
      <w:r>
        <w:t>Recommended operating sequence</w:t>
      </w:r>
    </w:p>
    <w:p>
      <w:pPr>
        <w:numPr>
          <w:ilvl w:val="0"/>
          <w:numId w:val="18"/>
        </w:numPr>
      </w:pPr>
      <w:r>
        <w:rPr>
          <w:rFonts w:ascii="Calibri" w:hAnsi="Calibri"/>
          <w:color w:val="111827"/>
        </w:rPr>
        <w:t>Claim one Research required prospect from the Sales intern queue.</w:t>
      </w:r>
    </w:p>
    <w:p>
      <w:pPr>
        <w:numPr>
          <w:ilvl w:val="0"/>
          <w:numId w:val="18"/>
        </w:numPr>
      </w:pPr>
      <w:r>
        <w:rPr>
          <w:rFonts w:ascii="Calibri" w:hAnsi="Calibri"/>
          <w:color w:val="111827"/>
        </w:rPr>
        <w:t>Verify the firm's website, location, boutique consulting profile, client segment, and eligibility evidence.</w:t>
      </w:r>
    </w:p>
    <w:p>
      <w:pPr>
        <w:numPr>
          <w:ilvl w:val="0"/>
          <w:numId w:val="18"/>
        </w:numPr>
      </w:pPr>
      <w:r>
        <w:rPr>
          <w:rFonts w:ascii="Calibri" w:hAnsi="Calibri"/>
          <w:color w:val="111827"/>
        </w:rPr>
        <w:t>Find a relevant senior contact and one verified contact channel.</w:t>
      </w:r>
    </w:p>
    <w:p>
      <w:pPr>
        <w:numPr>
          <w:ilvl w:val="0"/>
          <w:numId w:val="18"/>
        </w:numPr>
      </w:pPr>
      <w:r>
        <w:rPr>
          <w:rFonts w:ascii="Calibri" w:hAnsi="Calibri"/>
          <w:color w:val="111827"/>
        </w:rPr>
        <w:t>Write a short factual company description and personalization note where applicable to the outreach method.</w:t>
      </w:r>
    </w:p>
    <w:p>
      <w:pPr>
        <w:numPr>
          <w:ilvl w:val="0"/>
          <w:numId w:val="18"/>
        </w:numPr>
      </w:pPr>
      <w:r>
        <w:rPr>
          <w:rFonts w:ascii="Calibri" w:hAnsi="Calibri"/>
          <w:color w:val="111827"/>
        </w:rPr>
        <w:t>Save the record as qualified, then perform the approved outreach outside the product.</w:t>
      </w:r>
    </w:p>
    <w:p>
      <w:pPr>
        <w:numPr>
          <w:ilvl w:val="0"/>
          <w:numId w:val="18"/>
        </w:numPr>
      </w:pPr>
      <w:r>
        <w:rPr>
          <w:rFonts w:ascii="Calibri" w:hAnsi="Calibri"/>
          <w:color w:val="111827"/>
        </w:rPr>
        <w:t>Record the activity and any reply, set one dated next action, and continue until an outcome is reached.</w:t>
      </w:r>
    </w:p>
    <w:p>
      <w:pPr>
        <w:numPr>
          <w:ilvl w:val="0"/>
          <w:numId w:val="18"/>
        </w:numPr>
      </w:pPr>
      <w:r>
        <w:rPr>
          <w:rFonts w:ascii="Calibri" w:hAnsi="Calibri"/>
          <w:color w:val="111827"/>
        </w:rPr>
        <w:t>Capture interest and founder questions verbatim or as a clearly factual summary before meeting handoff.</w:t>
      </w:r>
    </w:p>
    <w:p>
      <w:pPr>
        <w:pStyle w:val="Heading2"/>
      </w:pPr>
      <w:r>
        <w:t>Do</w:t>
      </w:r>
    </w:p>
    <w:p>
      <w:pPr>
        <w:numPr>
          <w:ilvl w:val="0"/>
          <w:numId w:val="19"/>
        </w:numPr>
      </w:pPr>
      <w:r>
        <w:rPr>
          <w:rFonts w:ascii="Calibri" w:hAnsi="Calibri"/>
          <w:color w:val="111827"/>
        </w:rPr>
        <w:t>Work only records you own or have just claimed.</w:t>
      </w:r>
    </w:p>
    <w:p>
      <w:pPr>
        <w:numPr>
          <w:ilvl w:val="0"/>
          <w:numId w:val="19"/>
        </w:numPr>
      </w:pPr>
      <w:r>
        <w:rPr>
          <w:rFonts w:ascii="Calibri" w:hAnsi="Calibri"/>
          <w:color w:val="111827"/>
        </w:rPr>
        <w:t>Record outreach immediately after it occurs.</w:t>
      </w:r>
    </w:p>
    <w:p>
      <w:pPr>
        <w:numPr>
          <w:ilvl w:val="0"/>
          <w:numId w:val="19"/>
        </w:numPr>
      </w:pPr>
      <w:r>
        <w:rPr>
          <w:rFonts w:ascii="Calibri" w:hAnsi="Calibri"/>
          <w:color w:val="111827"/>
        </w:rPr>
        <w:t>Keep the next action specific: state the action, owner implied by the record, and due date.</w:t>
      </w:r>
    </w:p>
    <w:p>
      <w:pPr>
        <w:numPr>
          <w:ilvl w:val="0"/>
          <w:numId w:val="19"/>
        </w:numPr>
      </w:pPr>
      <w:r>
        <w:rPr>
          <w:rFonts w:ascii="Calibri" w:hAnsi="Calibri"/>
          <w:color w:val="111827"/>
        </w:rPr>
        <w:t>Mark Is not eligible when verified research shows the firm fails the target criteria.</w:t>
      </w:r>
    </w:p>
    <w:p>
      <w:pPr>
        <w:pStyle w:val="Heading2"/>
      </w:pPr>
      <w:r>
        <w:t>Avoid</w:t>
      </w:r>
    </w:p>
    <w:p>
      <w:pPr>
        <w:numPr>
          <w:ilvl w:val="0"/>
          <w:numId w:val="20"/>
        </w:numPr>
      </w:pPr>
      <w:r>
        <w:rPr>
          <w:rFonts w:ascii="Calibri" w:hAnsi="Calibri"/>
          <w:color w:val="111827"/>
        </w:rPr>
        <w:t>Creating a second prospect when the website already exists in the Sales intern workstream.</w:t>
      </w:r>
    </w:p>
    <w:p>
      <w:pPr>
        <w:numPr>
          <w:ilvl w:val="0"/>
          <w:numId w:val="20"/>
        </w:numPr>
      </w:pPr>
      <w:r>
        <w:rPr>
          <w:rFonts w:ascii="Calibri" w:hAnsi="Calibri"/>
          <w:color w:val="111827"/>
        </w:rPr>
        <w:t>Moving past research without a verified contact channel.</w:t>
      </w:r>
    </w:p>
    <w:p>
      <w:pPr>
        <w:numPr>
          <w:ilvl w:val="0"/>
          <w:numId w:val="20"/>
        </w:numPr>
      </w:pPr>
      <w:r>
        <w:rPr>
          <w:rFonts w:ascii="Calibri" w:hAnsi="Calibri"/>
          <w:color w:val="111827"/>
        </w:rPr>
        <w:t>Recording planned outreach as if it already happened.</w:t>
      </w:r>
    </w:p>
    <w:p>
      <w:pPr>
        <w:numPr>
          <w:ilvl w:val="0"/>
          <w:numId w:val="20"/>
        </w:numPr>
      </w:pPr>
      <w:r>
        <w:rPr>
          <w:rFonts w:ascii="Calibri" w:hAnsi="Calibri"/>
          <w:color w:val="111827"/>
        </w:rPr>
        <w:t>Using comments instead of the structured status, action, or handoff fields.</w:t>
      </w:r>
    </w:p>
    <w:p>
      <w:r>
        <w:br w:type="page"/>
      </w:r>
    </w:p>
    <w:p>
      <w:pPr>
        <w:pStyle w:val="Heading1"/>
      </w:pPr>
      <w:r>
        <w:t>9. Inside-sales manual</w:t>
      </w:r>
    </w:p>
    <w:p>
      <w:r>
        <w:rPr>
          <w:rFonts w:ascii="Calibri" w:hAnsi="Calibri"/>
          <w:i w:val="0"/>
          <w:color w:val="111827"/>
        </w:rPr>
        <w:t>Your permissions match the Sales intern role, but your queue and ownership are isolated to the Inside sales workstream. The application guidance supports a multi-channel Day 1, Day 3–4, Day 7–8, and Day 12–14 cadence.</w:t>
      </w:r>
    </w:p>
    <w:p>
      <w:pPr>
        <w:pStyle w:val="Heading2"/>
      </w:pPr>
      <w:r>
        <w:t>Recommended operating sequence</w:t>
      </w:r>
    </w:p>
    <w:p>
      <w:pPr>
        <w:numPr>
          <w:ilvl w:val="0"/>
          <w:numId w:val="21"/>
        </w:numPr>
      </w:pPr>
      <w:r>
        <w:rPr>
          <w:rFonts w:ascii="Calibri" w:hAnsi="Calibri"/>
          <w:color w:val="111827"/>
        </w:rPr>
        <w:t>Claim or open an Inside sales prospect and confirm basic fit and contact details.</w:t>
      </w:r>
    </w:p>
    <w:p>
      <w:pPr>
        <w:numPr>
          <w:ilvl w:val="0"/>
          <w:numId w:val="21"/>
        </w:numPr>
      </w:pPr>
      <w:r>
        <w:rPr>
          <w:rFonts w:ascii="Calibri" w:hAnsi="Calibri"/>
          <w:color w:val="111827"/>
        </w:rPr>
        <w:t>Record the Day 1 initial outreach using the actual channel and date.</w:t>
      </w:r>
    </w:p>
    <w:p>
      <w:pPr>
        <w:numPr>
          <w:ilvl w:val="0"/>
          <w:numId w:val="21"/>
        </w:numPr>
      </w:pPr>
      <w:r>
        <w:rPr>
          <w:rFonts w:ascii="Calibri" w:hAnsi="Calibri"/>
          <w:color w:val="111827"/>
        </w:rPr>
        <w:t>Set the next action for Day 3 or 4. Record the completed follow-up, then set the next dated action.</w:t>
      </w:r>
    </w:p>
    <w:p>
      <w:pPr>
        <w:numPr>
          <w:ilvl w:val="0"/>
          <w:numId w:val="21"/>
        </w:numPr>
      </w:pPr>
      <w:r>
        <w:rPr>
          <w:rFonts w:ascii="Calibri" w:hAnsi="Calibri"/>
          <w:color w:val="111827"/>
        </w:rPr>
        <w:t>Continue the approved Day 7–8 and Day 12–14 steps as appropriate, using no more than five total history records.</w:t>
      </w:r>
    </w:p>
    <w:p>
      <w:pPr>
        <w:numPr>
          <w:ilvl w:val="0"/>
          <w:numId w:val="21"/>
        </w:numPr>
      </w:pPr>
      <w:r>
        <w:rPr>
          <w:rFonts w:ascii="Calibri" w:hAnsi="Calibri"/>
          <w:color w:val="111827"/>
        </w:rPr>
        <w:t>If the prospect responds, record Prospect response and summarize only the actual message.</w:t>
      </w:r>
    </w:p>
    <w:p>
      <w:pPr>
        <w:numPr>
          <w:ilvl w:val="0"/>
          <w:numId w:val="21"/>
        </w:numPr>
      </w:pPr>
      <w:r>
        <w:rPr>
          <w:rFonts w:ascii="Calibri" w:hAnsi="Calibri"/>
          <w:color w:val="111827"/>
        </w:rPr>
        <w:t>Set Not interested when closed, or Meeting to be scheduled when interest is confirmed.</w:t>
      </w:r>
    </w:p>
    <w:p>
      <w:pPr>
        <w:numPr>
          <w:ilvl w:val="0"/>
          <w:numId w:val="21"/>
        </w:numPr>
      </w:pPr>
      <w:r>
        <w:rPr>
          <w:rFonts w:ascii="Calibri" w:hAnsi="Calibri"/>
          <w:color w:val="111827"/>
        </w:rPr>
        <w:t>For a booked founder meeting, add the complete handoff and meeting details before setting Meeting scheduled.</w:t>
      </w:r>
    </w:p>
    <w:p>
      <w:pPr>
        <w:spacing w:before="120" w:after="160"/>
        <w:ind w:left="173" w:right="86"/>
        <w:shd w:fill="FFF8E8"/>
        <w:pBdr>
          <w:left w:val="single" w:sz="18" w:space="8" w:color="7A5A00"/>
        </w:pBdr>
      </w:pPr>
      <w:r>
        <w:rPr>
          <w:rFonts w:ascii="Calibri" w:hAnsi="Calibri"/>
          <w:b/>
          <w:color w:val="7A5A00"/>
        </w:rPr>
        <w:t xml:space="preserve">Cadence rule: </w:t>
      </w:r>
      <w:r>
        <w:rPr>
          <w:rFonts w:ascii="Calibri" w:hAnsi="Calibri"/>
          <w:color w:val="111827"/>
        </w:rPr>
        <w:t>Dates in the playbook are guidance, not permission to pre-record activity. Every outreach-history date must represent an action that has already occurred and cannot be in the future.</w:t>
      </w:r>
    </w:p>
    <w:p>
      <w:r>
        <w:br w:type="page"/>
      </w:r>
    </w:p>
    <w:p>
      <w:pPr>
        <w:pStyle w:val="Heading1"/>
      </w:pPr>
      <w:r>
        <w:t>10. LinkedIn outreach manual</w:t>
      </w:r>
    </w:p>
    <w:p>
      <w:r>
        <w:rPr>
          <w:rFonts w:ascii="Calibri" w:hAnsi="Calibri"/>
          <w:i w:val="0"/>
          <w:color w:val="111827"/>
        </w:rPr>
        <w:t>Your queue contains LinkedIn outreach prospects assigned to you and unassigned records in that workstream. Each prospect uses exactly one founder account: Kandarp Soni (Chicago) or Sunit Kala (Florida).</w:t>
      </w:r>
    </w:p>
    <w:p>
      <w:pPr>
        <w:pStyle w:val="Heading2"/>
      </w:pPr>
      <w:r>
        <w:t>Required research before outreach</w:t>
      </w:r>
    </w:p>
    <w:p>
      <w:pPr>
        <w:numPr>
          <w:ilvl w:val="0"/>
          <w:numId w:val="22"/>
        </w:numPr>
      </w:pPr>
      <w:r>
        <w:rPr>
          <w:rFonts w:ascii="Calibri" w:hAnsi="Calibri"/>
          <w:color w:val="111827"/>
        </w:rPr>
        <w:t>A verified LinkedIn profile for the primary contact.</w:t>
      </w:r>
    </w:p>
    <w:p>
      <w:pPr>
        <w:numPr>
          <w:ilvl w:val="0"/>
          <w:numId w:val="22"/>
        </w:numPr>
      </w:pPr>
      <w:r>
        <w:rPr>
          <w:rFonts w:ascii="Calibri" w:hAnsi="Calibri"/>
          <w:color w:val="111827"/>
        </w:rPr>
        <w:t>One selected founder account for the prospect.</w:t>
      </w:r>
    </w:p>
    <w:p>
      <w:pPr>
        <w:numPr>
          <w:ilvl w:val="0"/>
          <w:numId w:val="22"/>
        </w:numPr>
      </w:pPr>
      <w:r>
        <w:rPr>
          <w:rFonts w:ascii="Calibri" w:hAnsi="Calibri"/>
          <w:color w:val="111827"/>
        </w:rPr>
        <w:t>The current connection state.</w:t>
      </w:r>
    </w:p>
    <w:p>
      <w:pPr>
        <w:numPr>
          <w:ilvl w:val="0"/>
          <w:numId w:val="22"/>
        </w:numPr>
      </w:pPr>
      <w:r>
        <w:rPr>
          <w:rFonts w:ascii="Calibri" w:hAnsi="Calibri"/>
          <w:color w:val="111827"/>
        </w:rPr>
        <w:t>A short, factual personalization based on the person, firm, location, or practice.</w:t>
      </w:r>
    </w:p>
    <w:p>
      <w:pPr>
        <w:numPr>
          <w:ilvl w:val="0"/>
          <w:numId w:val="22"/>
        </w:numPr>
      </w:pPr>
      <w:r>
        <w:rPr>
          <w:rFonts w:ascii="Calibri" w:hAnsi="Calibri"/>
          <w:color w:val="111827"/>
        </w:rPr>
        <w:t>The normal company, eligibility, and senior-contact research required for all workstreams.</w:t>
      </w:r>
    </w:p>
    <w:p>
      <w:pPr>
        <w:pStyle w:val="Heading2"/>
      </w:pPr>
      <w:r>
        <w:t>LinkedIn sequence</w:t>
      </w:r>
    </w:p>
    <w:p>
      <w:pPr>
        <w:numPr>
          <w:ilvl w:val="0"/>
          <w:numId w:val="23"/>
        </w:numPr>
      </w:pPr>
      <w:r>
        <w:rPr>
          <w:rFonts w:ascii="Calibri" w:hAnsi="Calibri"/>
          <w:color w:val="111827"/>
        </w:rPr>
        <w:t>With state Connection request not sent, send the invitation from the selected founder account and record Connection request sent.</w:t>
      </w:r>
    </w:p>
    <w:p>
      <w:pPr>
        <w:numPr>
          <w:ilvl w:val="0"/>
          <w:numId w:val="23"/>
        </w:numPr>
      </w:pPr>
      <w:r>
        <w:rPr>
          <w:rFonts w:ascii="Calibri" w:hAnsi="Calibri"/>
          <w:color w:val="111827"/>
        </w:rPr>
        <w:t>Wait for the real outcome. Record Connection accepted only after the request was sent.</w:t>
      </w:r>
    </w:p>
    <w:p>
      <w:pPr>
        <w:numPr>
          <w:ilvl w:val="0"/>
          <w:numId w:val="23"/>
        </w:numPr>
      </w:pPr>
      <w:r>
        <w:rPr>
          <w:rFonts w:ascii="Calibri" w:hAnsi="Calibri"/>
          <w:color w:val="111827"/>
        </w:rPr>
        <w:t>After acceptance, send the approved proposition and one-page overview, then record that activity.</w:t>
      </w:r>
    </w:p>
    <w:p>
      <w:pPr>
        <w:numPr>
          <w:ilvl w:val="0"/>
          <w:numId w:val="23"/>
        </w:numPr>
      </w:pPr>
      <w:r>
        <w:rPr>
          <w:rFonts w:ascii="Calibri" w:hAnsi="Calibri"/>
          <w:color w:val="111827"/>
        </w:rPr>
        <w:t>Use Entry-point follow-up and Close-the-loop only after acceptance and according to the approved playbook.</w:t>
      </w:r>
    </w:p>
    <w:p>
      <w:pPr>
        <w:numPr>
          <w:ilvl w:val="0"/>
          <w:numId w:val="23"/>
        </w:numPr>
      </w:pPr>
      <w:r>
        <w:rPr>
          <w:rFonts w:ascii="Calibri" w:hAnsi="Calibri"/>
          <w:color w:val="111827"/>
        </w:rPr>
        <w:t>Record Prospect response when received. A declined connection may still have an inbound response recorded.</w:t>
      </w:r>
    </w:p>
    <w:p>
      <w:pPr>
        <w:numPr>
          <w:ilvl w:val="0"/>
          <w:numId w:val="23"/>
        </w:numPr>
      </w:pPr>
      <w:r>
        <w:rPr>
          <w:rFonts w:ascii="Calibri" w:hAnsi="Calibri"/>
          <w:color w:val="111827"/>
        </w:rPr>
        <w:t>Request founder escalation only after acceptance and a response or interest signal exists; state the exact issue the founder must handle.</w:t>
      </w:r>
    </w:p>
    <w:p>
      <w:pPr>
        <w:numPr>
          <w:ilvl w:val="0"/>
          <w:numId w:val="23"/>
        </w:numPr>
      </w:pPr>
      <w:r>
        <w:rPr>
          <w:rFonts w:ascii="Calibri" w:hAnsi="Calibri"/>
          <w:color w:val="111827"/>
        </w:rPr>
        <w:t>Record Founder meeting handoff when the structured interest, questions, and meeting details are ready.</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3000"/>
        <w:gridCol w:w="6360"/>
      </w:tblGrid>
      <w:tr>
        <w:trPr>
          <w:tblHeader w:val="true"/>
          <w:cantSplit/>
        </w:trPr>
        <w:tc>
          <w:tcPr>
            <w:tcW w:type="dxa" w:w="30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Connection state</w:t>
            </w:r>
          </w:p>
        </w:tc>
        <w:tc>
          <w:tcPr>
            <w:tcW w:type="dxa" w:w="63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What can happen next</w:t>
            </w:r>
          </w:p>
        </w:tc>
      </w:tr>
      <w:tr>
        <w:trPr>
          <w:cantSplit/>
        </w:trPr>
        <w:tc>
          <w:tcPr>
            <w:tcW w:type="dxa" w:w="3000"/>
            <w:vAlign w:val="center"/>
            <w:tcMar>
              <w:top w:w="80" w:type="dxa"/>
              <w:start w:w="120" w:type="dxa"/>
              <w:bottom w:w="80" w:type="dxa"/>
              <w:end w:w="120" w:type="dxa"/>
            </w:tcMar>
          </w:tcPr>
          <w:p>
            <w:pPr>
              <w:spacing w:before="0" w:after="0" w:line="264" w:lineRule="auto"/>
            </w:pPr>
            <w:r>
              <w:rPr>
                <w:rFonts w:ascii="Calibri" w:hAnsi="Calibri"/>
                <w:color w:val="111827"/>
                <w:sz w:val="18"/>
              </w:rPr>
              <w:t>Connection request not sent</w:t>
            </w:r>
          </w:p>
        </w:tc>
        <w:tc>
          <w:tcPr>
            <w:tcW w:type="dxa" w:w="6360"/>
            <w:vAlign w:val="center"/>
            <w:tcMar>
              <w:top w:w="80" w:type="dxa"/>
              <w:start w:w="120" w:type="dxa"/>
              <w:bottom w:w="80" w:type="dxa"/>
              <w:end w:w="120" w:type="dxa"/>
            </w:tcMar>
          </w:tcPr>
          <w:p>
            <w:pPr>
              <w:spacing w:before="0" w:after="0" w:line="264" w:lineRule="auto"/>
            </w:pPr>
            <w:r>
              <w:rPr>
                <w:rFonts w:ascii="Calibri" w:hAnsi="Calibri"/>
                <w:color w:val="111827"/>
                <w:sz w:val="18"/>
              </w:rPr>
              <w:t>Record Connection request sent.</w:t>
            </w:r>
          </w:p>
        </w:tc>
      </w:tr>
      <w:tr>
        <w:trPr>
          <w:cantSplit/>
        </w:trPr>
        <w:tc>
          <w:tcPr>
            <w:tcW w:type="dxa" w:w="3000"/>
            <w:vAlign w:val="center"/>
            <w:tcMar>
              <w:top w:w="80" w:type="dxa"/>
              <w:start w:w="120" w:type="dxa"/>
              <w:bottom w:w="80" w:type="dxa"/>
              <w:end w:w="120" w:type="dxa"/>
            </w:tcMar>
          </w:tcPr>
          <w:p>
            <w:pPr>
              <w:spacing w:before="0" w:after="0" w:line="264" w:lineRule="auto"/>
            </w:pPr>
            <w:r>
              <w:rPr>
                <w:rFonts w:ascii="Calibri" w:hAnsi="Calibri"/>
                <w:color w:val="111827"/>
                <w:sz w:val="18"/>
              </w:rPr>
              <w:t>Connection request sent</w:t>
            </w:r>
          </w:p>
        </w:tc>
        <w:tc>
          <w:tcPr>
            <w:tcW w:type="dxa" w:w="6360"/>
            <w:vAlign w:val="center"/>
            <w:tcMar>
              <w:top w:w="80" w:type="dxa"/>
              <w:start w:w="120" w:type="dxa"/>
              <w:bottom w:w="80" w:type="dxa"/>
              <w:end w:w="120" w:type="dxa"/>
            </w:tcMar>
          </w:tcPr>
          <w:p>
            <w:pPr>
              <w:spacing w:before="0" w:after="0" w:line="264" w:lineRule="auto"/>
            </w:pPr>
            <w:r>
              <w:rPr>
                <w:rFonts w:ascii="Calibri" w:hAnsi="Calibri"/>
                <w:color w:val="111827"/>
                <w:sz w:val="18"/>
              </w:rPr>
              <w:t>Record acceptance after the invitation is accepted, or update the state if declined/not now.</w:t>
            </w:r>
          </w:p>
        </w:tc>
      </w:tr>
      <w:tr>
        <w:trPr>
          <w:cantSplit/>
        </w:trPr>
        <w:tc>
          <w:tcPr>
            <w:tcW w:type="dxa" w:w="3000"/>
            <w:vAlign w:val="center"/>
            <w:tcMar>
              <w:top w:w="80" w:type="dxa"/>
              <w:start w:w="120" w:type="dxa"/>
              <w:bottom w:w="80" w:type="dxa"/>
              <w:end w:w="120" w:type="dxa"/>
            </w:tcMar>
          </w:tcPr>
          <w:p>
            <w:pPr>
              <w:spacing w:before="0" w:after="0" w:line="264" w:lineRule="auto"/>
            </w:pPr>
            <w:r>
              <w:rPr>
                <w:rFonts w:ascii="Calibri" w:hAnsi="Calibri"/>
                <w:color w:val="111827"/>
                <w:sz w:val="18"/>
              </w:rPr>
              <w:t>Connection accepted</w:t>
            </w:r>
          </w:p>
        </w:tc>
        <w:tc>
          <w:tcPr>
            <w:tcW w:type="dxa" w:w="6360"/>
            <w:vAlign w:val="center"/>
            <w:tcMar>
              <w:top w:w="80" w:type="dxa"/>
              <w:start w:w="120" w:type="dxa"/>
              <w:bottom w:w="80" w:type="dxa"/>
              <w:end w:w="120" w:type="dxa"/>
            </w:tcMar>
          </w:tcPr>
          <w:p>
            <w:pPr>
              <w:spacing w:before="0" w:after="0" w:line="264" w:lineRule="auto"/>
            </w:pPr>
            <w:r>
              <w:rPr>
                <w:rFonts w:ascii="Calibri" w:hAnsi="Calibri"/>
                <w:color w:val="111827"/>
                <w:sz w:val="18"/>
              </w:rPr>
              <w:t>Record proposition, follow-up, close-the-loop, response, escalation, or handoff.</w:t>
            </w:r>
          </w:p>
        </w:tc>
      </w:tr>
      <w:tr>
        <w:trPr>
          <w:cantSplit/>
        </w:trPr>
        <w:tc>
          <w:tcPr>
            <w:tcW w:type="dxa" w:w="3000"/>
            <w:vAlign w:val="center"/>
            <w:tcMar>
              <w:top w:w="80" w:type="dxa"/>
              <w:start w:w="120" w:type="dxa"/>
              <w:bottom w:w="80" w:type="dxa"/>
              <w:end w:w="120" w:type="dxa"/>
            </w:tcMar>
          </w:tcPr>
          <w:p>
            <w:pPr>
              <w:spacing w:before="0" w:after="0" w:line="264" w:lineRule="auto"/>
            </w:pPr>
            <w:r>
              <w:rPr>
                <w:rFonts w:ascii="Calibri" w:hAnsi="Calibri"/>
                <w:color w:val="111827"/>
                <w:sz w:val="18"/>
              </w:rPr>
              <w:t>Declined or not now</w:t>
            </w:r>
          </w:p>
        </w:tc>
        <w:tc>
          <w:tcPr>
            <w:tcW w:type="dxa" w:w="6360"/>
            <w:vAlign w:val="center"/>
            <w:tcMar>
              <w:top w:w="80" w:type="dxa"/>
              <w:start w:w="120" w:type="dxa"/>
              <w:bottom w:w="80" w:type="dxa"/>
              <w:end w:w="120" w:type="dxa"/>
            </w:tcMar>
          </w:tcPr>
          <w:p>
            <w:pPr>
              <w:spacing w:before="0" w:after="0" w:line="264" w:lineRule="auto"/>
            </w:pPr>
            <w:r>
              <w:rPr>
                <w:rFonts w:ascii="Calibri" w:hAnsi="Calibri"/>
                <w:color w:val="111827"/>
                <w:sz w:val="18"/>
              </w:rPr>
              <w:t>Record a factual inbound response if one exists; do not send post-acceptance messages.</w:t>
            </w:r>
          </w:p>
        </w:tc>
      </w:tr>
    </w:tbl>
    <w:p>
      <w:pPr>
        <w:spacing w:before="0" w:after="20"/>
      </w:pPr>
    </w:p>
    <w:p>
      <w:pPr>
        <w:spacing w:before="120" w:after="160"/>
        <w:ind w:left="173" w:right="86"/>
        <w:shd w:fill="FDECEC"/>
        <w:pBdr>
          <w:left w:val="single" w:sz="18" w:space="8" w:color="9B1C1C"/>
        </w:pBdr>
      </w:pPr>
      <w:r>
        <w:rPr>
          <w:rFonts w:ascii="Calibri" w:hAnsi="Calibri"/>
          <w:b/>
          <w:color w:val="9B1C1C"/>
        </w:rPr>
        <w:t xml:space="preserve">One-account rule: </w:t>
      </w:r>
      <w:r>
        <w:rPr>
          <w:rFonts w:ascii="Calibri" w:hAnsi="Calibri"/>
          <w:color w:val="111827"/>
        </w:rPr>
        <w:t>Never contact the same person or firm from both founder accounts. Correct the existing record instead of opening a parallel LinkedIn approach.</w:t>
      </w:r>
    </w:p>
    <w:p>
      <w:pPr>
        <w:pStyle w:val="Heading2"/>
      </w:pPr>
      <w:r>
        <w:t>Founder-escalation checklist</w:t>
      </w:r>
    </w:p>
    <w:p>
      <w:pPr>
        <w:numPr>
          <w:ilvl w:val="0"/>
          <w:numId w:val="24"/>
        </w:numPr>
      </w:pPr>
      <w:r>
        <w:rPr>
          <w:rFonts w:ascii="Calibri" w:hAnsi="Calibri"/>
          <w:color w:val="111827"/>
        </w:rPr>
        <w:t>Confirm the invitation was accepted and the prospect has responded or shown a specific interest signal.</w:t>
      </w:r>
    </w:p>
    <w:p>
      <w:pPr>
        <w:numPr>
          <w:ilvl w:val="0"/>
          <w:numId w:val="24"/>
        </w:numPr>
      </w:pPr>
      <w:r>
        <w:rPr>
          <w:rFonts w:ascii="Calibri" w:hAnsi="Calibri"/>
          <w:color w:val="111827"/>
        </w:rPr>
        <w:t>State the exact founder decision, answer, introduction, or action required; do not use the flag as a general priority marker.</w:t>
      </w:r>
    </w:p>
    <w:p>
      <w:pPr>
        <w:numPr>
          <w:ilvl w:val="0"/>
          <w:numId w:val="24"/>
        </w:numPr>
      </w:pPr>
      <w:r>
        <w:rPr>
          <w:rFonts w:ascii="Calibri" w:hAnsi="Calibri"/>
          <w:color w:val="111827"/>
        </w:rPr>
        <w:t>Record the material already shared, the prospect's questions, and any timing constraint before escalation.</w:t>
      </w:r>
    </w:p>
    <w:p>
      <w:pPr>
        <w:numPr>
          <w:ilvl w:val="0"/>
          <w:numId w:val="24"/>
        </w:numPr>
      </w:pPr>
      <w:r>
        <w:rPr>
          <w:rFonts w:ascii="Calibri" w:hAnsi="Calibri"/>
          <w:color w:val="111827"/>
        </w:rPr>
        <w:t>Clear or update the escalation note when the founder has acted so the record remains operationally current.</w:t>
      </w:r>
    </w:p>
    <w:p>
      <w:r>
        <w:br w:type="page"/>
      </w:r>
    </w:p>
    <w:p>
      <w:pPr>
        <w:pStyle w:val="Heading1"/>
      </w:pPr>
      <w:r>
        <w:t>11. Manager manual</w:t>
      </w:r>
    </w:p>
    <w:p>
      <w:r>
        <w:rPr>
          <w:rFonts w:ascii="Calibri" w:hAnsi="Calibri"/>
          <w:i w:val="0"/>
          <w:color w:val="111827"/>
        </w:rPr>
        <w:t>Managers see and may update every prospect across all three workstreams. Their job is to allocate work, keep queues healthy, correct records, and ensure interested prospects reach founders with complete context.</w:t>
      </w:r>
    </w:p>
    <w:p>
      <w:pPr>
        <w:pStyle w:val="Heading2"/>
      </w:pPr>
      <w:r>
        <w:t>Daily manager review</w:t>
      </w:r>
    </w:p>
    <w:p>
      <w:pPr>
        <w:numPr>
          <w:ilvl w:val="0"/>
          <w:numId w:val="25"/>
        </w:numPr>
      </w:pPr>
      <w:r>
        <w:rPr>
          <w:rFonts w:ascii="Calibri" w:hAnsi="Calibri"/>
          <w:color w:val="111827"/>
        </w:rPr>
        <w:t>Review Total prospects and the unassigned count across user classes.</w:t>
      </w:r>
    </w:p>
    <w:p>
      <w:pPr>
        <w:numPr>
          <w:ilvl w:val="0"/>
          <w:numId w:val="25"/>
        </w:numPr>
      </w:pPr>
      <w:r>
        <w:rPr>
          <w:rFonts w:ascii="Calibri" w:hAnsi="Calibri"/>
          <w:color w:val="111827"/>
        </w:rPr>
        <w:t>Open Overdue and Actions today; filter by user class and outreach user to locate ownership or follow-up gaps.</w:t>
      </w:r>
    </w:p>
    <w:p>
      <w:pPr>
        <w:numPr>
          <w:ilvl w:val="0"/>
          <w:numId w:val="25"/>
        </w:numPr>
      </w:pPr>
      <w:r>
        <w:rPr>
          <w:rFonts w:ascii="Calibri" w:hAnsi="Calibri"/>
          <w:color w:val="111827"/>
        </w:rPr>
        <w:t>Review Research required prospects and assign them to an active user whose class matches the workstream, or retain them in the correct queue.</w:t>
      </w:r>
    </w:p>
    <w:p>
      <w:pPr>
        <w:numPr>
          <w:ilvl w:val="0"/>
          <w:numId w:val="25"/>
        </w:numPr>
      </w:pPr>
      <w:r>
        <w:rPr>
          <w:rFonts w:ascii="Calibri" w:hAnsi="Calibri"/>
          <w:color w:val="111827"/>
        </w:rPr>
        <w:t>Filter by zero outreaches to find qualified records that have not begun; use counts 4 or 5 to review cadence completion and close-out quality.</w:t>
      </w:r>
    </w:p>
    <w:p>
      <w:pPr>
        <w:numPr>
          <w:ilvl w:val="0"/>
          <w:numId w:val="25"/>
        </w:numPr>
      </w:pPr>
      <w:r>
        <w:rPr>
          <w:rFonts w:ascii="Calibri" w:hAnsi="Calibri"/>
          <w:color w:val="111827"/>
        </w:rPr>
        <w:t>Review Meeting to be scheduled and Meeting scheduled records for complete handoff and meeting data.</w:t>
      </w:r>
    </w:p>
    <w:p>
      <w:pPr>
        <w:numPr>
          <w:ilvl w:val="0"/>
          <w:numId w:val="25"/>
        </w:numPr>
      </w:pPr>
      <w:r>
        <w:rPr>
          <w:rFonts w:ascii="Calibri" w:hAnsi="Calibri"/>
          <w:color w:val="111827"/>
        </w:rPr>
        <w:t>Correct factual errors directly. Preserve the original outreach history by editing only what is wrong; do not create replacement duplicates.</w:t>
      </w:r>
    </w:p>
    <w:p>
      <w:pPr>
        <w:pStyle w:val="Heading2"/>
      </w:pPr>
      <w:r>
        <w:t>Bulk assignment and imports</w:t>
      </w:r>
    </w:p>
    <w:p>
      <w:r>
        <w:rPr>
          <w:rFonts w:ascii="Calibri" w:hAnsi="Calibri"/>
          <w:i w:val="0"/>
          <w:color w:val="111827"/>
        </w:rPr>
        <w:t>When adding or importing prospects, select the target workstream first. The owner list contains active frontline users. Choose a matching user or leave the records unassigned in the selected role queue. Managers can reopen all import batches.</w:t>
      </w:r>
    </w:p>
    <w:p>
      <w:pPr>
        <w:pStyle w:val="Heading2"/>
      </w:pPr>
      <w:r>
        <w:t>Manager controls</w:t>
      </w:r>
    </w:p>
    <w:p>
      <w:pPr>
        <w:numPr>
          <w:ilvl w:val="0"/>
          <w:numId w:val="26"/>
        </w:numPr>
      </w:pPr>
      <w:r>
        <w:rPr>
          <w:rFonts w:ascii="Calibri" w:hAnsi="Calibri"/>
          <w:color w:val="111827"/>
        </w:rPr>
        <w:t>View and edit all prospect records.</w:t>
      </w:r>
    </w:p>
    <w:p>
      <w:pPr>
        <w:numPr>
          <w:ilvl w:val="0"/>
          <w:numId w:val="26"/>
        </w:numPr>
      </w:pPr>
      <w:r>
        <w:rPr>
          <w:rFonts w:ascii="Calibri" w:hAnsi="Calibri"/>
          <w:color w:val="111827"/>
        </w:rPr>
        <w:t>Add or edit outreach history for any prospect, subject to the same data and sequence validation.</w:t>
      </w:r>
    </w:p>
    <w:p>
      <w:pPr>
        <w:numPr>
          <w:ilvl w:val="0"/>
          <w:numId w:val="26"/>
        </w:numPr>
      </w:pPr>
      <w:r>
        <w:rPr>
          <w:rFonts w:ascii="Calibri" w:hAnsi="Calibri"/>
          <w:color w:val="111827"/>
        </w:rPr>
        <w:t>Assign or reassign an owner whose class matches the workstream.</w:t>
      </w:r>
    </w:p>
    <w:p>
      <w:pPr>
        <w:numPr>
          <w:ilvl w:val="0"/>
          <w:numId w:val="26"/>
        </w:numPr>
      </w:pPr>
      <w:r>
        <w:rPr>
          <w:rFonts w:ascii="Calibri" w:hAnsi="Calibri"/>
          <w:color w:val="111827"/>
        </w:rPr>
        <w:t>Import to any workstream and roll back eligible records in a batch.</w:t>
      </w:r>
    </w:p>
    <w:p>
      <w:pPr>
        <w:numPr>
          <w:ilvl w:val="0"/>
          <w:numId w:val="26"/>
        </w:numPr>
      </w:pPr>
      <w:r>
        <w:rPr>
          <w:rFonts w:ascii="Calibri" w:hAnsi="Calibri"/>
          <w:color w:val="111827"/>
        </w:rPr>
        <w:t>Export the all-workstream company list.</w:t>
      </w:r>
    </w:p>
    <w:p>
      <w:pPr>
        <w:numPr>
          <w:ilvl w:val="0"/>
          <w:numId w:val="26"/>
        </w:numPr>
      </w:pPr>
      <w:r>
        <w:rPr>
          <w:rFonts w:ascii="Calibri" w:hAnsi="Calibri"/>
          <w:color w:val="111827"/>
        </w:rPr>
        <w:t>Use role-scoped APIs across all prospects.</w:t>
      </w:r>
    </w:p>
    <w:p>
      <w:pPr>
        <w:spacing w:before="120" w:after="160"/>
        <w:ind w:left="173" w:right="86"/>
        <w:shd w:fill="F4F6F9"/>
        <w:pBdr>
          <w:left w:val="single" w:sz="18" w:space="8" w:color="2E74B5"/>
        </w:pBdr>
      </w:pPr>
      <w:r>
        <w:rPr>
          <w:rFonts w:ascii="Calibri" w:hAnsi="Calibri"/>
          <w:b/>
          <w:color w:val="2E74B5"/>
        </w:rPr>
        <w:t xml:space="preserve">Boundary: </w:t>
      </w:r>
      <w:r>
        <w:rPr>
          <w:rFonts w:ascii="Calibri" w:hAnsi="Calibri"/>
          <w:color w:val="111827"/>
        </w:rPr>
        <w:t>Managers do not administer user accounts. Ask a system administrator to add, disable, restore, or change a user's class.</w:t>
      </w:r>
    </w:p>
    <w:p>
      <w:pPr>
        <w:pStyle w:val="Heading1"/>
      </w:pPr>
      <w:r>
        <w:t>12. System-administrator manual</w:t>
      </w:r>
    </w:p>
    <w:p>
      <w:r>
        <w:rPr>
          <w:rFonts w:ascii="Calibri" w:hAnsi="Calibri"/>
          <w:i w:val="0"/>
          <w:color w:val="111827"/>
        </w:rPr>
        <w:t>System administrators have the manager's prospect visibility plus the Users area. This role controls who can sign in and which user class each account receives. Infrastructure administration is covered in the Technical Operations Guide.</w:t>
      </w:r>
    </w:p>
    <w:p>
      <w:pPr>
        <w:pStyle w:val="Heading2"/>
      </w:pPr>
      <w:r>
        <w:t>Add a user before first sign-in</w:t>
      </w:r>
    </w:p>
    <w:p>
      <w:pPr>
        <w:numPr>
          <w:ilvl w:val="0"/>
          <w:numId w:val="27"/>
        </w:numPr>
      </w:pPr>
      <w:r>
        <w:rPr>
          <w:rFonts w:ascii="Calibri" w:hAnsi="Calibri"/>
          <w:color w:val="111827"/>
        </w:rPr>
        <w:t>Open Users and select + Add user.</w:t>
      </w:r>
    </w:p>
    <w:p>
      <w:pPr>
        <w:numPr>
          <w:ilvl w:val="0"/>
          <w:numId w:val="27"/>
        </w:numPr>
      </w:pPr>
      <w:r>
        <w:rPr>
          <w:rFonts w:ascii="Calibri" w:hAnsi="Calibri"/>
          <w:color w:val="111827"/>
        </w:rPr>
        <w:t>Enter the person's full name and exact Google email address.</w:t>
      </w:r>
    </w:p>
    <w:p>
      <w:pPr>
        <w:numPr>
          <w:ilvl w:val="0"/>
          <w:numId w:val="27"/>
        </w:numPr>
      </w:pPr>
      <w:r>
        <w:rPr>
          <w:rFonts w:ascii="Calibri" w:hAnsi="Calibri"/>
          <w:color w:val="111827"/>
        </w:rPr>
        <w:t>Choose Sales intern, Inside sales, LinkedIn outreach, Manager, or System admin.</w:t>
      </w:r>
    </w:p>
    <w:p>
      <w:pPr>
        <w:numPr>
          <w:ilvl w:val="0"/>
          <w:numId w:val="27"/>
        </w:numPr>
      </w:pPr>
      <w:r>
        <w:rPr>
          <w:rFonts w:ascii="Calibri" w:hAnsi="Calibri"/>
          <w:color w:val="111827"/>
        </w:rPr>
        <w:t>Save and ask the user to sign in with that exact Google account.</w:t>
      </w:r>
    </w:p>
    <w:p>
      <w:pPr>
        <w:pStyle w:val="Heading2"/>
      </w:pPr>
      <w:r>
        <w:t>Edit, disable, restore, or delete</w:t>
      </w:r>
    </w:p>
    <w:p>
      <w:pPr>
        <w:numPr>
          <w:ilvl w:val="0"/>
          <w:numId w:val="28"/>
        </w:numPr>
      </w:pPr>
      <w:r>
        <w:rPr>
          <w:rFonts w:ascii="Calibri" w:hAnsi="Calibri"/>
          <w:color w:val="111827"/>
        </w:rPr>
        <w:t>Edit changes the name, email, or class. If prospect ownership would no longer match the new class, resolve assignments as part of the change.</w:t>
      </w:r>
    </w:p>
    <w:p>
      <w:pPr>
        <w:numPr>
          <w:ilvl w:val="0"/>
          <w:numId w:val="28"/>
        </w:numPr>
      </w:pPr>
      <w:r>
        <w:rPr>
          <w:rFonts w:ascii="Calibri" w:hAnsi="Calibri"/>
          <w:color w:val="111827"/>
        </w:rPr>
        <w:t>Delete on an account with sales history disables sign-in and preserves the user as an audit reference.</w:t>
      </w:r>
    </w:p>
    <w:p>
      <w:pPr>
        <w:numPr>
          <w:ilvl w:val="0"/>
          <w:numId w:val="28"/>
        </w:numPr>
      </w:pPr>
      <w:r>
        <w:rPr>
          <w:rFonts w:ascii="Calibri" w:hAnsi="Calibri"/>
          <w:color w:val="111827"/>
        </w:rPr>
        <w:t>Delete on an unused, unlinked account may remove it completely.</w:t>
      </w:r>
    </w:p>
    <w:p>
      <w:pPr>
        <w:numPr>
          <w:ilvl w:val="0"/>
          <w:numId w:val="28"/>
        </w:numPr>
      </w:pPr>
      <w:r>
        <w:rPr>
          <w:rFonts w:ascii="Calibri" w:hAnsi="Calibri"/>
          <w:color w:val="111827"/>
        </w:rPr>
        <w:t>Restore reactivates a disabled account.</w:t>
      </w:r>
    </w:p>
    <w:p>
      <w:pPr>
        <w:numPr>
          <w:ilvl w:val="0"/>
          <w:numId w:val="28"/>
        </w:numPr>
      </w:pPr>
      <w:r>
        <w:rPr>
          <w:rFonts w:ascii="Calibri" w:hAnsi="Calibri"/>
          <w:color w:val="111827"/>
        </w:rPr>
        <w:t>The application prevents you from deleting yourself, removing your own system-admin role, or removing the last active system administrator.</w:t>
      </w:r>
    </w:p>
    <w:p>
      <w:pPr>
        <w:spacing w:before="120" w:after="160"/>
        <w:ind w:left="173" w:right="86"/>
        <w:shd w:fill="FFF8E8"/>
        <w:pBdr>
          <w:left w:val="single" w:sz="18" w:space="8" w:color="7A5A00"/>
        </w:pBdr>
      </w:pPr>
      <w:r>
        <w:rPr>
          <w:rFonts w:ascii="Calibri" w:hAnsi="Calibri"/>
          <w:b/>
          <w:color w:val="7A5A00"/>
        </w:rPr>
        <w:t xml:space="preserve">Emergency role recovery: </w:t>
      </w:r>
      <w:r>
        <w:rPr>
          <w:rFonts w:ascii="Calibri" w:hAnsi="Calibri"/>
          <w:color w:val="111827"/>
        </w:rPr>
        <w:t>After a user has signed in at least once, an authorized server administrator can run: python manage.py set_user_role EMAIL intern|inside_sales|linkedin_outreach|manager|system_admin. Use this only through the controlled production runbook.</w:t>
      </w:r>
    </w:p>
    <w:p>
      <w:pPr>
        <w:pStyle w:val="Heading1"/>
      </w:pPr>
      <w:r>
        <w:t>13. Bulk CSV ingestion</w:t>
      </w:r>
    </w:p>
    <w:p>
      <w:pPr>
        <w:pStyle w:val="Heading2"/>
      </w:pPr>
      <w:r>
        <w:t>Prepare the file</w:t>
      </w:r>
    </w:p>
    <w:p>
      <w:r>
        <w:rPr>
          <w:rFonts w:ascii="Calibri" w:hAnsi="Calibri"/>
          <w:i w:val="0"/>
          <w:color w:val="111827"/>
        </w:rPr>
        <w:t>Save a UTF-8 CSV no larger than 5 MB with exactly three headers in this order:</w:t>
      </w:r>
    </w:p>
    <w:p>
      <w:pPr>
        <w:spacing w:before="80" w:after="160" w:line="252" w:lineRule="auto"/>
        <w:ind w:left="173" w:right="86"/>
        <w:shd w:fill="F7F8FA"/>
      </w:pPr>
      <w:r>
        <w:rPr>
          <w:rFonts w:ascii="Consolas" w:hAnsi="Consolas"/>
          <w:color w:val="273444"/>
          <w:sz w:val="17"/>
        </w:rPr>
        <w:t>Company Name,Website,Area</w:t>
      </w:r>
      <w:r>
        <w:br/>
      </w:r>
      <w:r>
        <w:rPr>
          <w:rFonts w:ascii="Consolas" w:hAnsi="Consolas"/>
          <w:color w:val="273444"/>
          <w:sz w:val="17"/>
        </w:rPr>
        <w:t>Example Advisory,https://example.com,Austin, Texas</w:t>
      </w:r>
    </w:p>
    <w:p>
      <w:pPr>
        <w:pStyle w:val="Heading2"/>
      </w:pPr>
      <w:r>
        <w:t>Import</w:t>
      </w:r>
    </w:p>
    <w:p>
      <w:pPr>
        <w:numPr>
          <w:ilvl w:val="0"/>
          <w:numId w:val="29"/>
        </w:numPr>
      </w:pPr>
      <w:r>
        <w:rPr>
          <w:rFonts w:ascii="Calibri" w:hAnsi="Calibri"/>
          <w:color w:val="111827"/>
        </w:rPr>
        <w:t>Open + Add prospect, then Upload prospect CSV; or choose Import CSV from the dashboard.</w:t>
      </w:r>
    </w:p>
    <w:p>
      <w:pPr>
        <w:numPr>
          <w:ilvl w:val="0"/>
          <w:numId w:val="29"/>
        </w:numPr>
      </w:pPr>
      <w:r>
        <w:rPr>
          <w:rFonts w:ascii="Calibri" w:hAnsi="Calibri"/>
          <w:color w:val="111827"/>
        </w:rPr>
        <w:t>Select the CSV. Managers and system administrators also choose the workstream and optional matching owner.</w:t>
      </w:r>
    </w:p>
    <w:p>
      <w:pPr>
        <w:numPr>
          <w:ilvl w:val="0"/>
          <w:numId w:val="29"/>
        </w:numPr>
      </w:pPr>
      <w:r>
        <w:rPr>
          <w:rFonts w:ascii="Calibri" w:hAnsi="Calibri"/>
          <w:color w:val="111827"/>
        </w:rPr>
        <w:t>Select Ingest CSV.</w:t>
      </w:r>
    </w:p>
    <w:p>
      <w:pPr>
        <w:numPr>
          <w:ilvl w:val="0"/>
          <w:numId w:val="29"/>
        </w:numPr>
      </w:pPr>
      <w:r>
        <w:rPr>
          <w:rFonts w:ascii="Calibri" w:hAnsi="Calibri"/>
          <w:color w:val="111827"/>
        </w:rPr>
        <w:t>Review Added rows and Ignored rows. Every ignored row includes a reason and does not block valid rows.</w:t>
      </w:r>
    </w:p>
    <w:p>
      <w:pPr>
        <w:pStyle w:val="Heading2"/>
      </w:pPr>
      <w:r>
        <w:t>Rows that are ignored</w:t>
      </w:r>
    </w:p>
    <w:p>
      <w:pPr>
        <w:numPr>
          <w:ilvl w:val="0"/>
          <w:numId w:val="30"/>
        </w:numPr>
      </w:pPr>
      <w:r>
        <w:rPr>
          <w:rFonts w:ascii="Calibri" w:hAnsi="Calibri"/>
          <w:color w:val="111827"/>
        </w:rPr>
        <w:t>Any required cell is blank.</w:t>
      </w:r>
    </w:p>
    <w:p>
      <w:pPr>
        <w:numPr>
          <w:ilvl w:val="0"/>
          <w:numId w:val="30"/>
        </w:numPr>
      </w:pPr>
      <w:r>
        <w:rPr>
          <w:rFonts w:ascii="Calibri" w:hAnsi="Calibri"/>
          <w:color w:val="111827"/>
        </w:rPr>
        <w:t>The row has fewer or more than three columns.</w:t>
      </w:r>
    </w:p>
    <w:p>
      <w:pPr>
        <w:numPr>
          <w:ilvl w:val="0"/>
          <w:numId w:val="30"/>
        </w:numPr>
      </w:pPr>
      <w:r>
        <w:rPr>
          <w:rFonts w:ascii="Calibri" w:hAnsi="Calibri"/>
          <w:color w:val="111827"/>
        </w:rPr>
        <w:t>The website is not a complete http:// or https:// URL or has no valid domain.</w:t>
      </w:r>
    </w:p>
    <w:p>
      <w:pPr>
        <w:numPr>
          <w:ilvl w:val="0"/>
          <w:numId w:val="30"/>
        </w:numPr>
      </w:pPr>
      <w:r>
        <w:rPr>
          <w:rFonts w:ascii="Calibri" w:hAnsi="Calibri"/>
          <w:color w:val="111827"/>
        </w:rPr>
        <w:t>The company name or website domain duplicates an earlier row in the file.</w:t>
      </w:r>
    </w:p>
    <w:p>
      <w:pPr>
        <w:numPr>
          <w:ilvl w:val="0"/>
          <w:numId w:val="30"/>
        </w:numPr>
      </w:pPr>
      <w:r>
        <w:rPr>
          <w:rFonts w:ascii="Calibri" w:hAnsi="Calibri"/>
          <w:color w:val="111827"/>
        </w:rPr>
        <w:t>The company name or website domain already exists in the target workstream.</w:t>
      </w:r>
    </w:p>
    <w:p>
      <w:pPr>
        <w:numPr>
          <w:ilvl w:val="0"/>
          <w:numId w:val="30"/>
        </w:numPr>
      </w:pPr>
      <w:r>
        <w:rPr>
          <w:rFonts w:ascii="Calibri" w:hAnsi="Calibri"/>
          <w:color w:val="111827"/>
        </w:rPr>
        <w:t>Company Name exceeds 200 characters, Website exceeds 500, or Area exceeds 200.</w:t>
      </w:r>
    </w:p>
    <w:p>
      <w:pPr>
        <w:pStyle w:val="Heading2"/>
      </w:pPr>
      <w:r>
        <w:t>Roll back an ingestion</w:t>
      </w:r>
    </w:p>
    <w:p>
      <w:pPr>
        <w:numPr>
          <w:ilvl w:val="0"/>
          <w:numId w:val="31"/>
        </w:numPr>
      </w:pPr>
      <w:r>
        <w:rPr>
          <w:rFonts w:ascii="Calibri" w:hAnsi="Calibri"/>
          <w:color w:val="111827"/>
        </w:rPr>
        <w:t>Open the batch result from Recent CSV ingestions.</w:t>
      </w:r>
    </w:p>
    <w:p>
      <w:pPr>
        <w:numPr>
          <w:ilvl w:val="0"/>
          <w:numId w:val="31"/>
        </w:numPr>
      </w:pPr>
      <w:r>
        <w:rPr>
          <w:rFonts w:ascii="Calibri" w:hAnsi="Calibri"/>
          <w:color w:val="111827"/>
        </w:rPr>
        <w:t>Review the added rows and confirm that this is the intended batch.</w:t>
      </w:r>
    </w:p>
    <w:p>
      <w:pPr>
        <w:numPr>
          <w:ilvl w:val="0"/>
          <w:numId w:val="31"/>
        </w:numPr>
      </w:pPr>
      <w:r>
        <w:rPr>
          <w:rFonts w:ascii="Calibri" w:hAnsi="Calibri"/>
          <w:color w:val="111827"/>
        </w:rPr>
        <w:t>Select Roll back this batch and confirm.</w:t>
      </w:r>
    </w:p>
    <w:p>
      <w:pPr>
        <w:numPr>
          <w:ilvl w:val="0"/>
          <w:numId w:val="31"/>
        </w:numPr>
      </w:pPr>
      <w:r>
        <w:rPr>
          <w:rFonts w:ascii="Calibri" w:hAnsi="Calibri"/>
          <w:color w:val="111827"/>
        </w:rPr>
        <w:t>Review the result. Only unchanged prospects from that batch are removed; edited records and records with outreach or API activity remain protected and are listed.</w:t>
      </w:r>
    </w:p>
    <w:p>
      <w:pPr>
        <w:pStyle w:val="Heading1"/>
      </w:pPr>
      <w:r>
        <w:t>14. API access for operational users</w:t>
      </w:r>
    </w:p>
    <w:p>
      <w:r>
        <w:rPr>
          <w:rFonts w:ascii="Calibri" w:hAnsi="Calibri"/>
          <w:i w:val="0"/>
          <w:color w:val="111827"/>
        </w:rPr>
        <w:t>The browser is the normal interface. Use an API token only for an approved integration or controlled automation. Tokens inherit your current role and data scope.</w:t>
      </w:r>
    </w:p>
    <w:p>
      <w:pPr>
        <w:numPr>
          <w:ilvl w:val="0"/>
          <w:numId w:val="32"/>
        </w:numPr>
      </w:pPr>
      <w:r>
        <w:rPr>
          <w:rFonts w:ascii="Calibri" w:hAnsi="Calibri"/>
          <w:color w:val="111827"/>
        </w:rPr>
        <w:t>Open API access and select Generate access token.</w:t>
      </w:r>
    </w:p>
    <w:p>
      <w:pPr>
        <w:numPr>
          <w:ilvl w:val="0"/>
          <w:numId w:val="32"/>
        </w:numPr>
      </w:pPr>
      <w:r>
        <w:rPr>
          <w:rFonts w:ascii="Calibri" w:hAnsi="Calibri"/>
          <w:color w:val="111827"/>
        </w:rPr>
        <w:t>Copy the full token immediately. The application stores only its secure hash and cannot display the full token again.</w:t>
      </w:r>
    </w:p>
    <w:p>
      <w:pPr>
        <w:numPr>
          <w:ilvl w:val="0"/>
          <w:numId w:val="32"/>
        </w:numPr>
      </w:pPr>
      <w:r>
        <w:rPr>
          <w:rFonts w:ascii="Calibri" w:hAnsi="Calibri"/>
          <w:color w:val="111827"/>
        </w:rPr>
        <w:t>Store the token in an approved secret manager. Never place it in email, chat, source code, a spreadsheet, or a committed file.</w:t>
      </w:r>
    </w:p>
    <w:p>
      <w:pPr>
        <w:numPr>
          <w:ilvl w:val="0"/>
          <w:numId w:val="32"/>
        </w:numPr>
      </w:pPr>
      <w:r>
        <w:rPr>
          <w:rFonts w:ascii="Calibri" w:hAnsi="Calibri"/>
          <w:color w:val="111827"/>
        </w:rPr>
        <w:t>Open the separate guide for the required API and use its exact fields and allowed dropdown values.</w:t>
      </w:r>
    </w:p>
    <w:p>
      <w:pPr>
        <w:numPr>
          <w:ilvl w:val="0"/>
          <w:numId w:val="32"/>
        </w:numPr>
      </w:pPr>
      <w:r>
        <w:rPr>
          <w:rFonts w:ascii="Calibri" w:hAnsi="Calibri"/>
          <w:color w:val="111827"/>
        </w:rPr>
        <w:t>Revoke the token immediately when the integration ends or the token may have been exposed.</w:t>
      </w:r>
    </w:p>
    <w:p>
      <w:pPr>
        <w:spacing w:before="120" w:after="160"/>
        <w:ind w:left="173" w:right="86"/>
        <w:shd w:fill="FFF8E8"/>
        <w:pBdr>
          <w:left w:val="single" w:sz="18" w:space="8" w:color="7A5A00"/>
        </w:pBdr>
      </w:pPr>
      <w:r>
        <w:rPr>
          <w:rFonts w:ascii="Calibri" w:hAnsi="Calibri"/>
          <w:b/>
          <w:color w:val="7A5A00"/>
        </w:rPr>
        <w:t xml:space="preserve">Token lifetime: </w:t>
      </w:r>
      <w:r>
        <w:rPr>
          <w:rFonts w:ascii="Calibri" w:hAnsi="Calibri"/>
          <w:color w:val="111827"/>
        </w:rPr>
        <w:t>New tokens do not expire automatically. They stop working when revoked, when the user is disabled, or when access rules otherwise reject the request.</w:t>
      </w:r>
    </w:p>
    <w:p>
      <w:pPr>
        <w:pStyle w:val="Heading1"/>
      </w:pPr>
      <w:r>
        <w:t>15. Data-quality checklist</w:t>
      </w:r>
    </w:p>
    <w:p>
      <w:pPr>
        <w:numPr>
          <w:ilvl w:val="0"/>
          <w:numId w:val="33"/>
        </w:numPr>
      </w:pPr>
      <w:r>
        <w:rPr>
          <w:rFonts w:ascii="Calibri" w:hAnsi="Calibri"/>
          <w:color w:val="111827"/>
        </w:rPr>
        <w:t>One company/workstream record; resolve duplicate warnings instead of bypassing them.</w:t>
      </w:r>
    </w:p>
    <w:p>
      <w:pPr>
        <w:numPr>
          <w:ilvl w:val="0"/>
          <w:numId w:val="33"/>
        </w:numPr>
      </w:pPr>
      <w:r>
        <w:rPr>
          <w:rFonts w:ascii="Calibri" w:hAnsi="Calibri"/>
          <w:color w:val="111827"/>
        </w:rPr>
        <w:t>One accountable owner whose user class matches the workstream.</w:t>
      </w:r>
    </w:p>
    <w:p>
      <w:pPr>
        <w:numPr>
          <w:ilvl w:val="0"/>
          <w:numId w:val="33"/>
        </w:numPr>
      </w:pPr>
      <w:r>
        <w:rPr>
          <w:rFonts w:ascii="Calibri" w:hAnsi="Calibri"/>
          <w:color w:val="111827"/>
        </w:rPr>
        <w:t>Verified company facts, qualification evidence, and senior-contact information.</w:t>
      </w:r>
    </w:p>
    <w:p>
      <w:pPr>
        <w:numPr>
          <w:ilvl w:val="0"/>
          <w:numId w:val="33"/>
        </w:numPr>
      </w:pPr>
      <w:r>
        <w:rPr>
          <w:rFonts w:ascii="Calibri" w:hAnsi="Calibri"/>
          <w:color w:val="111827"/>
        </w:rPr>
        <w:t>At least one reachable contact method before moving beyond research.</w:t>
      </w:r>
    </w:p>
    <w:p>
      <w:pPr>
        <w:numPr>
          <w:ilvl w:val="0"/>
          <w:numId w:val="33"/>
        </w:numPr>
      </w:pPr>
      <w:r>
        <w:rPr>
          <w:rFonts w:ascii="Calibri" w:hAnsi="Calibri"/>
          <w:color w:val="111827"/>
        </w:rPr>
        <w:t>Every completed outreach recorded with the real date and correct activity type.</w:t>
      </w:r>
    </w:p>
    <w:p>
      <w:pPr>
        <w:numPr>
          <w:ilvl w:val="0"/>
          <w:numId w:val="33"/>
        </w:numPr>
      </w:pPr>
      <w:r>
        <w:rPr>
          <w:rFonts w:ascii="Calibri" w:hAnsi="Calibri"/>
          <w:color w:val="111827"/>
        </w:rPr>
        <w:t>No more than five outreach records; use edits for factual corrections.</w:t>
      </w:r>
    </w:p>
    <w:p>
      <w:pPr>
        <w:numPr>
          <w:ilvl w:val="0"/>
          <w:numId w:val="33"/>
        </w:numPr>
      </w:pPr>
      <w:r>
        <w:rPr>
          <w:rFonts w:ascii="Calibri" w:hAnsi="Calibri"/>
          <w:color w:val="111827"/>
        </w:rPr>
        <w:t>One specific next action paired with one date.</w:t>
      </w:r>
    </w:p>
    <w:p>
      <w:pPr>
        <w:numPr>
          <w:ilvl w:val="0"/>
          <w:numId w:val="33"/>
        </w:numPr>
      </w:pPr>
      <w:r>
        <w:rPr>
          <w:rFonts w:ascii="Calibri" w:hAnsi="Calibri"/>
          <w:color w:val="111827"/>
        </w:rPr>
        <w:t>Interest signals and founder questions reflect what the prospect actually said.</w:t>
      </w:r>
    </w:p>
    <w:p>
      <w:pPr>
        <w:numPr>
          <w:ilvl w:val="0"/>
          <w:numId w:val="33"/>
        </w:numPr>
      </w:pPr>
      <w:r>
        <w:rPr>
          <w:rFonts w:ascii="Calibri" w:hAnsi="Calibri"/>
          <w:color w:val="111827"/>
        </w:rPr>
        <w:t>Scheduled meetings include date/time, time zone, and participants.</w:t>
      </w:r>
    </w:p>
    <w:p>
      <w:pPr>
        <w:numPr>
          <w:ilvl w:val="0"/>
          <w:numId w:val="33"/>
        </w:numPr>
      </w:pPr>
      <w:r>
        <w:rPr>
          <w:rFonts w:ascii="Calibri" w:hAnsi="Calibri"/>
          <w:color w:val="111827"/>
        </w:rPr>
        <w:t>Sensitive API tokens remain outside the application records and repository.</w:t>
      </w:r>
    </w:p>
    <w:p>
      <w:pPr>
        <w:pStyle w:val="Heading1"/>
      </w:pPr>
      <w:r>
        <w:t>16. Troubleshooting</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500"/>
        <w:gridCol w:w="3400"/>
        <w:gridCol w:w="3460"/>
      </w:tblGrid>
      <w:tr>
        <w:trPr>
          <w:tblHeader w:val="true"/>
          <w:cantSplit/>
        </w:trPr>
        <w:tc>
          <w:tcPr>
            <w:tcW w:type="dxa" w:w="25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Problem</w:t>
            </w:r>
          </w:p>
        </w:tc>
        <w:tc>
          <w:tcPr>
            <w:tcW w:type="dxa" w:w="34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Likely cause</w:t>
            </w:r>
          </w:p>
        </w:tc>
        <w:tc>
          <w:tcPr>
            <w:tcW w:type="dxa" w:w="346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What to do</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Google sign-in is denied</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Email was not pre-approved, account is disabled, or the wrong Google account was selected.</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Ask a system admin to check the exact email and access state.</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Cannot edit a prospect</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You do not own it, it is in another workstream, or your account class changed.</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Claim it if unassigned in your queue; otherwise ask a manager to assign it.</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Cannot add outreach</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Research is incomplete, no matching contact channel exists, the date is future, or the record already has five entries.</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Correct the displayed missing field or rule violation.</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LinkedIn activity is rejected</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The connection sequence is out of order.</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Record request, acceptance, and post-acceptance actions in their real order.</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Meeting status will not save</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One or more meeting fields are missing.</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Add date/time, time zone, and confirmed participants.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CSV is rejected before ingestion</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Wrong headers/order, encoding, extension, empty file, or size above 5 MB.</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Re-export as UTF-8 .csv with exactly Company Name, Website, Area.</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A CSV row is ignored</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The result page detected missing, duplicate, malformed, or oversized data.</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Correct the listed reason and ingest a new file only for the failed rows.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Rollback leaves some records</w:t>
            </w:r>
          </w:p>
        </w:tc>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7"/>
              </w:rPr>
              <w:t>Those prospects changed or gained outreach/API activity.</w:t>
            </w:r>
          </w:p>
        </w:tc>
        <w:tc>
          <w:tcPr>
            <w:tcW w:type="dxa" w:w="3460"/>
            <w:vAlign w:val="center"/>
            <w:tcMar>
              <w:top w:w="80" w:type="dxa"/>
              <w:start w:w="120" w:type="dxa"/>
              <w:bottom w:w="80" w:type="dxa"/>
              <w:end w:w="120" w:type="dxa"/>
            </w:tcMar>
          </w:tcPr>
          <w:p>
            <w:pPr>
              <w:spacing w:before="0" w:after="0" w:line="264" w:lineRule="auto"/>
            </w:pPr>
            <w:r>
              <w:rPr>
                <w:rFonts w:ascii="Calibri" w:hAnsi="Calibri"/>
                <w:color w:val="111827"/>
                <w:sz w:val="17"/>
              </w:rPr>
              <w:t>Review the protected list; handle them individually if a business owner approves.</w:t>
            </w:r>
          </w:p>
        </w:tc>
      </w:tr>
    </w:tbl>
    <w:p>
      <w:pPr>
        <w:spacing w:before="0" w:after="20"/>
      </w:pPr>
    </w:p>
    <w:p>
      <w:pPr>
        <w:pStyle w:val="Heading1"/>
      </w:pPr>
      <w:r>
        <w:t>17. Glossary</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Term</w:t>
            </w:r>
          </w:p>
        </w:tc>
        <w:tc>
          <w:tcPr>
            <w:tcW w:type="dxa" w:w="71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Definition</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Company ID</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Immutable UUID shared by a company's prospect records across workstreams.</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Prospect ID</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Numeric identifier for one company record in one workstream.</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Role queue</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Unassigned prospects visible to frontline users in the matching user class.</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Claim</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Atomic action that assigns an unassigned prospect to a frontline user.</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Stage</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Position in the operational playbook.</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Status</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Current business outcome; some statuses automatically set a later stage.</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Handoff</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Verified context, materials, questions, and meeting information passed to founders.</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8"/>
              </w:rPr>
              <w:t>Import batch</w:t>
            </w:r>
          </w:p>
        </w:tc>
        <w:tc>
          <w:tcPr>
            <w:tcW w:type="dxa" w:w="7160"/>
            <w:vAlign w:val="center"/>
            <w:tcMar>
              <w:top w:w="80" w:type="dxa"/>
              <w:start w:w="120" w:type="dxa"/>
              <w:bottom w:w="80" w:type="dxa"/>
              <w:end w:w="120" w:type="dxa"/>
            </w:tcMar>
          </w:tcPr>
          <w:p>
            <w:pPr>
              <w:spacing w:before="0" w:after="0" w:line="264" w:lineRule="auto"/>
            </w:pPr>
            <w:r>
              <w:rPr>
                <w:rFonts w:ascii="Calibri" w:hAnsi="Calibri"/>
                <w:color w:val="111827"/>
                <w:sz w:val="18"/>
              </w:rPr>
              <w:t>One CSV ingestion, with row results and a batch-specific safe rollback.</w:t>
            </w:r>
          </w:p>
        </w:tc>
      </w:tr>
    </w:tbl>
    <w:p>
      <w:pPr>
        <w:spacing w:before="0"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FlexGCC Outreach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
    <w:abstractNumId w:val="10"/>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10"/>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9"/>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9"/>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dgen.flexgcc.com" TargetMode="External"/><Relationship Id="rId12" Type="http://schemas.openxmlformats.org/officeDocument/2006/relationships/hyperlink" Target="https://github.com/gopalakrishnanplus-creator/FlexGCC-Out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A role-by-role guide to qualifying prospects, recording outreach, and handing interested firms to founders</dc:subject>
  <dc:creator>FlexGCC</dc:creator>
  <cp:keywords>FlexGCC Outreach, LeadGen, operations, handover</cp:keywords>
  <dc:description>Prepared from baseline commit 2f634ab53dbbffcaf1364f33b7c88fe5a2319109.</dc:description>
  <cp:lastModifiedBy/>
  <cp:revision>1</cp:revision>
  <dcterms:created xsi:type="dcterms:W3CDTF">2013-12-23T23:15:00Z</dcterms:created>
  <dcterms:modified xsi:type="dcterms:W3CDTF">2013-12-23T23:15:00Z</dcterms:modified>
  <cp:category/>
</cp:coreProperties>
</file>