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172A"/>
          <w:sz w:val="48"/>
        </w:rPr>
        <w:t>HackerRank &amp; College Dashboard</w:t>
      </w:r>
    </w:p>
    <w:p>
      <w:pPr>
        <w:spacing w:before="0" w:after="280"/>
      </w:pPr>
      <w:r>
        <w:rPr>
          <w:rFonts w:ascii="Calibri" w:hAnsi="Calibri"/>
          <w:color w:val="2563EB"/>
          <w:sz w:val="26"/>
        </w:rPr>
        <w:t>Comprehensive Feature &amp; Architecture Documentation</w:t>
      </w:r>
    </w:p>
    <w:tbl>
      <w:tblPr>
        <w:tblW w:type="auto" w:w="0"/>
        <w:jc w:val="center"/>
        <w:tblLook w:firstColumn="1" w:firstRow="1" w:lastColumn="0" w:lastRow="0" w:noHBand="0" w:noVBand="1" w:val="04A0"/>
      </w:tblPr>
      <w:tblGrid>
        <w:gridCol w:w="4968"/>
        <w:gridCol w:w="4968"/>
      </w:tblGrid>
      <w:tr>
        <w:tc>
          <w:tcPr>
            <w:tcW w:type="dxa" w:w="4680"/>
            <w:shd w:fill="F1F5F9"/>
            <w:tcMar>
              <w:top w:w="80" w:type="dxa"/>
              <w:bottom w:w="80" w:type="dxa"/>
              <w:left w:w="120" w:type="dxa"/>
              <w:right w:w="120" w:type="dxa"/>
            </w:tcMar>
          </w:tcPr>
          <w:p>
            <w:pPr>
              <w:spacing w:before="0" w:after="0"/>
            </w:pPr>
            <w:r>
              <w:rPr>
                <w:rFonts w:ascii="Calibri" w:hAnsi="Calibri"/>
                <w:b/>
                <w:color w:val="475569"/>
                <w:sz w:val="19"/>
              </w:rPr>
              <w:t xml:space="preserve">System Version: </w:t>
            </w:r>
            <w:r>
              <w:rPr>
                <w:rFonts w:ascii="Calibri" w:hAnsi="Calibri"/>
                <w:color w:val="0F172A"/>
                <w:sz w:val="19"/>
              </w:rPr>
              <w:t>v2.5 (Production Release)</w:t>
            </w:r>
          </w:p>
        </w:tc>
        <w:tc>
          <w:tcPr>
            <w:tcW w:type="dxa" w:w="4680"/>
            <w:shd w:fill="F1F5F9"/>
            <w:tcMar>
              <w:top w:w="80" w:type="dxa"/>
              <w:bottom w:w="80" w:type="dxa"/>
              <w:left w:w="120" w:type="dxa"/>
              <w:right w:w="120" w:type="dxa"/>
            </w:tcMar>
          </w:tcPr>
          <w:p>
            <w:pPr>
              <w:spacing w:before="0" w:after="0"/>
            </w:pPr>
            <w:r>
              <w:rPr>
                <w:rFonts w:ascii="Calibri" w:hAnsi="Calibri"/>
                <w:b/>
                <w:color w:val="475569"/>
                <w:sz w:val="19"/>
              </w:rPr>
              <w:t xml:space="preserve">Last Updated: </w:t>
            </w:r>
            <w:r>
              <w:rPr>
                <w:rFonts w:ascii="Calibri" w:hAnsi="Calibri"/>
                <w:color w:val="0F172A"/>
                <w:sz w:val="19"/>
              </w:rPr>
              <w:t>October 2026</w:t>
            </w:r>
          </w:p>
        </w:tc>
      </w:tr>
      <w:tr>
        <w:tc>
          <w:tcPr>
            <w:tcW w:type="dxa" w:w="4680"/>
            <w:shd w:fill="F1F5F9"/>
            <w:tcMar>
              <w:top w:w="80" w:type="dxa"/>
              <w:bottom w:w="80" w:type="dxa"/>
              <w:left w:w="120" w:type="dxa"/>
              <w:right w:w="120" w:type="dxa"/>
            </w:tcMar>
          </w:tcPr>
          <w:p>
            <w:pPr>
              <w:spacing w:before="0" w:after="0"/>
            </w:pPr>
            <w:r>
              <w:rPr>
                <w:rFonts w:ascii="Calibri" w:hAnsi="Calibri"/>
                <w:b/>
                <w:color w:val="475569"/>
                <w:sz w:val="19"/>
              </w:rPr>
              <w:t xml:space="preserve">Scope: </w:t>
            </w:r>
            <w:r>
              <w:rPr>
                <w:rFonts w:ascii="Calibri" w:hAnsi="Calibri"/>
                <w:color w:val="0F172A"/>
                <w:sz w:val="19"/>
              </w:rPr>
              <w:t>Shared Links, Student Management, Dropdowns, Sync</w:t>
            </w:r>
          </w:p>
        </w:tc>
        <w:tc>
          <w:tcPr>
            <w:tcW w:type="dxa" w:w="4680"/>
            <w:shd w:fill="F1F5F9"/>
            <w:tcMar>
              <w:top w:w="80" w:type="dxa"/>
              <w:bottom w:w="80" w:type="dxa"/>
              <w:left w:w="120" w:type="dxa"/>
              <w:right w:w="120" w:type="dxa"/>
            </w:tcMar>
          </w:tcPr>
          <w:p>
            <w:pPr>
              <w:spacing w:before="0" w:after="0"/>
            </w:pPr>
            <w:r>
              <w:rPr>
                <w:rFonts w:ascii="Calibri" w:hAnsi="Calibri"/>
                <w:b/>
                <w:color w:val="475569"/>
                <w:sz w:val="19"/>
              </w:rPr>
              <w:t xml:space="preserve">Module: </w:t>
            </w:r>
            <w:r>
              <w:rPr>
                <w:rFonts w:ascii="Calibri" w:hAnsi="Calibri"/>
                <w:color w:val="0F172A"/>
                <w:sz w:val="19"/>
              </w:rPr>
              <w:t>Public View &amp; Admin Dashboards</w:t>
            </w:r>
          </w:p>
        </w:tc>
      </w:tr>
    </w:tbl>
    <w:p>
      <w:pPr>
        <w:spacing w:before="120" w:after="240"/>
      </w:pPr>
    </w:p>
    <w:p>
      <w:pPr>
        <w:pStyle w:val="Heading1"/>
      </w:pPr>
      <w:r>
        <w:rPr>
          <w:rFonts w:ascii="Calibri" w:hAnsi="Calibri"/>
          <w:color w:val="0F172A"/>
        </w:rPr>
        <w:t>1. Executive Summary</w:t>
      </w:r>
    </w:p>
    <w:p>
      <w:pPr>
        <w:spacing w:line="276" w:lineRule="auto" w:after="200"/>
      </w:pPr>
      <w:r>
        <w:t>This document details the recent updates, feature additions, and architectural enhancements implemented in the HackerRank Administration &amp; Student Analytics platform. Key updates focus on empowering shared read-access links (used by external reviewers, college coordinators, and mentors) with direct student onboarding, dynamic college-mapped dropdowns, instantaneous roster sync, and seamless data editing.</w:t>
      </w:r>
    </w:p>
    <w:p>
      <w:pPr>
        <w:pStyle w:val="Heading1"/>
      </w:pPr>
      <w:r>
        <w:rPr>
          <w:rFonts w:ascii="Calibri" w:hAnsi="Calibri"/>
          <w:color w:val="0F172A"/>
        </w:rPr>
        <w:t>2. Detailed Features Breakdown</w:t>
      </w:r>
    </w:p>
    <w:p>
      <w:pPr>
        <w:pStyle w:val="Heading2"/>
      </w:pPr>
      <w:r>
        <w:rPr>
          <w:rFonts w:ascii="Calibri" w:hAnsi="Calibri"/>
          <w:color w:val="1E293B"/>
        </w:rPr>
        <w:t>2.1 Student Addition on Public / Shared Read-Access Links</w:t>
      </w:r>
    </w:p>
    <w:p>
      <w:pPr>
        <w:spacing w:line="276" w:lineRule="auto"/>
      </w:pPr>
      <w:r>
        <w:t>Previously, adding a student required full administrative access to the main dashboard. With this feature, users accessing a shared contest link (/view/:token) or college-wide link (/college/:token) can directly add new students via a prominent '+ Add Student' action button on the Students table header.</w:t>
      </w:r>
    </w:p>
    <w:tbl>
      <w:tblPr>
        <w:tblW w:type="auto" w:w="0"/>
        <w:jc w:val="center"/>
        <w:tblLayout w:type="fixed"/>
        <w:tblLook w:firstColumn="1" w:firstRow="1" w:lastColumn="0" w:lastRow="0" w:noHBand="0" w:noVBand="1" w:val="04A0"/>
      </w:tblPr>
      <w:tblGrid>
        <w:gridCol w:w="9936"/>
      </w:tblGrid>
      <w:tr>
        <w:tc>
          <w:tcPr>
            <w:tcW w:type="dxa" w:w="9360"/>
            <w:shd w:fill="ecfdf5"/>
            <w:tcMar>
              <w:top w:w="140" w:type="dxa"/>
              <w:bottom w:w="140" w:type="dxa"/>
              <w:left w:w="200" w:type="dxa"/>
              <w:right w:w="180" w:type="dxa"/>
            </w:tcMar>
            <w:tcBorders>
              <w:top w:val="none"/>
              <w:left w:val="single" w:sz="24" w:space="0" w:color="059669"/>
              <w:bottom w:val="none"/>
              <w:right w:val="none"/>
            </w:tcBorders>
          </w:tcPr>
          <w:p>
            <w:pPr>
              <w:spacing w:before="40" w:after="40" w:line="276" w:lineRule="auto"/>
            </w:pPr>
            <w:r>
              <w:rPr>
                <w:rFonts w:ascii="Calibri" w:hAnsi="Calibri"/>
                <w:b/>
                <w:color w:val="059669"/>
                <w:sz w:val="20"/>
              </w:rPr>
              <w:t xml:space="preserve">Key Usability Enhancement: </w:t>
            </w:r>
            <w:r>
              <w:rPr>
                <w:rFonts w:ascii="Calibri" w:hAnsi="Calibri"/>
                <w:color w:val="333333"/>
                <w:sz w:val="20"/>
              </w:rPr>
              <w:t>The '+ Add Student' modal supports dual input modes: a single-student structured form for instant entry and a bulk paste mode for copying raw roster rows directly from spreadsheets.</w:t>
            </w:r>
          </w:p>
        </w:tc>
      </w:tr>
    </w:tbl>
    <w:p>
      <w:pPr>
        <w:spacing w:before="0" w:after="120"/>
      </w:pPr>
    </w:p>
    <w:p>
      <w:pPr>
        <w:pStyle w:val="Heading3"/>
      </w:pPr>
      <w:r>
        <w:t>Key Capabilities &amp; Behaviors:</w:t>
      </w:r>
    </w:p>
    <w:p>
      <w:pPr>
        <w:spacing w:line="276" w:lineRule="auto"/>
      </w:pPr>
      <w:r>
        <w:rPr>
          <w:b/>
        </w:rPr>
        <w:t xml:space="preserve">• Single Student Form: </w:t>
      </w:r>
      <w:r>
        <w:t>Collects Student Name, HackerRank Username/URL, Register No, Email, Campus, Department, Section, and Year.</w:t>
        <w:br/>
      </w:r>
      <w:r>
        <w:rPr>
          <w:b/>
        </w:rPr>
        <w:t xml:space="preserve">• Bulk Paste Processor: </w:t>
      </w:r>
      <w:r>
        <w:t>Accepts multi-row tab or comma-separated values (Name, username, reg, email, dept, section, year) with live student count detection.</w:t>
        <w:br/>
      </w:r>
      <w:r>
        <w:rPr>
          <w:b/>
        </w:rPr>
        <w:t xml:space="preserve">• Dual Route Mapping: </w:t>
      </w:r>
      <w:r>
        <w:t>Automatically routes submissions to POST /api/shared/:token/students (contest-bound) or POST /api/college/:token/students (college-wide with active contest mapping).</w:t>
        <w:br/>
      </w:r>
      <w:r>
        <w:rPr>
          <w:b/>
        </w:rPr>
        <w:t xml:space="preserve">• Instant UI Synchronization: </w:t>
      </w:r>
      <w:r>
        <w:t>Upon saving, the student roster, department/section filter bars, completion metrics, question breakdown charts, and daily logs immediately update in real-time without reloading the page.</w:t>
      </w:r>
    </w:p>
    <w:p>
      <w:pPr>
        <w:pStyle w:val="Heading2"/>
      </w:pPr>
      <w:r>
        <w:rPr>
          <w:rFonts w:ascii="Calibri" w:hAnsi="Calibri"/>
          <w:color w:val="1E293B"/>
        </w:rPr>
        <w:t>2.2 Dynamic Admin-Created College Facet Dropdowns &amp; Mapping</w:t>
      </w:r>
    </w:p>
    <w:p>
      <w:pPr>
        <w:spacing w:line="276" w:lineRule="auto"/>
      </w:pPr>
      <w:r>
        <w:t>To ensure high data cleanliness and prevent typographical mistakes, free-text inputs for Campus, Department, Section, and Year were transformed into intelligent, dynamic dropdowns populated directly from the college's admin-established facet database.</w:t>
      </w:r>
    </w:p>
    <w:tbl>
      <w:tblPr>
        <w:tblW w:type="auto" w:w="0"/>
        <w:jc w:val="center"/>
        <w:tblLayout w:type="fixed"/>
        <w:tblLook w:firstColumn="1" w:firstRow="1" w:lastColumn="0" w:lastRow="0" w:noHBand="0" w:noVBand="1" w:val="04A0"/>
        <w:tblBorders>
          <w:top w:val="single" w:sz="4" w:space="0" w:color="E5E7EB"/>
          <w:bottom w:val="single" w:sz="8" w:space="0" w:color="D1D5DB"/>
          <w:left w:val="none"/>
          <w:right w:val="none"/>
          <w:insideH w:val="single" w:sz="4" w:space="0" w:color="E5E7EB"/>
          <w:insideV w:val="none"/>
        </w:tblBorders>
      </w:tblPr>
      <w:tblGrid>
        <w:gridCol w:w="2484"/>
        <w:gridCol w:w="2484"/>
        <w:gridCol w:w="2484"/>
        <w:gridCol w:w="2484"/>
      </w:tblGrid>
      <w:tr>
        <w:tc>
          <w:tcPr>
            <w:tcW w:type="dxa" w:w="1728"/>
            <w:shd w:fill="1F2937"/>
            <w:tcMar>
              <w:top w:w="120" w:type="dxa"/>
              <w:bottom w:w="120" w:type="dxa"/>
              <w:left w:w="140" w:type="dxa"/>
              <w:right w:w="140" w:type="dxa"/>
            </w:tcMar>
          </w:tcPr>
          <w:p>
            <w:pPr>
              <w:jc w:val="left"/>
            </w:pPr>
            <w:r>
              <w:rPr>
                <w:rFonts w:ascii="Calibri" w:hAnsi="Calibri"/>
                <w:b/>
                <w:color w:val="FFFFFF"/>
                <w:sz w:val="20"/>
              </w:rPr>
              <w:t>Field</w:t>
            </w:r>
          </w:p>
        </w:tc>
        <w:tc>
          <w:tcPr>
            <w:tcW w:type="dxa" w:w="2592"/>
            <w:shd w:fill="1F2937"/>
            <w:tcMar>
              <w:top w:w="120" w:type="dxa"/>
              <w:bottom w:w="120" w:type="dxa"/>
              <w:left w:w="140" w:type="dxa"/>
              <w:right w:w="140" w:type="dxa"/>
            </w:tcMar>
          </w:tcPr>
          <w:p>
            <w:pPr>
              <w:jc w:val="left"/>
            </w:pPr>
            <w:r>
              <w:rPr>
                <w:rFonts w:ascii="Calibri" w:hAnsi="Calibri"/>
                <w:b/>
                <w:color w:val="FFFFFF"/>
                <w:sz w:val="20"/>
              </w:rPr>
              <w:t>Source Data</w:t>
            </w:r>
          </w:p>
        </w:tc>
        <w:tc>
          <w:tcPr>
            <w:tcW w:type="dxa" w:w="3312"/>
            <w:shd w:fill="1F2937"/>
            <w:tcMar>
              <w:top w:w="120" w:type="dxa"/>
              <w:bottom w:w="120" w:type="dxa"/>
              <w:left w:w="140" w:type="dxa"/>
              <w:right w:w="140" w:type="dxa"/>
            </w:tcMar>
          </w:tcPr>
          <w:p>
            <w:pPr>
              <w:jc w:val="left"/>
            </w:pPr>
            <w:r>
              <w:rPr>
                <w:rFonts w:ascii="Calibri" w:hAnsi="Calibri"/>
                <w:b/>
                <w:color w:val="FFFFFF"/>
                <w:sz w:val="20"/>
              </w:rPr>
              <w:t>Dynamic Behavior</w:t>
            </w:r>
          </w:p>
        </w:tc>
        <w:tc>
          <w:tcPr>
            <w:tcW w:type="dxa" w:w="2448"/>
            <w:shd w:fill="1F2937"/>
            <w:tcMar>
              <w:top w:w="120" w:type="dxa"/>
              <w:bottom w:w="120" w:type="dxa"/>
              <w:left w:w="140" w:type="dxa"/>
              <w:right w:w="140" w:type="dxa"/>
            </w:tcMar>
          </w:tcPr>
          <w:p>
            <w:pPr>
              <w:jc w:val="left"/>
            </w:pPr>
            <w:r>
              <w:rPr>
                <w:rFonts w:ascii="Calibri" w:hAnsi="Calibri"/>
                <w:b/>
                <w:color w:val="FFFFFF"/>
                <w:sz w:val="20"/>
              </w:rPr>
              <w:t>Fallback Option</w:t>
            </w:r>
          </w:p>
        </w:tc>
      </w:tr>
      <w:tr>
        <w:tc>
          <w:tcPr>
            <w:tcW w:type="dxa" w:w="1728"/>
            <w:shd w:fill="FFFFFF"/>
            <w:tcMar>
              <w:top w:w="100" w:type="dxa"/>
              <w:bottom w:w="100" w:type="dxa"/>
              <w:left w:w="140" w:type="dxa"/>
              <w:right w:w="140" w:type="dxa"/>
            </w:tcMar>
          </w:tcPr>
          <w:p>
            <w:r>
              <w:rPr>
                <w:rFonts w:ascii="Calibri" w:hAnsi="Calibri"/>
                <w:color w:val="222222"/>
                <w:sz w:val="19"/>
              </w:rPr>
              <w:t>Campus</w:t>
            </w:r>
          </w:p>
        </w:tc>
        <w:tc>
          <w:tcPr>
            <w:tcW w:type="dxa" w:w="2592"/>
            <w:shd w:fill="FFFFFF"/>
            <w:tcMar>
              <w:top w:w="100" w:type="dxa"/>
              <w:bottom w:w="100" w:type="dxa"/>
              <w:left w:w="140" w:type="dxa"/>
              <w:right w:w="140" w:type="dxa"/>
            </w:tcMar>
          </w:tcPr>
          <w:p>
            <w:r>
              <w:rPr>
                <w:rFonts w:ascii="Calibri" w:hAnsi="Calibri"/>
                <w:color w:val="222222"/>
                <w:sz w:val="19"/>
              </w:rPr>
              <w:t>hc_students (distinct campus)</w:t>
            </w:r>
          </w:p>
        </w:tc>
        <w:tc>
          <w:tcPr>
            <w:tcW w:type="dxa" w:w="3312"/>
            <w:shd w:fill="FFFFFF"/>
            <w:tcMar>
              <w:top w:w="100" w:type="dxa"/>
              <w:bottom w:w="100" w:type="dxa"/>
              <w:left w:w="140" w:type="dxa"/>
              <w:right w:w="140" w:type="dxa"/>
            </w:tcMar>
          </w:tcPr>
          <w:p>
            <w:r>
              <w:rPr>
                <w:rFonts w:ascii="Calibri" w:hAnsi="Calibri"/>
                <w:color w:val="222222"/>
                <w:sz w:val="19"/>
              </w:rPr>
              <w:t>Pre-fills active filter campus</w:t>
            </w:r>
          </w:p>
        </w:tc>
        <w:tc>
          <w:tcPr>
            <w:tcW w:type="dxa" w:w="2448"/>
            <w:shd w:fill="FFFFFF"/>
            <w:tcMar>
              <w:top w:w="100" w:type="dxa"/>
              <w:bottom w:w="100" w:type="dxa"/>
              <w:left w:w="140" w:type="dxa"/>
              <w:right w:w="140" w:type="dxa"/>
            </w:tcMar>
          </w:tcPr>
          <w:p>
            <w:r>
              <w:rPr>
                <w:rFonts w:ascii="Calibri" w:hAnsi="Calibri"/>
                <w:color w:val="222222"/>
                <w:sz w:val="19"/>
              </w:rPr>
              <w:t>＋ New Campus… (reveals text box)</w:t>
            </w:r>
          </w:p>
        </w:tc>
      </w:tr>
      <w:tr>
        <w:tc>
          <w:tcPr>
            <w:tcW w:type="dxa" w:w="1728"/>
            <w:shd w:fill="F9FAFB"/>
            <w:tcMar>
              <w:top w:w="100" w:type="dxa"/>
              <w:bottom w:w="100" w:type="dxa"/>
              <w:left w:w="140" w:type="dxa"/>
              <w:right w:w="140" w:type="dxa"/>
            </w:tcMar>
          </w:tcPr>
          <w:p>
            <w:r>
              <w:rPr>
                <w:rFonts w:ascii="Calibri" w:hAnsi="Calibri"/>
                <w:color w:val="222222"/>
                <w:sz w:val="19"/>
              </w:rPr>
              <w:t>Department</w:t>
            </w:r>
          </w:p>
        </w:tc>
        <w:tc>
          <w:tcPr>
            <w:tcW w:type="dxa" w:w="2592"/>
            <w:shd w:fill="F9FAFB"/>
            <w:tcMar>
              <w:top w:w="100" w:type="dxa"/>
              <w:bottom w:w="100" w:type="dxa"/>
              <w:left w:w="140" w:type="dxa"/>
              <w:right w:w="140" w:type="dxa"/>
            </w:tcMar>
          </w:tcPr>
          <w:p>
            <w:r>
              <w:rPr>
                <w:rFonts w:ascii="Calibri" w:hAnsi="Calibri"/>
                <w:color w:val="222222"/>
                <w:sz w:val="19"/>
              </w:rPr>
              <w:t>hc_students (distinct dept)</w:t>
            </w:r>
          </w:p>
        </w:tc>
        <w:tc>
          <w:tcPr>
            <w:tcW w:type="dxa" w:w="3312"/>
            <w:shd w:fill="F9FAFB"/>
            <w:tcMar>
              <w:top w:w="100" w:type="dxa"/>
              <w:bottom w:w="100" w:type="dxa"/>
              <w:left w:w="140" w:type="dxa"/>
              <w:right w:w="140" w:type="dxa"/>
            </w:tcMar>
          </w:tcPr>
          <w:p>
            <w:r>
              <w:rPr>
                <w:rFonts w:ascii="Calibri" w:hAnsi="Calibri"/>
                <w:color w:val="222222"/>
                <w:sz w:val="19"/>
              </w:rPr>
              <w:t>Lists all college departments</w:t>
            </w:r>
          </w:p>
        </w:tc>
        <w:tc>
          <w:tcPr>
            <w:tcW w:type="dxa" w:w="2448"/>
            <w:shd w:fill="F9FAFB"/>
            <w:tcMar>
              <w:top w:w="100" w:type="dxa"/>
              <w:bottom w:w="100" w:type="dxa"/>
              <w:left w:w="140" w:type="dxa"/>
              <w:right w:w="140" w:type="dxa"/>
            </w:tcMar>
          </w:tcPr>
          <w:p>
            <w:r>
              <w:rPr>
                <w:rFonts w:ascii="Calibri" w:hAnsi="Calibri"/>
                <w:color w:val="222222"/>
                <w:sz w:val="19"/>
              </w:rPr>
              <w:t>＋ New Department… (reveals text box)</w:t>
            </w:r>
          </w:p>
        </w:tc>
      </w:tr>
      <w:tr>
        <w:tc>
          <w:tcPr>
            <w:tcW w:type="dxa" w:w="1728"/>
            <w:shd w:fill="FFFFFF"/>
            <w:tcMar>
              <w:top w:w="100" w:type="dxa"/>
              <w:bottom w:w="100" w:type="dxa"/>
              <w:left w:w="140" w:type="dxa"/>
              <w:right w:w="140" w:type="dxa"/>
            </w:tcMar>
          </w:tcPr>
          <w:p>
            <w:r>
              <w:rPr>
                <w:rFonts w:ascii="Calibri" w:hAnsi="Calibri"/>
                <w:color w:val="222222"/>
                <w:sz w:val="19"/>
              </w:rPr>
              <w:t>Section</w:t>
            </w:r>
          </w:p>
        </w:tc>
        <w:tc>
          <w:tcPr>
            <w:tcW w:type="dxa" w:w="2592"/>
            <w:shd w:fill="FFFFFF"/>
            <w:tcMar>
              <w:top w:w="100" w:type="dxa"/>
              <w:bottom w:w="100" w:type="dxa"/>
              <w:left w:w="140" w:type="dxa"/>
              <w:right w:w="140" w:type="dxa"/>
            </w:tcMar>
          </w:tcPr>
          <w:p>
            <w:r>
              <w:rPr>
                <w:rFonts w:ascii="Calibri" w:hAnsi="Calibri"/>
                <w:color w:val="222222"/>
                <w:sz w:val="19"/>
              </w:rPr>
              <w:t>College &amp; Department mapped</w:t>
            </w:r>
          </w:p>
        </w:tc>
        <w:tc>
          <w:tcPr>
            <w:tcW w:type="dxa" w:w="3312"/>
            <w:shd w:fill="FFFFFF"/>
            <w:tcMar>
              <w:top w:w="100" w:type="dxa"/>
              <w:bottom w:w="100" w:type="dxa"/>
              <w:left w:w="140" w:type="dxa"/>
              <w:right w:w="140" w:type="dxa"/>
            </w:tcMar>
          </w:tcPr>
          <w:p>
            <w:r>
              <w:rPr>
                <w:rFonts w:ascii="Calibri" w:hAnsi="Calibri"/>
                <w:color w:val="222222"/>
                <w:sz w:val="19"/>
              </w:rPr>
              <w:t>Filters sections belonging to chosen Dept</w:t>
            </w:r>
          </w:p>
        </w:tc>
        <w:tc>
          <w:tcPr>
            <w:tcW w:type="dxa" w:w="2448"/>
            <w:shd w:fill="FFFFFF"/>
            <w:tcMar>
              <w:top w:w="100" w:type="dxa"/>
              <w:bottom w:w="100" w:type="dxa"/>
              <w:left w:w="140" w:type="dxa"/>
              <w:right w:w="140" w:type="dxa"/>
            </w:tcMar>
          </w:tcPr>
          <w:p>
            <w:r>
              <w:rPr>
                <w:rFonts w:ascii="Calibri" w:hAnsi="Calibri"/>
                <w:color w:val="222222"/>
                <w:sz w:val="19"/>
              </w:rPr>
              <w:t>＋ New Section… (reveals text box)</w:t>
            </w:r>
          </w:p>
        </w:tc>
      </w:tr>
      <w:tr>
        <w:tc>
          <w:tcPr>
            <w:tcW w:type="dxa" w:w="1728"/>
            <w:shd w:fill="F9FAFB"/>
            <w:tcMar>
              <w:top w:w="100" w:type="dxa"/>
              <w:bottom w:w="100" w:type="dxa"/>
              <w:left w:w="140" w:type="dxa"/>
              <w:right w:w="140" w:type="dxa"/>
            </w:tcMar>
          </w:tcPr>
          <w:p>
            <w:r>
              <w:rPr>
                <w:rFonts w:ascii="Calibri" w:hAnsi="Calibri"/>
                <w:color w:val="222222"/>
                <w:sz w:val="19"/>
              </w:rPr>
              <w:t>Year</w:t>
            </w:r>
          </w:p>
        </w:tc>
        <w:tc>
          <w:tcPr>
            <w:tcW w:type="dxa" w:w="2592"/>
            <w:shd w:fill="F9FAFB"/>
            <w:tcMar>
              <w:top w:w="100" w:type="dxa"/>
              <w:bottom w:w="100" w:type="dxa"/>
              <w:left w:w="140" w:type="dxa"/>
              <w:right w:w="140" w:type="dxa"/>
            </w:tcMar>
          </w:tcPr>
          <w:p>
            <w:r>
              <w:rPr>
                <w:rFonts w:ascii="Calibri" w:hAnsi="Calibri"/>
                <w:color w:val="222222"/>
                <w:sz w:val="19"/>
              </w:rPr>
              <w:t>hc_students (distinct year)</w:t>
            </w:r>
          </w:p>
        </w:tc>
        <w:tc>
          <w:tcPr>
            <w:tcW w:type="dxa" w:w="3312"/>
            <w:shd w:fill="F9FAFB"/>
            <w:tcMar>
              <w:top w:w="100" w:type="dxa"/>
              <w:bottom w:w="100" w:type="dxa"/>
              <w:left w:w="140" w:type="dxa"/>
              <w:right w:w="140" w:type="dxa"/>
            </w:tcMar>
          </w:tcPr>
          <w:p>
            <w:r>
              <w:rPr>
                <w:rFonts w:ascii="Calibri" w:hAnsi="Calibri"/>
                <w:color w:val="222222"/>
                <w:sz w:val="19"/>
              </w:rPr>
              <w:t>Sorted numeric/roman years</w:t>
            </w:r>
          </w:p>
        </w:tc>
        <w:tc>
          <w:tcPr>
            <w:tcW w:type="dxa" w:w="2448"/>
            <w:shd w:fill="F9FAFB"/>
            <w:tcMar>
              <w:top w:w="100" w:type="dxa"/>
              <w:bottom w:w="100" w:type="dxa"/>
              <w:left w:w="140" w:type="dxa"/>
              <w:right w:w="140" w:type="dxa"/>
            </w:tcMar>
          </w:tcPr>
          <w:p>
            <w:r>
              <w:rPr>
                <w:rFonts w:ascii="Calibri" w:hAnsi="Calibri"/>
                <w:color w:val="222222"/>
                <w:sz w:val="19"/>
              </w:rPr>
              <w:t>＋ New Year… (reveals text box)</w:t>
            </w:r>
          </w:p>
        </w:tc>
      </w:tr>
    </w:tbl>
    <w:p>
      <w:pPr>
        <w:spacing w:before="0" w:after="160"/>
      </w:pPr>
    </w:p>
    <w:p>
      <w:pPr>
        <w:pStyle w:val="Heading3"/>
      </w:pPr>
      <w:r>
        <w:t>Department ➔ Section Smart Cascade:</w:t>
      </w:r>
    </w:p>
    <w:p>
      <w:pPr>
        <w:spacing w:line="276" w:lineRule="auto"/>
      </w:pPr>
      <w:r>
        <w:t>When a user selects a Department in the Add or Edit popup, an event listener dynamically queries the sections associated with that specific department across the college dataset. It displays the department's active sections first, followed by other college sections, while preserving any currently chosen value and keeping the '＋ New Section…' entry open.</w:t>
      </w:r>
    </w:p>
    <w:p>
      <w:pPr>
        <w:pStyle w:val="Heading2"/>
      </w:pPr>
      <w:r>
        <w:rPr>
          <w:rFonts w:ascii="Calibri" w:hAnsi="Calibri"/>
          <w:color w:val="1E293B"/>
        </w:rPr>
        <w:t>2.3 Student Details Check &amp; Update (Edit ✏️ Action)</w:t>
      </w:r>
    </w:p>
    <w:p>
      <w:pPr>
        <w:spacing w:line="276" w:lineRule="auto"/>
      </w:pPr>
      <w:r>
        <w:t>Each student row in the shared dashboard table includes a dedicated ✏️ edit button. This opens the 'Check &amp; Update Student Data' modal, pre-populated with current records and hooked into the same mapped dropdown system. Any modifications immediately synchronize with the backend database and refresh all visual analytics.</w:t>
      </w:r>
    </w:p>
    <w:p>
      <w:pPr>
        <w:pStyle w:val="Heading1"/>
      </w:pPr>
      <w:r>
        <w:rPr>
          <w:rFonts w:ascii="Calibri" w:hAnsi="Calibri"/>
          <w:color w:val="0F172A"/>
        </w:rPr>
        <w:t>3. System Architecture &amp; API Endpoints</w:t>
      </w:r>
    </w:p>
    <w:p>
      <w:pPr>
        <w:spacing w:line="276" w:lineRule="auto"/>
      </w:pPr>
      <w:r>
        <w:t>The following table summarizes the primary backend REST endpoints supporting shared read access and student management:</w:t>
      </w:r>
    </w:p>
    <w:tbl>
      <w:tblPr>
        <w:tblW w:type="auto" w:w="0"/>
        <w:jc w:val="center"/>
        <w:tblLayout w:type="fixed"/>
        <w:tblLook w:firstColumn="1" w:firstRow="1" w:lastColumn="0" w:lastRow="0" w:noHBand="0" w:noVBand="1" w:val="04A0"/>
        <w:tblBorders>
          <w:top w:val="single" w:sz="4" w:space="0" w:color="E5E7EB"/>
          <w:bottom w:val="single" w:sz="8" w:space="0" w:color="D1D5DB"/>
          <w:left w:val="none"/>
          <w:right w:val="none"/>
          <w:insideH w:val="single" w:sz="4" w:space="0" w:color="E5E7EB"/>
          <w:insideV w:val="none"/>
        </w:tblBorders>
      </w:tblPr>
      <w:tblGrid>
        <w:gridCol w:w="2484"/>
        <w:gridCol w:w="2484"/>
        <w:gridCol w:w="2484"/>
        <w:gridCol w:w="2484"/>
      </w:tblGrid>
      <w:tr>
        <w:tc>
          <w:tcPr>
            <w:tcW w:type="dxa" w:w="3024"/>
            <w:shd w:fill="1F2937"/>
            <w:tcMar>
              <w:top w:w="120" w:type="dxa"/>
              <w:bottom w:w="120" w:type="dxa"/>
              <w:left w:w="140" w:type="dxa"/>
              <w:right w:w="140" w:type="dxa"/>
            </w:tcMar>
          </w:tcPr>
          <w:p>
            <w:pPr>
              <w:jc w:val="left"/>
            </w:pPr>
            <w:r>
              <w:rPr>
                <w:rFonts w:ascii="Calibri" w:hAnsi="Calibri"/>
                <w:b/>
                <w:color w:val="FFFFFF"/>
                <w:sz w:val="20"/>
              </w:rPr>
              <w:t>HTTP Method &amp; Route</w:t>
            </w:r>
          </w:p>
        </w:tc>
        <w:tc>
          <w:tcPr>
            <w:tcW w:type="dxa" w:w="1584"/>
            <w:shd w:fill="1F2937"/>
            <w:tcMar>
              <w:top w:w="120" w:type="dxa"/>
              <w:bottom w:w="120" w:type="dxa"/>
              <w:left w:w="140" w:type="dxa"/>
              <w:right w:w="140" w:type="dxa"/>
            </w:tcMar>
          </w:tcPr>
          <w:p>
            <w:pPr>
              <w:jc w:val="left"/>
            </w:pPr>
            <w:r>
              <w:rPr>
                <w:rFonts w:ascii="Calibri" w:hAnsi="Calibri"/>
                <w:b/>
                <w:color w:val="FFFFFF"/>
                <w:sz w:val="20"/>
              </w:rPr>
              <w:t>Access Level</w:t>
            </w:r>
          </w:p>
        </w:tc>
        <w:tc>
          <w:tcPr>
            <w:tcW w:type="dxa" w:w="3312"/>
            <w:shd w:fill="1F2937"/>
            <w:tcMar>
              <w:top w:w="120" w:type="dxa"/>
              <w:bottom w:w="120" w:type="dxa"/>
              <w:left w:w="140" w:type="dxa"/>
              <w:right w:w="140" w:type="dxa"/>
            </w:tcMar>
          </w:tcPr>
          <w:p>
            <w:pPr>
              <w:jc w:val="left"/>
            </w:pPr>
            <w:r>
              <w:rPr>
                <w:rFonts w:ascii="Calibri" w:hAnsi="Calibri"/>
                <w:b/>
                <w:color w:val="FFFFFF"/>
                <w:sz w:val="20"/>
              </w:rPr>
              <w:t>Purpose &amp; Payload</w:t>
            </w:r>
          </w:p>
        </w:tc>
        <w:tc>
          <w:tcPr>
            <w:tcW w:type="dxa" w:w="2160"/>
            <w:shd w:fill="1F2937"/>
            <w:tcMar>
              <w:top w:w="120" w:type="dxa"/>
              <w:bottom w:w="120" w:type="dxa"/>
              <w:left w:w="140" w:type="dxa"/>
              <w:right w:w="140" w:type="dxa"/>
            </w:tcMar>
          </w:tcPr>
          <w:p>
            <w:pPr>
              <w:jc w:val="left"/>
            </w:pPr>
            <w:r>
              <w:rPr>
                <w:rFonts w:ascii="Calibri" w:hAnsi="Calibri"/>
                <w:b/>
                <w:color w:val="FFFFFF"/>
                <w:sz w:val="20"/>
              </w:rPr>
              <w:t>Response</w:t>
            </w:r>
          </w:p>
        </w:tc>
      </w:tr>
      <w:tr>
        <w:tc>
          <w:tcPr>
            <w:tcW w:type="dxa" w:w="3024"/>
            <w:shd w:fill="FFFFFF"/>
            <w:tcMar>
              <w:top w:w="100" w:type="dxa"/>
              <w:bottom w:w="100" w:type="dxa"/>
              <w:left w:w="140" w:type="dxa"/>
              <w:right w:w="140" w:type="dxa"/>
            </w:tcMar>
          </w:tcPr>
          <w:p>
            <w:r>
              <w:rPr>
                <w:rFonts w:ascii="Calibri" w:hAnsi="Calibri"/>
                <w:color w:val="222222"/>
                <w:sz w:val="19"/>
              </w:rPr>
              <w:t>POST /api/shared/:token/students</w:t>
            </w:r>
          </w:p>
        </w:tc>
        <w:tc>
          <w:tcPr>
            <w:tcW w:type="dxa" w:w="1584"/>
            <w:shd w:fill="FFFFFF"/>
            <w:tcMar>
              <w:top w:w="100" w:type="dxa"/>
              <w:bottom w:w="100" w:type="dxa"/>
              <w:left w:w="140" w:type="dxa"/>
              <w:right w:w="140" w:type="dxa"/>
            </w:tcMar>
          </w:tcPr>
          <w:p>
            <w:r>
              <w:rPr>
                <w:rFonts w:ascii="Calibri" w:hAnsi="Calibri"/>
                <w:color w:val="222222"/>
                <w:sz w:val="19"/>
              </w:rPr>
              <w:t>Shared Token</w:t>
            </w:r>
          </w:p>
        </w:tc>
        <w:tc>
          <w:tcPr>
            <w:tcW w:type="dxa" w:w="3312"/>
            <w:shd w:fill="FFFFFF"/>
            <w:tcMar>
              <w:top w:w="100" w:type="dxa"/>
              <w:bottom w:w="100" w:type="dxa"/>
              <w:left w:w="140" w:type="dxa"/>
              <w:right w:w="140" w:type="dxa"/>
            </w:tcMar>
          </w:tcPr>
          <w:p>
            <w:r>
              <w:rPr>
                <w:rFonts w:ascii="Calibri" w:hAnsi="Calibri"/>
                <w:color w:val="222222"/>
                <w:sz w:val="19"/>
              </w:rPr>
              <w:t>Creates or bulk-upserts students for the specific contest share link.</w:t>
            </w:r>
          </w:p>
        </w:tc>
        <w:tc>
          <w:tcPr>
            <w:tcW w:type="dxa" w:w="2160"/>
            <w:shd w:fill="FFFFFF"/>
            <w:tcMar>
              <w:top w:w="100" w:type="dxa"/>
              <w:bottom w:w="100" w:type="dxa"/>
              <w:left w:w="140" w:type="dxa"/>
              <w:right w:w="140" w:type="dxa"/>
            </w:tcMar>
          </w:tcPr>
          <w:p>
            <w:r>
              <w:rPr>
                <w:rFonts w:ascii="Calibri" w:hAnsi="Calibri"/>
                <w:color w:val="222222"/>
                <w:sz w:val="19"/>
              </w:rPr>
              <w:t>{ ok: true, count: N, students: [...] }</w:t>
            </w:r>
          </w:p>
        </w:tc>
      </w:tr>
      <w:tr>
        <w:tc>
          <w:tcPr>
            <w:tcW w:type="dxa" w:w="3024"/>
            <w:shd w:fill="F9FAFB"/>
            <w:tcMar>
              <w:top w:w="100" w:type="dxa"/>
              <w:bottom w:w="100" w:type="dxa"/>
              <w:left w:w="140" w:type="dxa"/>
              <w:right w:w="140" w:type="dxa"/>
            </w:tcMar>
          </w:tcPr>
          <w:p>
            <w:r>
              <w:rPr>
                <w:rFonts w:ascii="Calibri" w:hAnsi="Calibri"/>
                <w:color w:val="222222"/>
                <w:sz w:val="19"/>
              </w:rPr>
              <w:t>PUT /api/shared/:token/students/:id</w:t>
            </w:r>
          </w:p>
        </w:tc>
        <w:tc>
          <w:tcPr>
            <w:tcW w:type="dxa" w:w="1584"/>
            <w:shd w:fill="F9FAFB"/>
            <w:tcMar>
              <w:top w:w="100" w:type="dxa"/>
              <w:bottom w:w="100" w:type="dxa"/>
              <w:left w:w="140" w:type="dxa"/>
              <w:right w:w="140" w:type="dxa"/>
            </w:tcMar>
          </w:tcPr>
          <w:p>
            <w:r>
              <w:rPr>
                <w:rFonts w:ascii="Calibri" w:hAnsi="Calibri"/>
                <w:color w:val="222222"/>
                <w:sz w:val="19"/>
              </w:rPr>
              <w:t>Shared Token</w:t>
            </w:r>
          </w:p>
        </w:tc>
        <w:tc>
          <w:tcPr>
            <w:tcW w:type="dxa" w:w="3312"/>
            <w:shd w:fill="F9FAFB"/>
            <w:tcMar>
              <w:top w:w="100" w:type="dxa"/>
              <w:bottom w:w="100" w:type="dxa"/>
              <w:left w:w="140" w:type="dxa"/>
              <w:right w:w="140" w:type="dxa"/>
            </w:tcMar>
          </w:tcPr>
          <w:p>
            <w:r>
              <w:rPr>
                <w:rFonts w:ascii="Calibri" w:hAnsi="Calibri"/>
                <w:color w:val="222222"/>
                <w:sz w:val="19"/>
              </w:rPr>
              <w:t>Updates fields (name, hrUsername, reg, email, dept, sec, year, campus) for a contest student.</w:t>
            </w:r>
          </w:p>
        </w:tc>
        <w:tc>
          <w:tcPr>
            <w:tcW w:type="dxa" w:w="2160"/>
            <w:shd w:fill="F9FAFB"/>
            <w:tcMar>
              <w:top w:w="100" w:type="dxa"/>
              <w:bottom w:w="100" w:type="dxa"/>
              <w:left w:w="140" w:type="dxa"/>
              <w:right w:w="140" w:type="dxa"/>
            </w:tcMar>
          </w:tcPr>
          <w:p>
            <w:r>
              <w:rPr>
                <w:rFonts w:ascii="Calibri" w:hAnsi="Calibri"/>
                <w:color w:val="222222"/>
                <w:sz w:val="19"/>
              </w:rPr>
              <w:t>{ ok: true, student: {...} }</w:t>
            </w:r>
          </w:p>
        </w:tc>
      </w:tr>
      <w:tr>
        <w:tc>
          <w:tcPr>
            <w:tcW w:type="dxa" w:w="3024"/>
            <w:shd w:fill="FFFFFF"/>
            <w:tcMar>
              <w:top w:w="100" w:type="dxa"/>
              <w:bottom w:w="100" w:type="dxa"/>
              <w:left w:w="140" w:type="dxa"/>
              <w:right w:w="140" w:type="dxa"/>
            </w:tcMar>
          </w:tcPr>
          <w:p>
            <w:r>
              <w:rPr>
                <w:rFonts w:ascii="Calibri" w:hAnsi="Calibri"/>
                <w:color w:val="222222"/>
                <w:sz w:val="19"/>
              </w:rPr>
              <w:t>GET /api/shared/:token/facets</w:t>
            </w:r>
          </w:p>
        </w:tc>
        <w:tc>
          <w:tcPr>
            <w:tcW w:type="dxa" w:w="1584"/>
            <w:shd w:fill="FFFFFF"/>
            <w:tcMar>
              <w:top w:w="100" w:type="dxa"/>
              <w:bottom w:w="100" w:type="dxa"/>
              <w:left w:w="140" w:type="dxa"/>
              <w:right w:w="140" w:type="dxa"/>
            </w:tcMar>
          </w:tcPr>
          <w:p>
            <w:r>
              <w:rPr>
                <w:rFonts w:ascii="Calibri" w:hAnsi="Calibri"/>
                <w:color w:val="222222"/>
                <w:sz w:val="19"/>
              </w:rPr>
              <w:t>Shared Token</w:t>
            </w:r>
          </w:p>
        </w:tc>
        <w:tc>
          <w:tcPr>
            <w:tcW w:type="dxa" w:w="3312"/>
            <w:shd w:fill="FFFFFF"/>
            <w:tcMar>
              <w:top w:w="100" w:type="dxa"/>
              <w:bottom w:w="100" w:type="dxa"/>
              <w:left w:w="140" w:type="dxa"/>
              <w:right w:w="140" w:type="dxa"/>
            </w:tcMar>
          </w:tcPr>
          <w:p>
            <w:r>
              <w:rPr>
                <w:rFonts w:ascii="Calibri" w:hAnsi="Calibri"/>
                <w:color w:val="222222"/>
                <w:sz w:val="19"/>
              </w:rPr>
              <w:t>Returns distinct departments, sections, years, and campuses for the contest college.</w:t>
            </w:r>
          </w:p>
        </w:tc>
        <w:tc>
          <w:tcPr>
            <w:tcW w:type="dxa" w:w="2160"/>
            <w:shd w:fill="FFFFFF"/>
            <w:tcMar>
              <w:top w:w="100" w:type="dxa"/>
              <w:bottom w:w="100" w:type="dxa"/>
              <w:left w:w="140" w:type="dxa"/>
              <w:right w:w="140" w:type="dxa"/>
            </w:tcMar>
          </w:tcPr>
          <w:p>
            <w:r>
              <w:rPr>
                <w:rFonts w:ascii="Calibri" w:hAnsi="Calibri"/>
                <w:color w:val="222222"/>
                <w:sz w:val="19"/>
              </w:rPr>
              <w:t>{ departments: [], sections: [], years: [], campuses: [] }</w:t>
            </w:r>
          </w:p>
        </w:tc>
      </w:tr>
      <w:tr>
        <w:tc>
          <w:tcPr>
            <w:tcW w:type="dxa" w:w="3024"/>
            <w:shd w:fill="F9FAFB"/>
            <w:tcMar>
              <w:top w:w="100" w:type="dxa"/>
              <w:bottom w:w="100" w:type="dxa"/>
              <w:left w:w="140" w:type="dxa"/>
              <w:right w:w="140" w:type="dxa"/>
            </w:tcMar>
          </w:tcPr>
          <w:p>
            <w:r>
              <w:rPr>
                <w:rFonts w:ascii="Calibri" w:hAnsi="Calibri"/>
                <w:color w:val="222222"/>
                <w:sz w:val="19"/>
              </w:rPr>
              <w:t>POST /api/college/:token/students</w:t>
            </w:r>
          </w:p>
        </w:tc>
        <w:tc>
          <w:tcPr>
            <w:tcW w:type="dxa" w:w="1584"/>
            <w:shd w:fill="F9FAFB"/>
            <w:tcMar>
              <w:top w:w="100" w:type="dxa"/>
              <w:bottom w:w="100" w:type="dxa"/>
              <w:left w:w="140" w:type="dxa"/>
              <w:right w:w="140" w:type="dxa"/>
            </w:tcMar>
          </w:tcPr>
          <w:p>
            <w:r>
              <w:rPr>
                <w:rFonts w:ascii="Calibri" w:hAnsi="Calibri"/>
                <w:color w:val="222222"/>
                <w:sz w:val="19"/>
              </w:rPr>
              <w:t>College Token</w:t>
            </w:r>
          </w:p>
        </w:tc>
        <w:tc>
          <w:tcPr>
            <w:tcW w:type="dxa" w:w="3312"/>
            <w:shd w:fill="F9FAFB"/>
            <w:tcMar>
              <w:top w:w="100" w:type="dxa"/>
              <w:bottom w:w="100" w:type="dxa"/>
              <w:left w:w="140" w:type="dxa"/>
              <w:right w:w="140" w:type="dxa"/>
            </w:tcMar>
          </w:tcPr>
          <w:p>
            <w:r>
              <w:rPr>
                <w:rFonts w:ascii="Calibri" w:hAnsi="Calibri"/>
                <w:color w:val="222222"/>
                <w:sz w:val="19"/>
              </w:rPr>
              <w:t>Creates/upserts students for the college share token, with optional contest mapping.</w:t>
            </w:r>
          </w:p>
        </w:tc>
        <w:tc>
          <w:tcPr>
            <w:tcW w:type="dxa" w:w="2160"/>
            <w:shd w:fill="F9FAFB"/>
            <w:tcMar>
              <w:top w:w="100" w:type="dxa"/>
              <w:bottom w:w="100" w:type="dxa"/>
              <w:left w:w="140" w:type="dxa"/>
              <w:right w:w="140" w:type="dxa"/>
            </w:tcMar>
          </w:tcPr>
          <w:p>
            <w:r>
              <w:rPr>
                <w:rFonts w:ascii="Calibri" w:hAnsi="Calibri"/>
                <w:color w:val="222222"/>
                <w:sz w:val="19"/>
              </w:rPr>
              <w:t>{ ok: true, count: N, students: [...] }</w:t>
            </w:r>
          </w:p>
        </w:tc>
      </w:tr>
      <w:tr>
        <w:tc>
          <w:tcPr>
            <w:tcW w:type="dxa" w:w="3024"/>
            <w:shd w:fill="FFFFFF"/>
            <w:tcMar>
              <w:top w:w="100" w:type="dxa"/>
              <w:bottom w:w="100" w:type="dxa"/>
              <w:left w:w="140" w:type="dxa"/>
              <w:right w:w="140" w:type="dxa"/>
            </w:tcMar>
          </w:tcPr>
          <w:p>
            <w:r>
              <w:rPr>
                <w:rFonts w:ascii="Calibri" w:hAnsi="Calibri"/>
                <w:color w:val="222222"/>
                <w:sz w:val="19"/>
              </w:rPr>
              <w:t>PUT /api/college/:token/students/:id</w:t>
            </w:r>
          </w:p>
        </w:tc>
        <w:tc>
          <w:tcPr>
            <w:tcW w:type="dxa" w:w="1584"/>
            <w:shd w:fill="FFFFFF"/>
            <w:tcMar>
              <w:top w:w="100" w:type="dxa"/>
              <w:bottom w:w="100" w:type="dxa"/>
              <w:left w:w="140" w:type="dxa"/>
              <w:right w:w="140" w:type="dxa"/>
            </w:tcMar>
          </w:tcPr>
          <w:p>
            <w:r>
              <w:rPr>
                <w:rFonts w:ascii="Calibri" w:hAnsi="Calibri"/>
                <w:color w:val="222222"/>
                <w:sz w:val="19"/>
              </w:rPr>
              <w:t>College Token</w:t>
            </w:r>
          </w:p>
        </w:tc>
        <w:tc>
          <w:tcPr>
            <w:tcW w:type="dxa" w:w="3312"/>
            <w:shd w:fill="FFFFFF"/>
            <w:tcMar>
              <w:top w:w="100" w:type="dxa"/>
              <w:bottom w:w="100" w:type="dxa"/>
              <w:left w:w="140" w:type="dxa"/>
              <w:right w:w="140" w:type="dxa"/>
            </w:tcMar>
          </w:tcPr>
          <w:p>
            <w:r>
              <w:rPr>
                <w:rFonts w:ascii="Calibri" w:hAnsi="Calibri"/>
                <w:color w:val="222222"/>
                <w:sz w:val="19"/>
              </w:rPr>
              <w:t>Updates student records belonging to the shared college link.</w:t>
            </w:r>
          </w:p>
        </w:tc>
        <w:tc>
          <w:tcPr>
            <w:tcW w:type="dxa" w:w="2160"/>
            <w:shd w:fill="FFFFFF"/>
            <w:tcMar>
              <w:top w:w="100" w:type="dxa"/>
              <w:bottom w:w="100" w:type="dxa"/>
              <w:left w:w="140" w:type="dxa"/>
              <w:right w:w="140" w:type="dxa"/>
            </w:tcMar>
          </w:tcPr>
          <w:p>
            <w:r>
              <w:rPr>
                <w:rFonts w:ascii="Calibri" w:hAnsi="Calibri"/>
                <w:color w:val="222222"/>
                <w:sz w:val="19"/>
              </w:rPr>
              <w:t>{ ok: true, student: {...} }</w:t>
            </w:r>
          </w:p>
        </w:tc>
      </w:tr>
      <w:tr>
        <w:tc>
          <w:tcPr>
            <w:tcW w:type="dxa" w:w="3024"/>
            <w:shd w:fill="F9FAFB"/>
            <w:tcMar>
              <w:top w:w="100" w:type="dxa"/>
              <w:bottom w:w="100" w:type="dxa"/>
              <w:left w:w="140" w:type="dxa"/>
              <w:right w:w="140" w:type="dxa"/>
            </w:tcMar>
          </w:tcPr>
          <w:p>
            <w:r>
              <w:rPr>
                <w:rFonts w:ascii="Calibri" w:hAnsi="Calibri"/>
                <w:color w:val="222222"/>
                <w:sz w:val="19"/>
              </w:rPr>
              <w:t>GET /api/college/:token/facets</w:t>
            </w:r>
          </w:p>
        </w:tc>
        <w:tc>
          <w:tcPr>
            <w:tcW w:type="dxa" w:w="1584"/>
            <w:shd w:fill="F9FAFB"/>
            <w:tcMar>
              <w:top w:w="100" w:type="dxa"/>
              <w:bottom w:w="100" w:type="dxa"/>
              <w:left w:w="140" w:type="dxa"/>
              <w:right w:w="140" w:type="dxa"/>
            </w:tcMar>
          </w:tcPr>
          <w:p>
            <w:r>
              <w:rPr>
                <w:rFonts w:ascii="Calibri" w:hAnsi="Calibri"/>
                <w:color w:val="222222"/>
                <w:sz w:val="19"/>
              </w:rPr>
              <w:t>College Token</w:t>
            </w:r>
          </w:p>
        </w:tc>
        <w:tc>
          <w:tcPr>
            <w:tcW w:type="dxa" w:w="3312"/>
            <w:shd w:fill="F9FAFB"/>
            <w:tcMar>
              <w:top w:w="100" w:type="dxa"/>
              <w:bottom w:w="100" w:type="dxa"/>
              <w:left w:w="140" w:type="dxa"/>
              <w:right w:w="140" w:type="dxa"/>
            </w:tcMar>
          </w:tcPr>
          <w:p>
            <w:r>
              <w:rPr>
                <w:rFonts w:ascii="Calibri" w:hAnsi="Calibri"/>
                <w:color w:val="222222"/>
                <w:sz w:val="19"/>
              </w:rPr>
              <w:t>Returns distinct departments, sections, years, and campuses across the college.</w:t>
            </w:r>
          </w:p>
        </w:tc>
        <w:tc>
          <w:tcPr>
            <w:tcW w:type="dxa" w:w="2160"/>
            <w:shd w:fill="F9FAFB"/>
            <w:tcMar>
              <w:top w:w="100" w:type="dxa"/>
              <w:bottom w:w="100" w:type="dxa"/>
              <w:left w:w="140" w:type="dxa"/>
              <w:right w:w="140" w:type="dxa"/>
            </w:tcMar>
          </w:tcPr>
          <w:p>
            <w:r>
              <w:rPr>
                <w:rFonts w:ascii="Calibri" w:hAnsi="Calibri"/>
                <w:color w:val="222222"/>
                <w:sz w:val="19"/>
              </w:rPr>
              <w:t>{ departments: [], sections: [], years: [], campuses: [] }</w:t>
            </w:r>
          </w:p>
        </w:tc>
      </w:tr>
    </w:tbl>
    <w:p>
      <w:pPr>
        <w:spacing w:before="0" w:after="160"/>
      </w:pPr>
    </w:p>
    <w:p>
      <w:pPr>
        <w:pStyle w:val="Heading1"/>
      </w:pPr>
      <w:r>
        <w:rPr>
          <w:rFonts w:ascii="Calibri" w:hAnsi="Calibri"/>
          <w:color w:val="0F172A"/>
        </w:rPr>
        <w:t>4. Data Integrity &amp; Conflict Resolution</w:t>
      </w:r>
    </w:p>
    <w:p>
      <w:pPr>
        <w:pStyle w:val="Heading3"/>
      </w:pPr>
      <w:r>
        <w:t>1. Username &amp; Identifier Sanitization</w:t>
      </w:r>
    </w:p>
    <w:p>
      <w:pPr>
        <w:spacing w:line="276" w:lineRule="auto"/>
      </w:pPr>
      <w:r>
        <w:t>HackerRank usernames and profile URLs (e.g., https://www.hackerrank.com/john_doe or @john_doe) are automatically normalized by stripping protocol prefixes, domain roots, and leading '@' signs. Placeholder strings such as 'sample', 'absent', 'n/a', and '-' are flagged and preserved under stable synthetic keys (unmatched:&lt;reg/name&gt;) to prevent collisions.</w:t>
      </w:r>
    </w:p>
    <w:p>
      <w:pPr>
        <w:pStyle w:val="Heading3"/>
      </w:pPr>
      <w:r>
        <w:t>2. Postgres Conflict Handling (UPSERT)</w:t>
      </w:r>
    </w:p>
    <w:p>
      <w:pPr>
        <w:spacing w:line="276" w:lineRule="auto"/>
      </w:pPr>
      <w:r>
        <w:t>Students are stored in table 'hc_students' with a compound constraint (college, username_key). When an incoming student record is created, Postgres applies ON CONFLICT (college, username_key) DO UPDATE to guarantee idempotency, ensuring duplicate records are never created.</w:t>
      </w:r>
    </w:p>
    <w:p>
      <w:pPr>
        <w:pStyle w:val="Heading3"/>
      </w:pPr>
      <w:r>
        <w:t>3. Contest ↔ Student Junction Table</w:t>
      </w:r>
    </w:p>
    <w:p>
      <w:pPr>
        <w:spacing w:line="276" w:lineRule="auto"/>
      </w:pPr>
      <w:r>
        <w:t>Contests maintain explicit mappings in 'hc_contest_students(contest_id, username_key)'. Adding a student through a shared contest link automatically creates the junction mapping, ensuring the student immediately surfaces in contest-specific leaderboard queries and metrics.</w:t>
      </w:r>
    </w:p>
    <w:p>
      <w:pPr>
        <w:pStyle w:val="Heading1"/>
      </w:pPr>
      <w:r>
        <w:rPr>
          <w:rFonts w:ascii="Calibri" w:hAnsi="Calibri"/>
          <w:color w:val="0F172A"/>
        </w:rPr>
        <w:t>5. Verification &amp; Testing</w:t>
      </w:r>
    </w:p>
    <w:tbl>
      <w:tblPr>
        <w:tblW w:type="auto" w:w="0"/>
        <w:jc w:val="center"/>
        <w:tblLayout w:type="fixed"/>
        <w:tblLook w:firstColumn="1" w:firstRow="1" w:lastColumn="0" w:lastRow="0" w:noHBand="0" w:noVBand="1" w:val="04A0"/>
        <w:tblBorders>
          <w:top w:val="single" w:sz="4" w:space="0" w:color="E5E7EB"/>
          <w:bottom w:val="single" w:sz="8" w:space="0" w:color="D1D5DB"/>
          <w:left w:val="none"/>
          <w:right w:val="none"/>
          <w:insideH w:val="single" w:sz="4" w:space="0" w:color="E5E7EB"/>
          <w:insideV w:val="none"/>
        </w:tblBorders>
      </w:tblPr>
      <w:tblGrid>
        <w:gridCol w:w="3312"/>
        <w:gridCol w:w="3312"/>
        <w:gridCol w:w="3312"/>
      </w:tblGrid>
      <w:tr>
        <w:tc>
          <w:tcPr>
            <w:tcW w:type="dxa" w:w="2592"/>
            <w:shd w:fill="1F2937"/>
            <w:tcMar>
              <w:top w:w="120" w:type="dxa"/>
              <w:bottom w:w="120" w:type="dxa"/>
              <w:left w:w="140" w:type="dxa"/>
              <w:right w:w="140" w:type="dxa"/>
            </w:tcMar>
          </w:tcPr>
          <w:p>
            <w:pPr>
              <w:jc w:val="left"/>
            </w:pPr>
            <w:r>
              <w:rPr>
                <w:rFonts w:ascii="Calibri" w:hAnsi="Calibri"/>
                <w:b/>
                <w:color w:val="FFFFFF"/>
                <w:sz w:val="20"/>
              </w:rPr>
              <w:t>Test Category</w:t>
            </w:r>
          </w:p>
        </w:tc>
        <w:tc>
          <w:tcPr>
            <w:tcW w:type="dxa" w:w="5040"/>
            <w:shd w:fill="1F2937"/>
            <w:tcMar>
              <w:top w:w="120" w:type="dxa"/>
              <w:bottom w:w="120" w:type="dxa"/>
              <w:left w:w="140" w:type="dxa"/>
              <w:right w:w="140" w:type="dxa"/>
            </w:tcMar>
          </w:tcPr>
          <w:p>
            <w:pPr>
              <w:jc w:val="left"/>
            </w:pPr>
            <w:r>
              <w:rPr>
                <w:rFonts w:ascii="Calibri" w:hAnsi="Calibri"/>
                <w:b/>
                <w:color w:val="FFFFFF"/>
                <w:sz w:val="20"/>
              </w:rPr>
              <w:t>Verification Procedure</w:t>
            </w:r>
          </w:p>
        </w:tc>
        <w:tc>
          <w:tcPr>
            <w:tcW w:type="dxa" w:w="2448"/>
            <w:shd w:fill="1F2937"/>
            <w:tcMar>
              <w:top w:w="120" w:type="dxa"/>
              <w:bottom w:w="120" w:type="dxa"/>
              <w:left w:w="140" w:type="dxa"/>
              <w:right w:w="140" w:type="dxa"/>
            </w:tcMar>
          </w:tcPr>
          <w:p>
            <w:pPr>
              <w:jc w:val="left"/>
            </w:pPr>
            <w:r>
              <w:rPr>
                <w:rFonts w:ascii="Calibri" w:hAnsi="Calibri"/>
                <w:b/>
                <w:color w:val="FFFFFF"/>
                <w:sz w:val="20"/>
              </w:rPr>
              <w:t>Result</w:t>
            </w:r>
          </w:p>
        </w:tc>
      </w:tr>
      <w:tr>
        <w:tc>
          <w:tcPr>
            <w:tcW w:type="dxa" w:w="2592"/>
            <w:shd w:fill="FFFFFF"/>
            <w:tcMar>
              <w:top w:w="100" w:type="dxa"/>
              <w:bottom w:w="100" w:type="dxa"/>
              <w:left w:w="140" w:type="dxa"/>
              <w:right w:w="140" w:type="dxa"/>
            </w:tcMar>
          </w:tcPr>
          <w:p>
            <w:r>
              <w:rPr>
                <w:rFonts w:ascii="Calibri" w:hAnsi="Calibri"/>
                <w:color w:val="222222"/>
                <w:sz w:val="19"/>
              </w:rPr>
              <w:t>Node Syntax &amp; Lint Check</w:t>
            </w:r>
          </w:p>
        </w:tc>
        <w:tc>
          <w:tcPr>
            <w:tcW w:type="dxa" w:w="5040"/>
            <w:shd w:fill="FFFFFF"/>
            <w:tcMar>
              <w:top w:w="100" w:type="dxa"/>
              <w:bottom w:w="100" w:type="dxa"/>
              <w:left w:w="140" w:type="dxa"/>
              <w:right w:w="140" w:type="dxa"/>
            </w:tcMar>
          </w:tcPr>
          <w:p>
            <w:r>
              <w:rPr>
                <w:rFonts w:ascii="Calibri" w:hAnsi="Calibri"/>
                <w:color w:val="222222"/>
                <w:sz w:val="19"/>
              </w:rPr>
              <w:t>Executed 'node -c' against server.js, public/view.js, and lib/db.pg.js</w:t>
            </w:r>
          </w:p>
        </w:tc>
        <w:tc>
          <w:tcPr>
            <w:tcW w:type="dxa" w:w="2448"/>
            <w:shd w:fill="FFFFFF"/>
            <w:tcMar>
              <w:top w:w="100" w:type="dxa"/>
              <w:bottom w:w="100" w:type="dxa"/>
              <w:left w:w="140" w:type="dxa"/>
              <w:right w:w="140" w:type="dxa"/>
            </w:tcMar>
          </w:tcPr>
          <w:p>
            <w:r>
              <w:rPr>
                <w:rFonts w:ascii="Calibri" w:hAnsi="Calibri"/>
                <w:color w:val="222222"/>
                <w:sz w:val="19"/>
              </w:rPr>
              <w:t>PASS (0 errors)</w:t>
            </w:r>
          </w:p>
        </w:tc>
      </w:tr>
      <w:tr>
        <w:tc>
          <w:tcPr>
            <w:tcW w:type="dxa" w:w="2592"/>
            <w:shd w:fill="F9FAFB"/>
            <w:tcMar>
              <w:top w:w="100" w:type="dxa"/>
              <w:bottom w:w="100" w:type="dxa"/>
              <w:left w:w="140" w:type="dxa"/>
              <w:right w:w="140" w:type="dxa"/>
            </w:tcMar>
          </w:tcPr>
          <w:p>
            <w:r>
              <w:rPr>
                <w:rFonts w:ascii="Calibri" w:hAnsi="Calibri"/>
                <w:color w:val="222222"/>
                <w:sz w:val="19"/>
              </w:rPr>
              <w:t>Dropdown Population Test</w:t>
            </w:r>
          </w:p>
        </w:tc>
        <w:tc>
          <w:tcPr>
            <w:tcW w:type="dxa" w:w="5040"/>
            <w:shd w:fill="F9FAFB"/>
            <w:tcMar>
              <w:top w:w="100" w:type="dxa"/>
              <w:bottom w:w="100" w:type="dxa"/>
              <w:left w:w="140" w:type="dxa"/>
              <w:right w:w="140" w:type="dxa"/>
            </w:tcMar>
          </w:tcPr>
          <w:p>
            <w:r>
              <w:rPr>
                <w:rFonts w:ascii="Calibri" w:hAnsi="Calibri"/>
                <w:color w:val="222222"/>
                <w:sz w:val="19"/>
              </w:rPr>
              <w:t>Checked department, section, year, and campus option rendering</w:t>
            </w:r>
          </w:p>
        </w:tc>
        <w:tc>
          <w:tcPr>
            <w:tcW w:type="dxa" w:w="2448"/>
            <w:shd w:fill="F9FAFB"/>
            <w:tcMar>
              <w:top w:w="100" w:type="dxa"/>
              <w:bottom w:w="100" w:type="dxa"/>
              <w:left w:w="140" w:type="dxa"/>
              <w:right w:w="140" w:type="dxa"/>
            </w:tcMar>
          </w:tcPr>
          <w:p>
            <w:r>
              <w:rPr>
                <w:rFonts w:ascii="Calibri" w:hAnsi="Calibri"/>
                <w:color w:val="222222"/>
                <w:sz w:val="19"/>
              </w:rPr>
              <w:t>PASS (Accurate options)</w:t>
            </w:r>
          </w:p>
        </w:tc>
      </w:tr>
      <w:tr>
        <w:tc>
          <w:tcPr>
            <w:tcW w:type="dxa" w:w="2592"/>
            <w:shd w:fill="FFFFFF"/>
            <w:tcMar>
              <w:top w:w="100" w:type="dxa"/>
              <w:bottom w:w="100" w:type="dxa"/>
              <w:left w:w="140" w:type="dxa"/>
              <w:right w:w="140" w:type="dxa"/>
            </w:tcMar>
          </w:tcPr>
          <w:p>
            <w:r>
              <w:rPr>
                <w:rFonts w:ascii="Calibri" w:hAnsi="Calibri"/>
                <w:color w:val="222222"/>
                <w:sz w:val="19"/>
              </w:rPr>
              <w:t>Cascade Mapping Test</w:t>
            </w:r>
          </w:p>
        </w:tc>
        <w:tc>
          <w:tcPr>
            <w:tcW w:type="dxa" w:w="5040"/>
            <w:shd w:fill="FFFFFF"/>
            <w:tcMar>
              <w:top w:w="100" w:type="dxa"/>
              <w:bottom w:w="100" w:type="dxa"/>
              <w:left w:w="140" w:type="dxa"/>
              <w:right w:w="140" w:type="dxa"/>
            </w:tcMar>
          </w:tcPr>
          <w:p>
            <w:r>
              <w:rPr>
                <w:rFonts w:ascii="Calibri" w:hAnsi="Calibri"/>
                <w:color w:val="222222"/>
                <w:sz w:val="19"/>
              </w:rPr>
              <w:t>Verified section dropdown updates when department changes</w:t>
            </w:r>
          </w:p>
        </w:tc>
        <w:tc>
          <w:tcPr>
            <w:tcW w:type="dxa" w:w="2448"/>
            <w:shd w:fill="FFFFFF"/>
            <w:tcMar>
              <w:top w:w="100" w:type="dxa"/>
              <w:bottom w:w="100" w:type="dxa"/>
              <w:left w:w="140" w:type="dxa"/>
              <w:right w:w="140" w:type="dxa"/>
            </w:tcMar>
          </w:tcPr>
          <w:p>
            <w:r>
              <w:rPr>
                <w:rFonts w:ascii="Calibri" w:hAnsi="Calibri"/>
                <w:color w:val="222222"/>
                <w:sz w:val="19"/>
              </w:rPr>
              <w:t>PASS (Dynamic filtering)</w:t>
            </w:r>
          </w:p>
        </w:tc>
      </w:tr>
      <w:tr>
        <w:tc>
          <w:tcPr>
            <w:tcW w:type="dxa" w:w="2592"/>
            <w:shd w:fill="F9FAFB"/>
            <w:tcMar>
              <w:top w:w="100" w:type="dxa"/>
              <w:bottom w:w="100" w:type="dxa"/>
              <w:left w:w="140" w:type="dxa"/>
              <w:right w:w="140" w:type="dxa"/>
            </w:tcMar>
          </w:tcPr>
          <w:p>
            <w:r>
              <w:rPr>
                <w:rFonts w:ascii="Calibri" w:hAnsi="Calibri"/>
                <w:color w:val="222222"/>
                <w:sz w:val="19"/>
              </w:rPr>
              <w:t>'+ New…' Input Reveal Test</w:t>
            </w:r>
          </w:p>
        </w:tc>
        <w:tc>
          <w:tcPr>
            <w:tcW w:type="dxa" w:w="5040"/>
            <w:shd w:fill="F9FAFB"/>
            <w:tcMar>
              <w:top w:w="100" w:type="dxa"/>
              <w:bottom w:w="100" w:type="dxa"/>
              <w:left w:w="140" w:type="dxa"/>
              <w:right w:w="140" w:type="dxa"/>
            </w:tcMar>
          </w:tcPr>
          <w:p>
            <w:r>
              <w:rPr>
                <w:rFonts w:ascii="Calibri" w:hAnsi="Calibri"/>
                <w:color w:val="222222"/>
                <w:sz w:val="19"/>
              </w:rPr>
              <w:t>Verified selecting '＋ New…' displays text box and captures custom input</w:t>
            </w:r>
          </w:p>
        </w:tc>
        <w:tc>
          <w:tcPr>
            <w:tcW w:type="dxa" w:w="2448"/>
            <w:shd w:fill="F9FAFB"/>
            <w:tcMar>
              <w:top w:w="100" w:type="dxa"/>
              <w:bottom w:w="100" w:type="dxa"/>
              <w:left w:w="140" w:type="dxa"/>
              <w:right w:w="140" w:type="dxa"/>
            </w:tcMar>
          </w:tcPr>
          <w:p>
            <w:r>
              <w:rPr>
                <w:rFonts w:ascii="Calibri" w:hAnsi="Calibri"/>
                <w:color w:val="222222"/>
                <w:sz w:val="19"/>
              </w:rPr>
              <w:t>PASS (Seamless input)</w:t>
            </w:r>
          </w:p>
        </w:tc>
      </w:tr>
      <w:tr>
        <w:tc>
          <w:tcPr>
            <w:tcW w:type="dxa" w:w="2592"/>
            <w:shd w:fill="FFFFFF"/>
            <w:tcMar>
              <w:top w:w="100" w:type="dxa"/>
              <w:bottom w:w="100" w:type="dxa"/>
              <w:left w:w="140" w:type="dxa"/>
              <w:right w:w="140" w:type="dxa"/>
            </w:tcMar>
          </w:tcPr>
          <w:p>
            <w:r>
              <w:rPr>
                <w:rFonts w:ascii="Calibri" w:hAnsi="Calibri"/>
                <w:color w:val="222222"/>
                <w:sz w:val="19"/>
              </w:rPr>
              <w:t>Single Student Insertion</w:t>
            </w:r>
          </w:p>
        </w:tc>
        <w:tc>
          <w:tcPr>
            <w:tcW w:type="dxa" w:w="5040"/>
            <w:shd w:fill="FFFFFF"/>
            <w:tcMar>
              <w:top w:w="100" w:type="dxa"/>
              <w:bottom w:w="100" w:type="dxa"/>
              <w:left w:w="140" w:type="dxa"/>
              <w:right w:w="140" w:type="dxa"/>
            </w:tcMar>
          </w:tcPr>
          <w:p>
            <w:r>
              <w:rPr>
                <w:rFonts w:ascii="Calibri" w:hAnsi="Calibri"/>
                <w:color w:val="222222"/>
                <w:sz w:val="19"/>
              </w:rPr>
              <w:t>Submitted payload via shared token POST endpoint</w:t>
            </w:r>
          </w:p>
        </w:tc>
        <w:tc>
          <w:tcPr>
            <w:tcW w:type="dxa" w:w="2448"/>
            <w:shd w:fill="FFFFFF"/>
            <w:tcMar>
              <w:top w:w="100" w:type="dxa"/>
              <w:bottom w:w="100" w:type="dxa"/>
              <w:left w:w="140" w:type="dxa"/>
              <w:right w:w="140" w:type="dxa"/>
            </w:tcMar>
          </w:tcPr>
          <w:p>
            <w:r>
              <w:rPr>
                <w:rFonts w:ascii="Calibri" w:hAnsi="Calibri"/>
                <w:color w:val="222222"/>
                <w:sz w:val="19"/>
              </w:rPr>
              <w:t>PASS (UPSERT &amp; junction mapped)</w:t>
            </w:r>
          </w:p>
        </w:tc>
      </w:tr>
      <w:tr>
        <w:tc>
          <w:tcPr>
            <w:tcW w:type="dxa" w:w="2592"/>
            <w:shd w:fill="F9FAFB"/>
            <w:tcMar>
              <w:top w:w="100" w:type="dxa"/>
              <w:bottom w:w="100" w:type="dxa"/>
              <w:left w:w="140" w:type="dxa"/>
              <w:right w:w="140" w:type="dxa"/>
            </w:tcMar>
          </w:tcPr>
          <w:p>
            <w:r>
              <w:rPr>
                <w:rFonts w:ascii="Calibri" w:hAnsi="Calibri"/>
                <w:color w:val="222222"/>
                <w:sz w:val="19"/>
              </w:rPr>
              <w:t>Bulk Student Insertion</w:t>
            </w:r>
          </w:p>
        </w:tc>
        <w:tc>
          <w:tcPr>
            <w:tcW w:type="dxa" w:w="5040"/>
            <w:shd w:fill="F9FAFB"/>
            <w:tcMar>
              <w:top w:w="100" w:type="dxa"/>
              <w:bottom w:w="100" w:type="dxa"/>
              <w:left w:w="140" w:type="dxa"/>
              <w:right w:w="140" w:type="dxa"/>
            </w:tcMar>
          </w:tcPr>
          <w:p>
            <w:r>
              <w:rPr>
                <w:rFonts w:ascii="Calibri" w:hAnsi="Calibri"/>
                <w:color w:val="222222"/>
                <w:sz w:val="19"/>
              </w:rPr>
              <w:t>Pasted multi-row data with tabs/commas and checked count detection</w:t>
            </w:r>
          </w:p>
        </w:tc>
        <w:tc>
          <w:tcPr>
            <w:tcW w:type="dxa" w:w="2448"/>
            <w:shd w:fill="F9FAFB"/>
            <w:tcMar>
              <w:top w:w="100" w:type="dxa"/>
              <w:bottom w:w="100" w:type="dxa"/>
              <w:left w:w="140" w:type="dxa"/>
              <w:right w:w="140" w:type="dxa"/>
            </w:tcMar>
          </w:tcPr>
          <w:p>
            <w:r>
              <w:rPr>
                <w:rFonts w:ascii="Calibri" w:hAnsi="Calibri"/>
                <w:color w:val="222222"/>
                <w:sz w:val="19"/>
              </w:rPr>
              <w:t>PASS (Batch parsed &amp; stored)</w:t>
            </w:r>
          </w:p>
        </w:tc>
      </w:tr>
      <w:tr>
        <w:tc>
          <w:tcPr>
            <w:tcW w:type="dxa" w:w="2592"/>
            <w:shd w:fill="FFFFFF"/>
            <w:tcMar>
              <w:top w:w="100" w:type="dxa"/>
              <w:bottom w:w="100" w:type="dxa"/>
              <w:left w:w="140" w:type="dxa"/>
              <w:right w:w="140" w:type="dxa"/>
            </w:tcMar>
          </w:tcPr>
          <w:p>
            <w:r>
              <w:rPr>
                <w:rFonts w:ascii="Calibri" w:hAnsi="Calibri"/>
                <w:color w:val="222222"/>
                <w:sz w:val="19"/>
              </w:rPr>
              <w:t>Real-time Dashboard Update</w:t>
            </w:r>
          </w:p>
        </w:tc>
        <w:tc>
          <w:tcPr>
            <w:tcW w:type="dxa" w:w="5040"/>
            <w:shd w:fill="FFFFFF"/>
            <w:tcMar>
              <w:top w:w="100" w:type="dxa"/>
              <w:bottom w:w="100" w:type="dxa"/>
              <w:left w:w="140" w:type="dxa"/>
              <w:right w:w="140" w:type="dxa"/>
            </w:tcMar>
          </w:tcPr>
          <w:p>
            <w:r>
              <w:rPr>
                <w:rFonts w:ascii="Calibri" w:hAnsi="Calibri"/>
                <w:color w:val="222222"/>
                <w:sz w:val="19"/>
              </w:rPr>
              <w:t>Checked table, summary stats, charts, and daily logs after adding</w:t>
            </w:r>
          </w:p>
        </w:tc>
        <w:tc>
          <w:tcPr>
            <w:tcW w:type="dxa" w:w="2448"/>
            <w:shd w:fill="FFFFFF"/>
            <w:tcMar>
              <w:top w:w="100" w:type="dxa"/>
              <w:bottom w:w="100" w:type="dxa"/>
              <w:left w:w="140" w:type="dxa"/>
              <w:right w:w="140" w:type="dxa"/>
            </w:tcMar>
          </w:tcPr>
          <w:p>
            <w:r>
              <w:rPr>
                <w:rFonts w:ascii="Calibri" w:hAnsi="Calibri"/>
                <w:color w:val="222222"/>
                <w:sz w:val="19"/>
              </w:rPr>
              <w:t>PASS (Instant re-render)</w:t>
            </w:r>
          </w:p>
        </w:tc>
      </w:tr>
    </w:tbl>
    <w:p>
      <w:pPr>
        <w:spacing w:before="0" w:after="16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