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Non-Circumvention Non-Disclosure Agreements for the Independent Creator Economy: A 2026 Legal Framework for Automated Contract Logic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commercial landscape of 2026 is defined by a deep fragmentation of labor law, where the collapse of federal rulemaking has ceded authority to a patchwork of increasingly aggressive state-level reforms. For the independent contractor and the freelancer, the Non-Circumvention Non-Disclosure Agreement (NCNDA) has transitioned from an obscure tool of international commodity trading into a foundational element of the gig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creators and gig workers facilitate complex introductions, referral networks, and joint ventures, the ability to protect their "relationship capital" through enforceable digital agreements is paramount. However, the legal environment of April 2026 presents a significant challenge: what constitutes a valid protection of a business lead in one state may be viewed as a voidable restraint of trade in another.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2024 vacatur of the Federal Trade Commission's (FTC) broad non-compete ban and the subsequent 2025 dismissal of its appeals, federal oversight has shifted to a "case-by-case enforcement" model under Chairman Andrew Ferguson.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shift, combined with the Supreme Court's </w:t>
      </w:r>
      <w:r w:rsidDel="00000000" w:rsidR="00000000" w:rsidRPr="00000000">
        <w:rPr>
          <w:rFonts w:ascii="Google Sans" w:cs="Google Sans" w:eastAsia="Google Sans" w:hAnsi="Google Sans"/>
          <w:i w:val="1"/>
          <w:iCs w:val="1"/>
          <w:color w:val="1f1f1f"/>
          <w:rtl w:val="0"/>
        </w:rPr>
        <w:t xml:space="preserve">Loper Bright</w:t>
      </w:r>
      <w:r w:rsidDel="00000000" w:rsidR="00000000" w:rsidRPr="00000000">
        <w:rPr>
          <w:rFonts w:ascii="Google Sans" w:cs="Google Sans" w:eastAsia="Google Sans" w:hAnsi="Google Sans"/>
          <w:color w:val="1f1f1f"/>
          <w:rtl w:val="0"/>
        </w:rPr>
        <w:t xml:space="preserve"> decision, which eliminated judicial deference to agency interpretations, has empowered state legislatures and courts to define the boundaries of "reasonableness" in restrictive covenants.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following analysis provides the technical and legal logic required to generate enforceable NCNDAs in this volatile environment.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Defining the NCNDA: Precise Legal Taxonomy and the Mechanics of Circumvention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construct an effective automated document generator, the underlying logic must first distinguish the NCNDA from its more common relatives: the standard Non-Disclosure Agreement (NDA) and the Non-Compete Agreement. While all three function as restrictive covenants, their legal "protectable interests" differ fundamentally.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NDA is primarily a defensive instrument designed to shield "Confidential Information" or "Trade Secrets" from unauthorized use or disclosure.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contrast, a non-compete agreement is a prohibitive instrument that prevents an individual from performing a specific type of work for a competitor.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NCNDA, however, is a transactional instrument. Its core purpose is to protect the "introduction" or "referral" itself—ensuring that once Party A introduces Party B to a specific Opportunity or Contact, Party B cannot bypass (circumvent) Party A to conclude the deal directly and avoid paying a commission or referral fee.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distinction is critical because many states that have banned non-competes—such as Minnesota and California—still allow for narrow non-circumvention or non-solicitation protections, provided they are not "de facto" non-competes.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Categorical Distinctions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Non-Compete Agreement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NCNDA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Protectable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Secrecy of specific data/IP.</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Employer’s market share/talent.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Transactional integrity/Referral value.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Prohibited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Revealing or using trade secrets.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Working for a rival business.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Bypassing an intermediary for a deal.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Enforcement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enforceable (rarely voided).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Strictly scrutinized; often voided.</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Reasonableness of fee vs. restriction.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Independent Contractor Applicability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and expected.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restricted or banned.</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for "broker" roles.</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Clause Language: The "Introduction Only" Standard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maximum enforceability, the logic should prioritize language that frames the restriction as a protection of the </w:t>
      </w:r>
      <w:r w:rsidDel="00000000" w:rsidR="00000000" w:rsidRPr="00000000">
        <w:rPr>
          <w:rFonts w:ascii="Google Sans" w:cs="Google Sans" w:eastAsia="Google Sans" w:hAnsi="Google Sans"/>
          <w:i w:val="1"/>
          <w:iCs w:val="1"/>
          <w:color w:val="1f1f1f"/>
          <w:rtl w:val="0"/>
        </w:rPr>
        <w:t xml:space="preserve">introduction</w:t>
      </w:r>
      <w:r w:rsidDel="00000000" w:rsidR="00000000" w:rsidRPr="00000000">
        <w:rPr>
          <w:rFonts w:ascii="Google Sans" w:cs="Google Sans" w:eastAsia="Google Sans" w:hAnsi="Google Sans"/>
          <w:color w:val="1f1f1f"/>
          <w:rtl w:val="0"/>
        </w:rPr>
        <w:t xml:space="preserve"> rather than a restriction on </w:t>
      </w:r>
      <w:r w:rsidDel="00000000" w:rsidR="00000000" w:rsidRPr="00000000">
        <w:rPr>
          <w:rFonts w:ascii="Google Sans" w:cs="Google Sans" w:eastAsia="Google Sans" w:hAnsi="Google Sans"/>
          <w:i w:val="1"/>
          <w:iCs w:val="1"/>
          <w:color w:val="1f1f1f"/>
          <w:rtl w:val="0"/>
        </w:rPr>
        <w:t xml:space="preserve">employment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 Clause: Definition of Circumvention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"Circumvention" shall be defined as any act by the Recipient to initiate,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negotiate, or conclude a business transaction with a Protected Contact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defined in Section 9) that excludes the Disclosing Party, with the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 of avoiding the payment of a referral fee, commission, or other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agreed-upon compensation.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IF</w:t>
      </w:r>
      <w:r w:rsidDel="00000000" w:rsidR="00000000" w:rsidRPr="00000000">
        <w:rPr>
          <w:rFonts w:ascii="Google Sans" w:cs="Google Sans" w:eastAsia="Google Sans" w:hAnsi="Google Sans"/>
          <w:color w:val="1f1f1f"/>
          <w:rtl w:val="0"/>
        </w:rPr>
        <w:t xml:space="preserve"> jurisdiction = California </w:t>
      </w:r>
      <w:r w:rsidDel="00000000" w:rsidR="00000000" w:rsidRPr="00000000">
        <w:rPr>
          <w:rFonts w:ascii="Google Sans" w:cs="Google Sans" w:eastAsia="Google Sans" w:hAnsi="Google Sans"/>
          <w:b w:val="1"/>
          <w:bCs w:val="1"/>
          <w:color w:val="1f1f1f"/>
          <w:rtl w:val="0"/>
        </w:rPr>
        <w:t xml:space="preserve">THEN</w:t>
      </w:r>
      <w:r w:rsidDel="00000000" w:rsidR="00000000" w:rsidRPr="00000000">
        <w:rPr>
          <w:rFonts w:ascii="Google Sans" w:cs="Google Sans" w:eastAsia="Google Sans" w:hAnsi="Google Sans"/>
          <w:color w:val="1f1f1f"/>
          <w:rtl w:val="0"/>
        </w:rPr>
        <w:t xml:space="preserve"> include: "This clause does not restrict the Recipient’s right to engage in a lawful profession, trade, or business, but protects against the unauthorized use of the Disclosing Party’s trade secret contact lists."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IF</w:t>
      </w:r>
      <w:r w:rsidDel="00000000" w:rsidR="00000000" w:rsidRPr="00000000">
        <w:rPr>
          <w:rFonts w:ascii="Google Sans" w:cs="Google Sans" w:eastAsia="Google Sans" w:hAnsi="Google Sans"/>
          <w:color w:val="1f1f1f"/>
          <w:rtl w:val="0"/>
        </w:rPr>
        <w:t xml:space="preserve"> relationship = Freelancer/Independent Contractor </w:t>
      </w:r>
      <w:r w:rsidDel="00000000" w:rsidR="00000000" w:rsidRPr="00000000">
        <w:rPr>
          <w:rFonts w:ascii="Google Sans" w:cs="Google Sans" w:eastAsia="Google Sans" w:hAnsi="Google Sans"/>
          <w:b w:val="1"/>
          <w:bCs w:val="1"/>
          <w:color w:val="1f1f1f"/>
          <w:rtl w:val="0"/>
        </w:rPr>
        <w:t xml:space="preserve">THEN</w:t>
      </w:r>
      <w:r w:rsidDel="00000000" w:rsidR="00000000" w:rsidRPr="00000000">
        <w:rPr>
          <w:rFonts w:ascii="Google Sans" w:cs="Google Sans" w:eastAsia="Google Sans" w:hAnsi="Google Sans"/>
          <w:color w:val="1f1f1f"/>
          <w:rtl w:val="0"/>
        </w:rPr>
        <w:t xml:space="preserve"> include: "The parties acknowledge this is an arm's-length transaction and not an employment relationship."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Enforceability Across 50 US States and DC: The 2026 Fragmented Landscape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risk for a contract app is generating a document that is void </w:t>
      </w:r>
      <w:r w:rsidDel="00000000" w:rsidR="00000000" w:rsidRPr="00000000">
        <w:rPr>
          <w:rFonts w:ascii="Google Sans" w:cs="Google Sans" w:eastAsia="Google Sans" w:hAnsi="Google Sans"/>
          <w:i w:val="1"/>
          <w:iCs w:val="1"/>
          <w:color w:val="1f1f1f"/>
          <w:rtl w:val="0"/>
        </w:rPr>
        <w:t xml:space="preserve">ab initio</w:t>
      </w:r>
      <w:r w:rsidDel="00000000" w:rsidR="00000000" w:rsidRPr="00000000">
        <w:rPr>
          <w:rFonts w:ascii="Google Sans" w:cs="Google Sans" w:eastAsia="Google Sans" w:hAnsi="Google Sans"/>
          <w:color w:val="1f1f1f"/>
          <w:rtl w:val="0"/>
        </w:rPr>
        <w:t xml:space="preserve"> (from the beginning). As of 2026, the states are grouped into four regulatory clusters: "Full Ban," "Income-Based Restriction," "Reasonableness-Test," and "Pro-Employer/Choice Act" states.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State Clusters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California remains the most hostile jurisdiction, with 2024 and 2025 amendments (Bus. &amp; Prof. Code §§ 16600-16602.5) reinforcing the ban even against out-of-state contractors working for California firms.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Washington has recently joined this tier with HB 1155, which, effective June 30, 2027, will void nearly all post-engagement restraints, including those previously signed.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Variations in NCNDA Enforceability (2026 Data)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Cluster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Enforceability Logic for NCNDAs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Ban / Near-Total Ban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 MN, OK, ND, WA (post-2027)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Red Flag:</w:t>
            </w:r>
            <w:r w:rsidDel="00000000" w:rsidR="00000000" w:rsidRPr="00000000">
              <w:rPr>
                <w:rFonts w:ascii="Google Sans" w:cs="Google Sans" w:eastAsia="Google Sans" w:hAnsi="Google Sans"/>
                <w:color w:val="1f1f1f"/>
                <w:shd w:fill="auto" w:val="clear"/>
                <w:rtl w:val="0"/>
              </w:rPr>
              <w:t xml:space="preserve"> Non-circumvention clauses are likely void if they function as customer non-solicits. Focus on Trade Secret protection only.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 Income Thresholds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 DC, IL, OR, WA (pre-2027)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Logic:</w:t>
            </w:r>
            <w:r w:rsidDel="00000000" w:rsidR="00000000" w:rsidRPr="00000000">
              <w:rPr>
                <w:rFonts w:ascii="Google Sans" w:cs="Google Sans" w:eastAsia="Google Sans" w:hAnsi="Google Sans"/>
                <w:color w:val="1f1f1f"/>
                <w:shd w:fill="auto" w:val="clear"/>
                <w:rtl w:val="0"/>
              </w:rPr>
              <w:t xml:space="preserve"> Validate income. If &lt;$130k (CO) or &lt;$162k (DC), the clause is void. If &gt;threshold, 1-year duration max.</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Reasonableness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 OH, FL (Low-Wage), GA, 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Logic:</w:t>
            </w:r>
            <w:r w:rsidDel="00000000" w:rsidR="00000000" w:rsidRPr="00000000">
              <w:rPr>
                <w:rFonts w:ascii="Google Sans" w:cs="Google Sans" w:eastAsia="Google Sans" w:hAnsi="Google Sans"/>
                <w:color w:val="1f1f1f"/>
                <w:shd w:fill="auto" w:val="clear"/>
                <w:rtl w:val="0"/>
              </w:rPr>
              <w:t xml:space="preserve"> Must protect a "legitimate business interest" (e.g., specific referral network). 2-year duration is presumptively reasonable.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Pro-Employer (High-Wage)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Florida (CHOICE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Logic:</w:t>
            </w:r>
            <w:r w:rsidDel="00000000" w:rsidR="00000000" w:rsidRPr="00000000">
              <w:rPr>
                <w:rFonts w:ascii="Google Sans" w:cs="Google Sans" w:eastAsia="Google Sans" w:hAnsi="Google Sans"/>
                <w:color w:val="1f1f1f"/>
                <w:shd w:fill="auto" w:val="clear"/>
                <w:rtl w:val="0"/>
              </w:rPr>
              <w:t xml:space="preserve"> If salary &gt; 2x county mean, 4-year duration is presumptively valid. Preliminary injunctions are mandatory.</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Red-Flag Risks and Mitigation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states like Virginia, SB 170 (2026) voids any restriction if a worker is terminated without cause and no severance is paid.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a freelancer, this means if a client ends the gig without cause, the non-circumvention protection may vanish.</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The app must include a "Survival Clause" that ties the fee protection to the </w:t>
      </w:r>
      <w:r w:rsidDel="00000000" w:rsidR="00000000" w:rsidRPr="00000000">
        <w:rPr>
          <w:rFonts w:ascii="Google Sans" w:cs="Google Sans" w:eastAsia="Google Sans" w:hAnsi="Google Sans"/>
          <w:i w:val="1"/>
          <w:iCs w:val="1"/>
          <w:color w:val="1f1f1f"/>
          <w:rtl w:val="0"/>
        </w:rPr>
        <w:t xml:space="preserve">introduction</w:t>
      </w:r>
      <w:r w:rsidDel="00000000" w:rsidR="00000000" w:rsidRPr="00000000">
        <w:rPr>
          <w:rFonts w:ascii="Google Sans" w:cs="Google Sans" w:eastAsia="Google Sans" w:hAnsi="Google Sans"/>
          <w:color w:val="1f1f1f"/>
          <w:rtl w:val="0"/>
        </w:rPr>
        <w:t xml:space="preserve">, not the </w:t>
      </w:r>
      <w:r w:rsidDel="00000000" w:rsidR="00000000" w:rsidRPr="00000000">
        <w:rPr>
          <w:rFonts w:ascii="Google Sans" w:cs="Google Sans" w:eastAsia="Google Sans" w:hAnsi="Google Sans"/>
          <w:i w:val="1"/>
          <w:iCs w:val="1"/>
          <w:color w:val="1f1f1f"/>
          <w:rtl w:val="0"/>
        </w:rPr>
        <w:t xml:space="preserve">employment status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Essential Clauses for Maximum Enforceability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from 2024 to 2026 jurisprudence suggests that "boilerplate" NCNDAs are failing in court. Precision in defining the "transactional boundary" is the key to surviving a motion to dismiss.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Clause-Level Logic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Courts now require a tighter "nexus" between the information provided and the circumvention act. Vague clauses that claim to protect "all contacts of the Disclosing Party" are increasingly struck down as overbroad.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Essential Clause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Logic / 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Non-Circumvention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prohibition.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Direct or indirect contact with "Protected Contacts" for.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Non-Disclosure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Protects the "secret" deal terms.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Indefinite for Trade Secrets; 2-5 years for Confidential Info.</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Protected Contacts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Lists who cannot be bypassed.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IF</w:t>
            </w:r>
            <w:r w:rsidDel="00000000" w:rsidR="00000000" w:rsidRPr="00000000">
              <w:rPr>
                <w:rFonts w:ascii="Google Sans" w:cs="Google Sans" w:eastAsia="Google Sans" w:hAnsi="Google Sans"/>
                <w:color w:val="1f1f1f"/>
                <w:shd w:fill="auto" w:val="clear"/>
                <w:rtl w:val="0"/>
              </w:rPr>
              <w:t xml:space="preserve"> App_Input = Specific </w:t>
            </w: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attach "Exhibit A - Named Contacts".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Fee Protection (IMFPA)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Secures the payout.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Payment triggered by "Performance Confirmation" or "Swift MT103".</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Liquidated Damages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Pre-set penalty for breach.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IF</w:t>
            </w:r>
            <w:r w:rsidDel="00000000" w:rsidR="00000000" w:rsidRPr="00000000">
              <w:rPr>
                <w:rFonts w:ascii="Google Sans" w:cs="Google Sans" w:eastAsia="Google Sans" w:hAnsi="Google Sans"/>
                <w:color w:val="1f1f1f"/>
                <w:shd w:fill="auto" w:val="clear"/>
                <w:rtl w:val="0"/>
              </w:rPr>
              <w:t xml:space="preserve"> State = OH/TX </w:t>
            </w: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Ensure amount is a "reasonable forecast" of loss.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Injunctive Relief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Stop-gap court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Recipient acknowledges "Irreparable Harm" upon breach.</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Clause Language: Liquidated Damages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 Clause: Liquidated Damages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Parties agree that it would be impracticable or extremely difficult to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 actual damages resulting from a breach of the Non-Circumvention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provision. Therefore, Recipient agrees to pay Disclosing Party, as liquidated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damages and not as a penalty, a sum equal to [X]% of the gross value of any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unauthorized transaction conducted with a Protected Contact."</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IF</w:t>
      </w:r>
      <w:r w:rsidDel="00000000" w:rsidR="00000000" w:rsidRPr="00000000">
        <w:rPr>
          <w:rFonts w:ascii="Google Sans" w:cs="Google Sans" w:eastAsia="Google Sans" w:hAnsi="Google Sans"/>
          <w:color w:val="1f1f1f"/>
          <w:rtl w:val="0"/>
        </w:rPr>
        <w:t xml:space="preserve"> jurisdiction = Virginia </w:t>
      </w:r>
      <w:r w:rsidDel="00000000" w:rsidR="00000000" w:rsidRPr="00000000">
        <w:rPr>
          <w:rFonts w:ascii="Google Sans" w:cs="Google Sans" w:eastAsia="Google Sans" w:hAnsi="Google Sans"/>
          <w:b w:val="1"/>
          <w:bCs w:val="1"/>
          <w:color w:val="1f1f1f"/>
          <w:rtl w:val="0"/>
        </w:rPr>
        <w:t xml:space="preserve">THEN</w:t>
      </w:r>
      <w:r w:rsidDel="00000000" w:rsidR="00000000" w:rsidRPr="00000000">
        <w:rPr>
          <w:rFonts w:ascii="Google Sans" w:cs="Google Sans" w:eastAsia="Google Sans" w:hAnsi="Google Sans"/>
          <w:color w:val="1f1f1f"/>
          <w:rtl w:val="0"/>
        </w:rPr>
        <w:t xml:space="preserve"> note: "Under SB 170, these damages are only enforceable if the underlying restriction is valid under the low-wage/no-cause termination rules." </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How IMFPA Provisions Function: Integration with NCNDAs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Irrevocable Master Fee Protection Agreement (IMFPA) is the "financial heart" of the NCNDA. While the NCNDA provides the legal theory for a lawsuit, the IMFPA provides the banking instructions for payment.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Irrevocability and Paymasters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IMFPA has become standard for creators engaged in high-ticket brand deals or digital asset brokerage. The term "Irrevocable" is not merely a label; it signifies that the payer (often the buyer or seller) cannot unilaterally amend the payment order once the transaction triggers.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Best Practices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Separation vs. Embedding:</w:t>
      </w:r>
      <w:r w:rsidDel="00000000" w:rsidR="00000000" w:rsidRPr="00000000">
        <w:rPr>
          <w:rFonts w:ascii="Google Sans" w:cs="Google Sans" w:eastAsia="Google Sans" w:hAnsi="Google Sans"/>
          <w:color w:val="1f1f1f"/>
          <w:rtl w:val="0"/>
        </w:rPr>
        <w:t xml:space="preserve"> For a mobile app, </w:t>
      </w:r>
      <w:r w:rsidDel="00000000" w:rsidR="00000000" w:rsidRPr="00000000">
        <w:rPr>
          <w:rFonts w:ascii="Google Sans" w:cs="Google Sans" w:eastAsia="Google Sans" w:hAnsi="Google Sans"/>
          <w:b w:val="1"/>
          <w:bCs w:val="1"/>
          <w:color w:val="1f1f1f"/>
          <w:rtl w:val="0"/>
        </w:rPr>
        <w:t xml:space="preserve">embedding</w:t>
      </w:r>
      <w:r w:rsidDel="00000000" w:rsidR="00000000" w:rsidRPr="00000000">
        <w:rPr>
          <w:rFonts w:ascii="Google Sans" w:cs="Google Sans" w:eastAsia="Google Sans" w:hAnsi="Google Sans"/>
          <w:color w:val="1f1f1f"/>
          <w:rtl w:val="0"/>
        </w:rPr>
        <w:t xml:space="preserve"> is superior for simple referral deals to ensure the parties sign one cohesive document.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high-value commodity deals (e.g., oil, gold, bulk creative assets), keeping the IMFPA </w:t>
      </w:r>
      <w:r w:rsidDel="00000000" w:rsidR="00000000" w:rsidRPr="00000000">
        <w:rPr>
          <w:rFonts w:ascii="Google Sans" w:cs="Google Sans" w:eastAsia="Google Sans" w:hAnsi="Google Sans"/>
          <w:b w:val="1"/>
          <w:bCs w:val="1"/>
          <w:color w:val="1f1f1f"/>
          <w:rtl w:val="0"/>
        </w:rPr>
        <w:t xml:space="preserve">separate</w:t>
      </w:r>
      <w:r w:rsidDel="00000000" w:rsidR="00000000" w:rsidRPr="00000000">
        <w:rPr>
          <w:rFonts w:ascii="Google Sans" w:cs="Google Sans" w:eastAsia="Google Sans" w:hAnsi="Google Sans"/>
          <w:color w:val="1f1f1f"/>
          <w:rtl w:val="0"/>
        </w:rPr>
        <w:t xml:space="preserve"> allows it to be submitted to a bank/paymaster without exposing the confidential terms of the NCNDA.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Successors and Assigns:</w:t>
      </w:r>
      <w:r w:rsidDel="00000000" w:rsidR="00000000" w:rsidRPr="00000000">
        <w:rPr>
          <w:rFonts w:ascii="Google Sans" w:cs="Google Sans" w:eastAsia="Google Sans" w:hAnsi="Google Sans"/>
          <w:color w:val="1f1f1f"/>
          <w:rtl w:val="0"/>
        </w:rPr>
        <w:t xml:space="preserve"> The IMFPA must be assignable. Intermediaries often want to assign their fee to a corporate entity or a family trust.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Variations in Fee Protection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Bank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Some IMFPAs require a "Corporate Paymaster" to notarize.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Swift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for international wire transfers (MT103/MT760).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Arbitration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Usually ICC (International Chamber of Commerce) or AAA.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Clause Language: IMFPA Integration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 Clause: Irrevocable Fee Mandate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Agreement incorporates an Irrevocable Master Fee Protection Agreement.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Seller/Buyer hereby issues this irrevocable mandate to its bank to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 the Intermediary's fee of [X]% upon the successful completion of the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This mandate is non-cancelable and survives any termination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 the underlying commercial contract."</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Common Use Cases: Freelancers, Creators, and Gig Workers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NCNDA’s utility in 2026 has expanded far beyond its oil-and-gas origins. The following use cases represent the highest volume for independent-contractor / arm’s-length relationships.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Transactional Context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Courts are more likely to enforce an NCNDA when it protects a "one-off" deal rather than a general prohibition on working in an industry.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Protectable Relationship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Enforcement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Creator-Brand Intro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Talent Manager's contact at Nike.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NCNDA prevents the creator from signing directly with the Nike contact for 2 years.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Referral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developer referring a client to an SEO expert.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IMFPA secures a 10% "Finder's Fee" for all work in the next 18 months.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Joint Venture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Two creators sharing a proprietary subscriber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NCNDA prevents one from "stealing" the list to launch a solo product.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IP/Commodity Brokerage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broker connecting a domain buyer and seller.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NCNDA prevents the buyer from bypassing the broker once the domain is identified.</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Red-Flag Risks: "Work-Multiple-Jobs" Clauses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many states (including Washington and California) view clauses that prevent a worker from taking "another contract" as a per-se violation of labor laws, even for independent contractors.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The NCNDA must be "Deal-Specific," not "Industry-Specific".</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Drafting Best Practices for Independent Parties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"arm’s-length" nature of the relationship and avoid employee misclassification, the drafting must prioritize the "Economic Reality" of the parties.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The DOL "Economic Realities" Test (2026 Proposed Rule)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February 26, 2026, the Department of Labor (DOL) proposed a rule to rescind the Biden-era standard and return to the Trump-era "Core Factor" test.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two core factors are:</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Nature and degree of control</w:t>
      </w:r>
      <w:r w:rsidDel="00000000" w:rsidR="00000000" w:rsidRPr="00000000">
        <w:rPr>
          <w:rFonts w:ascii="Google Sans" w:cs="Google Sans" w:eastAsia="Google Sans" w:hAnsi="Google Sans"/>
          <w:color w:val="1f1f1f"/>
          <w:rtl w:val="0"/>
        </w:rPr>
        <w:t xml:space="preserve"> over the work.</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Opportunity for profit or loss</w:t>
      </w:r>
      <w:r w:rsidDel="00000000" w:rsidR="00000000" w:rsidRPr="00000000">
        <w:rPr>
          <w:rFonts w:ascii="Google Sans" w:cs="Google Sans" w:eastAsia="Google Sans" w:hAnsi="Google Sans"/>
          <w:color w:val="1f1f1f"/>
          <w:rtl w:val="0"/>
        </w:rPr>
        <w:t xml:space="preserve"> based on initiative/investment.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NCNDA that exerts too much control (e.g., "you cannot talk to any other client while this deal is pending") could inadvertently turn the freelancer into an employee, thereby making the non-circumvention clause illegal in states like MN or CA.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Drafting Checklist for Non-Employment Agreements</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Explicit Recitals:</w:t>
      </w:r>
      <w:r w:rsidDel="00000000" w:rsidR="00000000" w:rsidRPr="00000000">
        <w:rPr>
          <w:rFonts w:ascii="Google Sans" w:cs="Google Sans" w:eastAsia="Google Sans" w:hAnsi="Google Sans"/>
          <w:color w:val="1f1f1f"/>
          <w:rtl w:val="0"/>
        </w:rPr>
        <w:t xml:space="preserve"> Clearly state that the Restricted Party is in business for themselves and is not economically dependent on the Disclosing Party.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 Exclusivity:</w:t>
      </w:r>
      <w:r w:rsidDel="00000000" w:rsidR="00000000" w:rsidRPr="00000000">
        <w:rPr>
          <w:rFonts w:ascii="Google Sans" w:cs="Google Sans" w:eastAsia="Google Sans" w:hAnsi="Google Sans"/>
          <w:color w:val="1f1f1f"/>
          <w:rtl w:val="0"/>
        </w:rPr>
        <w:t xml:space="preserve"> Ensure the Recipient is free to work for others during the term, provided they do not circumvent the specific protected deals.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Bilateral Nature:</w:t>
      </w:r>
      <w:r w:rsidDel="00000000" w:rsidR="00000000" w:rsidRPr="00000000">
        <w:rPr>
          <w:rFonts w:ascii="Google Sans" w:cs="Google Sans" w:eastAsia="Google Sans" w:hAnsi="Google Sans"/>
          <w:color w:val="1f1f1f"/>
          <w:rtl w:val="0"/>
        </w:rPr>
        <w:t xml:space="preserve"> Mutual NCNDAs are often more enforceable than unilateral ones because they demonstrate a "bargained-for exchange" between peers.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Clause Language: Independent Contractor Affirmation</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 Clause: Relationship of the Parties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Parties hereby affirm that this is an arm's-length transaction between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business entities. Nothing in this NCNDA shall be construed to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an employer-employee relationship. The Recipient maintains full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over its work schedule, methods, and the ability to serve other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clients, subject only to the specific non-circumvention restrictions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herein."</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Key Case Law: Establishments and Challenges (2024–2026)</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Appellate decisions in the last 24 months have fundamentally reshaped the "timing" and "scope" of NCNDA enforcement.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Case Summaries</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North American Fire Ultimate Holdings v. Doorly (Delaware 2026):</w:t>
      </w:r>
      <w:r w:rsidDel="00000000" w:rsidR="00000000" w:rsidRPr="00000000">
        <w:rPr>
          <w:rFonts w:ascii="Google Sans" w:cs="Google Sans" w:eastAsia="Google Sans" w:hAnsi="Google Sans"/>
          <w:color w:val="1f1f1f"/>
          <w:rtl w:val="0"/>
        </w:rPr>
        <w:t xml:space="preserve"> This landmark case clarified that consideration for a restrictive covenant must be evaluated at the time of </w:t>
      </w:r>
      <w:r w:rsidDel="00000000" w:rsidR="00000000" w:rsidRPr="00000000">
        <w:rPr>
          <w:rFonts w:ascii="Google Sans" w:cs="Google Sans" w:eastAsia="Google Sans" w:hAnsi="Google Sans"/>
          <w:b w:val="1"/>
          <w:bCs w:val="1"/>
          <w:color w:val="1f1f1f"/>
          <w:rtl w:val="0"/>
        </w:rPr>
        <w:t xml:space="preserve">contract formation</w:t>
      </w:r>
      <w:r w:rsidDel="00000000" w:rsidR="00000000" w:rsidRPr="00000000">
        <w:rPr>
          <w:rFonts w:ascii="Google Sans" w:cs="Google Sans" w:eastAsia="Google Sans" w:hAnsi="Google Sans"/>
          <w:color w:val="1f1f1f"/>
          <w:rtl w:val="0"/>
        </w:rPr>
        <w:t xml:space="preserve">, not enforcement.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Even if the underlying "value" (like equity or a referral) is later forfeited, the non-circumvention promise remains binding if it was valid when signed.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FTC v. Gateway Services (Nov 2025):</w:t>
      </w:r>
      <w:r w:rsidDel="00000000" w:rsidR="00000000" w:rsidRPr="00000000">
        <w:rPr>
          <w:rFonts w:ascii="Google Sans" w:cs="Google Sans" w:eastAsia="Google Sans" w:hAnsi="Google Sans"/>
          <w:color w:val="1f1f1f"/>
          <w:rtl w:val="0"/>
        </w:rPr>
        <w:t xml:space="preserve"> While an enforcement action rather than a court case, the FTC consent order has become a "de facto" national standard.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permits non-solicitation/non-circumvention only for customers with whom the worker had </w:t>
      </w:r>
      <w:r w:rsidDel="00000000" w:rsidR="00000000" w:rsidRPr="00000000">
        <w:rPr>
          <w:rFonts w:ascii="Google Sans" w:cs="Google Sans" w:eastAsia="Google Sans" w:hAnsi="Google Sans"/>
          <w:b w:val="1"/>
          <w:bCs w:val="1"/>
          <w:color w:val="1f1f1f"/>
          <w:rtl w:val="0"/>
        </w:rPr>
        <w:t xml:space="preserve">direct contact</w:t>
      </w:r>
      <w:r w:rsidDel="00000000" w:rsidR="00000000" w:rsidRPr="00000000">
        <w:rPr>
          <w:rFonts w:ascii="Google Sans" w:cs="Google Sans" w:eastAsia="Google Sans" w:hAnsi="Google Sans"/>
          <w:color w:val="1f1f1f"/>
          <w:rtl w:val="0"/>
        </w:rPr>
        <w:t xml:space="preserve"> or personally provided service in the prior 12 months.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Pott v. World Capital Properties (11th Cir. 2025):</w:t>
      </w:r>
      <w:r w:rsidDel="00000000" w:rsidR="00000000" w:rsidRPr="00000000">
        <w:rPr>
          <w:rFonts w:ascii="Google Sans" w:cs="Google Sans" w:eastAsia="Google Sans" w:hAnsi="Google Sans"/>
          <w:color w:val="1f1f1f"/>
          <w:rtl w:val="0"/>
        </w:rPr>
        <w:t xml:space="preserve"> Confirmed that an NCNDA arbitration clause can bind a "non-signatory" individual who signs related transactional documents (like an ICC Terms of Reference), effectively preventing individuals from hiding behind shell companies to circumvent.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Sentry Force, Sec., LLC v. Barrera (Va. App. 2026):</w:t>
      </w:r>
      <w:r w:rsidDel="00000000" w:rsidR="00000000" w:rsidRPr="00000000">
        <w:rPr>
          <w:rFonts w:ascii="Google Sans" w:cs="Google Sans" w:eastAsia="Google Sans" w:hAnsi="Google Sans"/>
          <w:color w:val="1f1f1f"/>
          <w:rtl w:val="0"/>
        </w:rPr>
        <w:t xml:space="preserve"> Held that Virginia’s anti-non-compete statutes (Code § 40.1-28.7:8) </w:t>
      </w:r>
      <w:r w:rsidDel="00000000" w:rsidR="00000000" w:rsidRPr="00000000">
        <w:rPr>
          <w:rFonts w:ascii="Google Sans" w:cs="Google Sans" w:eastAsia="Google Sans" w:hAnsi="Google Sans"/>
          <w:b w:val="1"/>
          <w:bCs w:val="1"/>
          <w:color w:val="1f1f1f"/>
          <w:rtl w:val="0"/>
        </w:rPr>
        <w:t xml:space="preserve">do not</w:t>
      </w:r>
      <w:r w:rsidDel="00000000" w:rsidR="00000000" w:rsidRPr="00000000">
        <w:rPr>
          <w:rFonts w:ascii="Google Sans" w:cs="Google Sans" w:eastAsia="Google Sans" w:hAnsi="Google Sans"/>
          <w:color w:val="1f1f1f"/>
          <w:rtl w:val="0"/>
        </w:rPr>
        <w:t xml:space="preserve"> prevent an employer from protecting its own customers from direct solicitation, as long as the employee "initiates" the contact.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for App Logic</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Gateway</w:t>
      </w:r>
      <w:r w:rsidDel="00000000" w:rsidR="00000000" w:rsidRPr="00000000">
        <w:rPr>
          <w:rFonts w:ascii="Google Sans" w:cs="Google Sans" w:eastAsia="Google Sans" w:hAnsi="Google Sans"/>
          <w:color w:val="1f1f1f"/>
          <w:rtl w:val="0"/>
        </w:rPr>
        <w:t xml:space="preserve"> order suggests that "prospective customers" can only be protected if the freelancer actually helped develop that specific prospect.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app should include a "Relationship Development" toggle.</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Maximum Enforceable Restriction Periods (Duration)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"Reasonable Duration" is no longer a nationwide standard. It is now a function of the worker's income and the state’s specific cap.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The Decline of the "3-Year" Standard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2024, a 2-year duration was the safe harbor. In 2026, courts are pushing toward 12 to 18 months, with Florida being the sole outlier allowing 4-year periods for high-wage earners.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Duration Survey by Jurisdiction (2026)</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 Enforceable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Florida (High-Wage)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CHOICE Act:</w:t>
            </w:r>
            <w:r w:rsidDel="00000000" w:rsidR="00000000" w:rsidRPr="00000000">
              <w:rPr>
                <w:rFonts w:ascii="Google Sans" w:cs="Google Sans" w:eastAsia="Google Sans" w:hAnsi="Google Sans"/>
                <w:color w:val="1f1f1f"/>
                <w:shd w:fill="auto" w:val="clear"/>
                <w:rtl w:val="0"/>
              </w:rPr>
              <w:t xml:space="preserve"> Statutory presumption of reasonableness.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Washington (Non-Solicit)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HB 1155: Capped at 18 months; void if longer.</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Utah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Post-employment non-competes limited by statute.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Oregon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Statutorily void if exceeding 12 months.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Most Other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traditional "Common Law" safe harbor.</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Clause Language: Duration Logic</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 Clause: Term of Restriction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Non-Circumvention obligations set forth herein shall commence on the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Date and shall continue for a period of following the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termination of the business relationship between the Parties."</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IF</w:t>
      </w:r>
      <w:r w:rsidDel="00000000" w:rsidR="00000000" w:rsidRPr="00000000">
        <w:rPr>
          <w:rFonts w:ascii="Google Sans" w:cs="Google Sans" w:eastAsia="Google Sans" w:hAnsi="Google Sans"/>
          <w:color w:val="1f1f1f"/>
          <w:rtl w:val="0"/>
        </w:rPr>
        <w:t xml:space="preserve"> jurisdiction = Oregon </w:t>
      </w:r>
      <w:r w:rsidDel="00000000" w:rsidR="00000000" w:rsidRPr="00000000">
        <w:rPr>
          <w:rFonts w:ascii="Google Sans" w:cs="Google Sans" w:eastAsia="Google Sans" w:hAnsi="Google Sans"/>
          <w:b w:val="1"/>
          <w:bCs w:val="1"/>
          <w:color w:val="1f1f1f"/>
          <w:rtl w:val="0"/>
        </w:rPr>
        <w:t xml:space="preserve">THEN</w:t>
      </w:r>
      <w:r w:rsidDel="00000000" w:rsidR="00000000" w:rsidRPr="00000000">
        <w:rPr>
          <w:rFonts w:ascii="Google Sans" w:cs="Google Sans" w:eastAsia="Google Sans" w:hAnsi="Google Sans"/>
          <w:color w:val="1f1f1f"/>
          <w:rtl w:val="0"/>
        </w:rPr>
        <w:t xml:space="preserve"> Duration = "12 months".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IF</w:t>
      </w:r>
      <w:r w:rsidDel="00000000" w:rsidR="00000000" w:rsidRPr="00000000">
        <w:rPr>
          <w:rFonts w:ascii="Google Sans" w:cs="Google Sans" w:eastAsia="Google Sans" w:hAnsi="Google Sans"/>
          <w:color w:val="1f1f1f"/>
          <w:rtl w:val="0"/>
        </w:rPr>
        <w:t xml:space="preserve"> jurisdiction = Florida AND Income &gt; $150k </w:t>
      </w:r>
      <w:r w:rsidDel="00000000" w:rsidR="00000000" w:rsidRPr="00000000">
        <w:rPr>
          <w:rFonts w:ascii="Google Sans" w:cs="Google Sans" w:eastAsia="Google Sans" w:hAnsi="Google Sans"/>
          <w:b w:val="1"/>
          <w:bCs w:val="1"/>
          <w:color w:val="1f1f1f"/>
          <w:rtl w:val="0"/>
        </w:rPr>
        <w:t xml:space="preserve">THEN</w:t>
      </w:r>
      <w:r w:rsidDel="00000000" w:rsidR="00000000" w:rsidRPr="00000000">
        <w:rPr>
          <w:rFonts w:ascii="Google Sans" w:cs="Google Sans" w:eastAsia="Google Sans" w:hAnsi="Google Sans"/>
          <w:color w:val="1f1f1f"/>
          <w:rtl w:val="0"/>
        </w:rPr>
        <w:t xml:space="preserve"> Duration = "Up to 48 months".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Required Level of Specificity for Protected Contacts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2026 legal trend is the death of "General Solicitation Bans." Courts are demanding to know exactly </w:t>
      </w:r>
      <w:r w:rsidDel="00000000" w:rsidR="00000000" w:rsidRPr="00000000">
        <w:rPr>
          <w:rFonts w:ascii="Google Sans" w:cs="Google Sans" w:eastAsia="Google Sans" w:hAnsi="Google Sans"/>
          <w:i w:val="1"/>
          <w:iCs w:val="1"/>
          <w:color w:val="1f1f1f"/>
          <w:rtl w:val="0"/>
        </w:rPr>
        <w:t xml:space="preserve">who</w:t>
      </w:r>
      <w:r w:rsidDel="00000000" w:rsidR="00000000" w:rsidRPr="00000000">
        <w:rPr>
          <w:rFonts w:ascii="Google Sans" w:cs="Google Sans" w:eastAsia="Google Sans" w:hAnsi="Google Sans"/>
          <w:color w:val="1f1f1f"/>
          <w:rtl w:val="0"/>
        </w:rPr>
        <w:t xml:space="preserve"> the Recipient cannot contact.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Vague Categories vs. Named Individuals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Gateway Services</w:t>
      </w:r>
      <w:r w:rsidDel="00000000" w:rsidR="00000000" w:rsidRPr="00000000">
        <w:rPr>
          <w:rFonts w:ascii="Google Sans" w:cs="Google Sans" w:eastAsia="Google Sans" w:hAnsi="Google Sans"/>
          <w:color w:val="1f1f1f"/>
          <w:rtl w:val="0"/>
        </w:rPr>
        <w:t xml:space="preserve"> complaint highlighted that "blanket" non-competes applied to everyone from drivers to executives were "unfair methods of competition".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NCNDAs, this translates to: you cannot protect every contact in your CRM; you can only protect those you actually "disclose" during the deal.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Courts Have Struck Down (2024–2026)</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"Any potential customer of the Disclosing Party":</w:t>
      </w:r>
      <w:r w:rsidDel="00000000" w:rsidR="00000000" w:rsidRPr="00000000">
        <w:rPr>
          <w:rFonts w:ascii="Google Sans" w:cs="Google Sans" w:eastAsia="Google Sans" w:hAnsi="Google Sans"/>
          <w:color w:val="1f1f1f"/>
          <w:rtl w:val="0"/>
        </w:rPr>
        <w:t xml:space="preserve"> Too vague; inhibits the Recipient's ability to work.</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"Any entity in the [X] industry":</w:t>
      </w:r>
      <w:r w:rsidDel="00000000" w:rsidR="00000000" w:rsidRPr="00000000">
        <w:rPr>
          <w:rFonts w:ascii="Google Sans" w:cs="Google Sans" w:eastAsia="Google Sans" w:hAnsi="Google Sans"/>
          <w:color w:val="1f1f1f"/>
          <w:rtl w:val="0"/>
        </w:rPr>
        <w:t xml:space="preserve"> Functions as a de facto non-compete.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"All past, present, and future clients":</w:t>
      </w:r>
      <w:r w:rsidDel="00000000" w:rsidR="00000000" w:rsidRPr="00000000">
        <w:rPr>
          <w:rFonts w:ascii="Google Sans" w:cs="Google Sans" w:eastAsia="Google Sans" w:hAnsi="Google Sans"/>
          <w:color w:val="1f1f1f"/>
          <w:rtl w:val="0"/>
        </w:rPr>
        <w:t xml:space="preserve"> Generally void in "Blue Pencil" states (like NC, VA) where courts refuse to fix bad drafting.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Specificity Standards</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Level 1 (Gold Standard):</w:t>
      </w:r>
      <w:r w:rsidDel="00000000" w:rsidR="00000000" w:rsidRPr="00000000">
        <w:rPr>
          <w:rFonts w:ascii="Google Sans" w:cs="Google Sans" w:eastAsia="Google Sans" w:hAnsi="Google Sans"/>
          <w:color w:val="1f1f1f"/>
          <w:rtl w:val="0"/>
        </w:rPr>
        <w:t xml:space="preserve"> An attached "Exhibit A" that is updated every time a new introduction is made.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Level 2 (Transactional):</w:t>
      </w:r>
      <w:r w:rsidDel="00000000" w:rsidR="00000000" w:rsidRPr="00000000">
        <w:rPr>
          <w:rFonts w:ascii="Google Sans" w:cs="Google Sans" w:eastAsia="Google Sans" w:hAnsi="Google Sans"/>
          <w:color w:val="1f1f1f"/>
          <w:rtl w:val="0"/>
        </w:rPr>
        <w:t xml:space="preserve"> "Any contact disclosed in writing through the Project Portal during the term of this Agreement".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Clause Language: Defining Protected Contacts</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 Clause: Definition of Protected Contacts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"Protected Contacts shall be strictly limited to (i) those entities listed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Exhibit A; and (ii) any third party with whom the Recipient had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Contact' through the Disclosing Party's specific efforts during</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12 months immediately preceding the date of this Agreement."</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Structuring Valid Consideration in Arm's Length Transactions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NCNDA to be a contract (and not just a "paper promise"), there must be a "legal detriment" exchanged—consideration.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Legal Findings: The "Information as Consideration" Doctrine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many gig economy relationships, no money changes hands at the time of signing. The </w:t>
      </w:r>
      <w:r w:rsidDel="00000000" w:rsidR="00000000" w:rsidRPr="00000000">
        <w:rPr>
          <w:rFonts w:ascii="Google Sans" w:cs="Google Sans" w:eastAsia="Google Sans" w:hAnsi="Google Sans"/>
          <w:i w:val="1"/>
          <w:iCs w:val="1"/>
          <w:color w:val="1f1f1f"/>
          <w:rtl w:val="0"/>
        </w:rPr>
        <w:t xml:space="preserve">Doorly</w:t>
      </w:r>
      <w:r w:rsidDel="00000000" w:rsidR="00000000" w:rsidRPr="00000000">
        <w:rPr>
          <w:rFonts w:ascii="Google Sans" w:cs="Google Sans" w:eastAsia="Google Sans" w:hAnsi="Google Sans"/>
          <w:color w:val="1f1f1f"/>
          <w:rtl w:val="0"/>
        </w:rPr>
        <w:t xml:space="preserve"> decision (2026) and the </w:t>
      </w:r>
      <w:r w:rsidDel="00000000" w:rsidR="00000000" w:rsidRPr="00000000">
        <w:rPr>
          <w:rFonts w:ascii="Google Sans" w:cs="Google Sans" w:eastAsia="Google Sans" w:hAnsi="Google Sans"/>
          <w:i w:val="1"/>
          <w:iCs w:val="1"/>
          <w:color w:val="1f1f1f"/>
          <w:rtl w:val="0"/>
        </w:rPr>
        <w:t xml:space="preserve">Newell Rubbermaid</w:t>
      </w:r>
      <w:r w:rsidDel="00000000" w:rsidR="00000000" w:rsidRPr="00000000">
        <w:rPr>
          <w:rFonts w:ascii="Google Sans" w:cs="Google Sans" w:eastAsia="Google Sans" w:hAnsi="Google Sans"/>
          <w:color w:val="1f1f1f"/>
          <w:rtl w:val="0"/>
        </w:rPr>
        <w:t xml:space="preserve"> line of cases establish that the </w:t>
      </w:r>
      <w:r w:rsidDel="00000000" w:rsidR="00000000" w:rsidRPr="00000000">
        <w:rPr>
          <w:rFonts w:ascii="Google Sans" w:cs="Google Sans" w:eastAsia="Google Sans" w:hAnsi="Google Sans"/>
          <w:b w:val="1"/>
          <w:bCs w:val="1"/>
          <w:color w:val="1f1f1f"/>
          <w:rtl w:val="0"/>
        </w:rPr>
        <w:t xml:space="preserve">opportunity</w:t>
      </w:r>
      <w:r w:rsidDel="00000000" w:rsidR="00000000" w:rsidRPr="00000000">
        <w:rPr>
          <w:rFonts w:ascii="Google Sans" w:cs="Google Sans" w:eastAsia="Google Sans" w:hAnsi="Google Sans"/>
          <w:color w:val="1f1f1f"/>
          <w:rtl w:val="0"/>
        </w:rPr>
        <w:t xml:space="preserve"> to receive sensitive information or a valuable business introduction is, in itself, sufficient consideration.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Consideration Types for Arm's Length Deals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Enforceability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Mutual Introduction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Both parties share leads.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Disclosure of Trade Secrets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Access to a proprietary database.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Payment of Commission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IMFPA promise to pay a fee.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Entry into a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be more than "potential" engagement.</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Clause Language: Statement of Consideration</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 Clause: Consideration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Parties acknowledge that the consideration for the Non-Circumvention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obligations herein consists of the mutual exchange of Confidential Information,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Disclosing Party's agreement to facilitate a high-value introduction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[Name/Entity], and the potential to earn fees under the IMFPA provisions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herein."</w:t>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IF</w:t>
      </w:r>
      <w:r w:rsidDel="00000000" w:rsidR="00000000" w:rsidRPr="00000000">
        <w:rPr>
          <w:rFonts w:ascii="Google Sans" w:cs="Google Sans" w:eastAsia="Google Sans" w:hAnsi="Google Sans"/>
          <w:color w:val="1f1f1f"/>
          <w:rtl w:val="0"/>
        </w:rPr>
        <w:t xml:space="preserve"> state = Washington </w:t>
      </w:r>
      <w:r w:rsidDel="00000000" w:rsidR="00000000" w:rsidRPr="00000000">
        <w:rPr>
          <w:rFonts w:ascii="Google Sans" w:cs="Google Sans" w:eastAsia="Google Sans" w:hAnsi="Google Sans"/>
          <w:b w:val="1"/>
          <w:bCs w:val="1"/>
          <w:color w:val="1f1f1f"/>
          <w:rtl w:val="0"/>
        </w:rPr>
        <w:t xml:space="preserve">THEN</w:t>
      </w:r>
      <w:r w:rsidDel="00000000" w:rsidR="00000000" w:rsidRPr="00000000">
        <w:rPr>
          <w:rFonts w:ascii="Google Sans" w:cs="Google Sans" w:eastAsia="Google Sans" w:hAnsi="Google Sans"/>
          <w:color w:val="1f1f1f"/>
          <w:rtl w:val="0"/>
        </w:rPr>
        <w:t xml:space="preserve"> include: "This consideration is provided independent of, and in addition to, any standard service fee for the Project." </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Conditional Logic Summary Table for Contract-Generation App</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summary maps every variable to the recommended clause choice to ensure machine-readability.</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 /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Resulting Clause /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 MN, OK, 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Action:</w:t>
            </w:r>
            <w:r w:rsidDel="00000000" w:rsidR="00000000" w:rsidRPr="00000000">
              <w:rPr>
                <w:rFonts w:ascii="Google Sans" w:cs="Google Sans" w:eastAsia="Google Sans" w:hAnsi="Google Sans"/>
                <w:color w:val="1f1f1f"/>
                <w:shd w:fill="auto" w:val="clear"/>
                <w:rtl w:val="0"/>
              </w:rPr>
              <w:t xml:space="preserve"> Suppress Non-Circumvention; substitute with "Trade Secret Non-Use" clause.</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 (Independent Contractor)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Action:</w:t>
            </w:r>
            <w:r w:rsidDel="00000000" w:rsidR="00000000" w:rsidRPr="00000000">
              <w:rPr>
                <w:rFonts w:ascii="Google Sans" w:cs="Google Sans" w:eastAsia="Google Sans" w:hAnsi="Google Sans"/>
                <w:color w:val="1f1f1f"/>
                <w:shd w:fill="auto" w:val="clear"/>
                <w:rtl w:val="0"/>
              </w:rPr>
              <w:t xml:space="preserve"> Apply $317k income test; if &lt;$317k, clause is VOID after June 2027.</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 (CHOICE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Action:</w:t>
            </w:r>
            <w:r w:rsidDel="00000000" w:rsidR="00000000" w:rsidRPr="00000000">
              <w:rPr>
                <w:rFonts w:ascii="Google Sans" w:cs="Google Sans" w:eastAsia="Google Sans" w:hAnsi="Google Sans"/>
                <w:color w:val="1f1f1f"/>
                <w:shd w:fill="auto" w:val="clear"/>
                <w:rtl w:val="0"/>
              </w:rPr>
              <w:t xml:space="preserve"> Apply 48-month duration; include "Mandatory Preliminary Injunction" language.</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$130,014 (Colorado)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Action:</w:t>
            </w:r>
            <w:r w:rsidDel="00000000" w:rsidR="00000000" w:rsidRPr="00000000">
              <w:rPr>
                <w:rFonts w:ascii="Google Sans" w:cs="Google Sans" w:eastAsia="Google Sans" w:hAnsi="Google Sans"/>
                <w:color w:val="1f1f1f"/>
                <w:shd w:fill="auto" w:val="clear"/>
                <w:rtl w:val="0"/>
              </w:rPr>
              <w:t xml:space="preserve"> Mark Non-Circumvention as "Informational Only" / Unenforceable.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Selection:</w:t>
            </w:r>
            <w:r w:rsidDel="00000000" w:rsidR="00000000" w:rsidRPr="00000000">
              <w:rPr>
                <w:rFonts w:ascii="Google Sans" w:cs="Google Sans" w:eastAsia="Google Sans" w:hAnsi="Google Sans"/>
                <w:color w:val="1f1f1f"/>
                <w:shd w:fill="auto" w:val="clear"/>
                <w:rtl w:val="0"/>
              </w:rPr>
              <w:t xml:space="preserve"> 24 Months.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Oregon-based Worker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Selection:</w:t>
            </w:r>
            <w:r w:rsidDel="00000000" w:rsidR="00000000" w:rsidRPr="00000000">
              <w:rPr>
                <w:rFonts w:ascii="Google Sans" w:cs="Google Sans" w:eastAsia="Google Sans" w:hAnsi="Google Sans"/>
                <w:color w:val="1f1f1f"/>
                <w:shd w:fill="auto" w:val="clear"/>
                <w:rtl w:val="0"/>
              </w:rPr>
              <w:t xml:space="preserve"> 12 Months (Statutory Cap).</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Remote/Virtual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Selection:</w:t>
            </w:r>
            <w:r w:rsidDel="00000000" w:rsidR="00000000" w:rsidRPr="00000000">
              <w:rPr>
                <w:rFonts w:ascii="Google Sans" w:cs="Google Sans" w:eastAsia="Google Sans" w:hAnsi="Google Sans"/>
                <w:color w:val="1f1f1f"/>
                <w:shd w:fill="auto" w:val="clear"/>
                <w:rtl w:val="0"/>
              </w:rPr>
              <w:t xml:space="preserve"> "Direct Contact" standard (Gateway-compliant).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Commodity / Bulk Creatives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Action:</w:t>
            </w:r>
            <w:r w:rsidDel="00000000" w:rsidR="00000000" w:rsidRPr="00000000">
              <w:rPr>
                <w:rFonts w:ascii="Google Sans" w:cs="Google Sans" w:eastAsia="Google Sans" w:hAnsi="Google Sans"/>
                <w:color w:val="1f1f1f"/>
                <w:shd w:fill="auto" w:val="clear"/>
                <w:rtl w:val="0"/>
              </w:rPr>
              <w:t xml:space="preserve"> Attach "Separate IMFPA" for banking submission.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Virginia-based Worker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Action:</w:t>
            </w:r>
            <w:r w:rsidDel="00000000" w:rsidR="00000000" w:rsidRPr="00000000">
              <w:rPr>
                <w:rFonts w:ascii="Google Sans" w:cs="Google Sans" w:eastAsia="Google Sans" w:hAnsi="Google Sans"/>
                <w:color w:val="1f1f1f"/>
                <w:shd w:fill="auto" w:val="clear"/>
                <w:rtl w:val="0"/>
              </w:rPr>
              <w:t xml:space="preserve"> Add "Severance Disclosure" requirement for enforceability.</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Consideration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Delaware Choice of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Action:</w:t>
            </w:r>
            <w:r w:rsidDel="00000000" w:rsidR="00000000" w:rsidRPr="00000000">
              <w:rPr>
                <w:rFonts w:ascii="Google Sans" w:cs="Google Sans" w:eastAsia="Google Sans" w:hAnsi="Google Sans"/>
                <w:color w:val="1f1f1f"/>
                <w:shd w:fill="auto" w:val="clear"/>
                <w:rtl w:val="0"/>
              </w:rPr>
              <w:t xml:space="preserve"> Use "Value at Formation" language (Doorly-compliant).</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Final Disclaimer:</w:t>
      </w:r>
      <w:r w:rsidDel="00000000" w:rsidR="00000000" w:rsidRPr="00000000">
        <w:rPr>
          <w:rFonts w:ascii="Google Sans" w:cs="Google Sans" w:eastAsia="Google Sans" w:hAnsi="Google Sans"/>
          <w:color w:val="1f1f1f"/>
          <w:rtl w:val="0"/>
        </w:rPr>
        <w:t xml:space="preserve"> This analysis is an expert-level research report current as of April 2026. It is not legal advice. The legal landscape for independent contractors is in a state of rapid transition. Users are strongly encouraged to consult with licensed counsel to verify the impact of the most recent legislative amendments in their specific county and state.</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an NDA &amp; a Non Compete Agreement - Zimmerman &amp; Associates, accessed April 15, 2026, </w:t>
      </w:r>
      <w:hyperlink r:id="rId6">
        <w:r w:rsidDel="00000000" w:rsidR="00000000" w:rsidRPr="00000000">
          <w:rPr>
            <w:rFonts w:ascii="Google Sans" w:cs="Google Sans" w:eastAsia="Google Sans" w:hAnsi="Google Sans"/>
            <w:color w:val="0000ee"/>
            <w:sz w:val="24"/>
            <w:szCs w:val="24"/>
            <w:u w:val="single"/>
            <w:rtl w:val="0"/>
          </w:rPr>
          <w:t xml:space="preserve">https://zimmermanatlantalaw.com/blog/what-is-the-difference-between-a-non-disclosure-agreement-and-a-non-compete-agreement/</w:t>
        </w:r>
      </w:hyperlink>
      <w:r w:rsidDel="00000000" w:rsidR="00000000" w:rsidRPr="00000000">
        <w:rPr>
          <w:rtl w:val="0"/>
        </w:rPr>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NDA vs Non-Compete Agreements: Key Differences, Contract Applications, and the Role of AI - Sirion, accessed April 15, 2026, </w:t>
      </w:r>
      <w:hyperlink r:id="rId7">
        <w:r w:rsidDel="00000000" w:rsidR="00000000" w:rsidRPr="00000000">
          <w:rPr>
            <w:rFonts w:ascii="Google Sans" w:cs="Google Sans" w:eastAsia="Google Sans" w:hAnsi="Google Sans"/>
            <w:color w:val="0000ee"/>
            <w:sz w:val="24"/>
            <w:szCs w:val="24"/>
            <w:u w:val="single"/>
            <w:rtl w:val="0"/>
          </w:rPr>
          <w:t xml:space="preserve">https://www.sirion.ai/library/contracts/nda-vs-non-compete-agreement/</w:t>
        </w:r>
      </w:hyperlink>
      <w:r w:rsidDel="00000000" w:rsidR="00000000" w:rsidRPr="00000000">
        <w:rPr>
          <w:rtl w:val="0"/>
        </w:rPr>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Finalizes Consent Order Requiring Employer to End Blanket Noncompete Agreements, accessed April 15, 2026, </w:t>
      </w:r>
      <w:hyperlink r:id="rId8">
        <w:r w:rsidDel="00000000" w:rsidR="00000000" w:rsidRPr="00000000">
          <w:rPr>
            <w:rFonts w:ascii="Google Sans" w:cs="Google Sans" w:eastAsia="Google Sans" w:hAnsi="Google Sans"/>
            <w:color w:val="0000ee"/>
            <w:sz w:val="24"/>
            <w:szCs w:val="24"/>
            <w:u w:val="single"/>
            <w:rtl w:val="0"/>
          </w:rPr>
          <w:t xml:space="preserve">https://ogletree.com/insights-resources/blog-posts/ftc-finalizes-consent-order-requiring-employer-to-end-blanket-noncompete-agreements/</w:t>
        </w:r>
      </w:hyperlink>
      <w:r w:rsidDel="00000000" w:rsidR="00000000" w:rsidRPr="00000000">
        <w:rPr>
          <w:rtl w:val="0"/>
        </w:rPr>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FTC's Aggressive Approach to Non-Compete Agreements - Larkin Hoffman, accessed April 15, 2026, </w:t>
      </w:r>
      <w:hyperlink r:id="rId9">
        <w:r w:rsidDel="00000000" w:rsidR="00000000" w:rsidRPr="00000000">
          <w:rPr>
            <w:rFonts w:ascii="Google Sans" w:cs="Google Sans" w:eastAsia="Google Sans" w:hAnsi="Google Sans"/>
            <w:color w:val="0000ee"/>
            <w:sz w:val="24"/>
            <w:szCs w:val="24"/>
            <w:u w:val="single"/>
            <w:rtl w:val="0"/>
          </w:rPr>
          <w:t xml:space="preserve">https://www.larkinhoffman.com/employment-labor-blog/the-ftcs-aggressive-approach-to-non-compete-agreements</w:t>
        </w:r>
      </w:hyperlink>
      <w:r w:rsidDel="00000000" w:rsidR="00000000" w:rsidRPr="00000000">
        <w:rPr>
          <w:rtl w:val="0"/>
        </w:rPr>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Noncompete Agreements: What's the Status of Laws Restricting Them Nationwide? (March 2026 Update) - Katz Banks Kumin LLP, accessed April 15, 2026, </w:t>
      </w:r>
      <w:hyperlink r:id="rId10">
        <w:r w:rsidDel="00000000" w:rsidR="00000000" w:rsidRPr="00000000">
          <w:rPr>
            <w:rFonts w:ascii="Google Sans" w:cs="Google Sans" w:eastAsia="Google Sans" w:hAnsi="Google Sans"/>
            <w:color w:val="0000ee"/>
            <w:sz w:val="24"/>
            <w:szCs w:val="24"/>
            <w:u w:val="single"/>
            <w:rtl w:val="0"/>
          </w:rPr>
          <w:t xml:space="preserve">https://katzbanks.com/employment-law-blog/noncompete-agreements-whats-the-status-of-laws-restricting-them-nationwide-march-2026-update/</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CFS 2025 YIR: Major Supreme Court and Appellate Cases - Goodwin, accessed April 15, 2026, </w:t>
      </w:r>
      <w:hyperlink r:id="rId11">
        <w:r w:rsidDel="00000000" w:rsidR="00000000" w:rsidRPr="00000000">
          <w:rPr>
            <w:rFonts w:ascii="Google Sans" w:cs="Google Sans" w:eastAsia="Google Sans" w:hAnsi="Google Sans"/>
            <w:color w:val="0000ee"/>
            <w:sz w:val="24"/>
            <w:szCs w:val="24"/>
            <w:u w:val="single"/>
            <w:rtl w:val="0"/>
          </w:rPr>
          <w:t xml:space="preserve">https://www.goodwinlaw.com/en/insights/publications/2026/03/insights-finance-cfs-yir-major-us-supreme-court-and-appellate</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Differences Between a Non-Compete and NDA? - Hutchings Law Group Blog, accessed April 15, 2026, </w:t>
      </w:r>
      <w:hyperlink r:id="rId12">
        <w:r w:rsidDel="00000000" w:rsidR="00000000" w:rsidRPr="00000000">
          <w:rPr>
            <w:rFonts w:ascii="Google Sans" w:cs="Google Sans" w:eastAsia="Google Sans" w:hAnsi="Google Sans"/>
            <w:color w:val="0000ee"/>
            <w:sz w:val="24"/>
            <w:szCs w:val="24"/>
            <w:u w:val="single"/>
            <w:rtl w:val="0"/>
          </w:rPr>
          <w:t xml:space="preserve">https://www.hutchingslawgroup.com/blogs/5088/what-are-the-differences-between-a-non-compete-and-nda</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NDA vs. non-compete agreements? | Adobe Acrobat, accessed April 15, 2026, </w:t>
      </w:r>
      <w:hyperlink r:id="rId13">
        <w:r w:rsidDel="00000000" w:rsidR="00000000" w:rsidRPr="00000000">
          <w:rPr>
            <w:rFonts w:ascii="Google Sans" w:cs="Google Sans" w:eastAsia="Google Sans" w:hAnsi="Google Sans"/>
            <w:color w:val="0000ee"/>
            <w:sz w:val="24"/>
            <w:szCs w:val="24"/>
            <w:u w:val="single"/>
            <w:rtl w:val="0"/>
          </w:rPr>
          <w:t xml:space="preserve">https://www.adobe.com/acrobat/business/hub/difference-between-ndas-and-non-compete-agreements.html</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NDAs and Non-Compete Agreements - BambooHR, accessed April 15, 2026, </w:t>
      </w:r>
      <w:hyperlink r:id="rId14">
        <w:r w:rsidDel="00000000" w:rsidR="00000000" w:rsidRPr="00000000">
          <w:rPr>
            <w:rFonts w:ascii="Google Sans" w:cs="Google Sans" w:eastAsia="Google Sans" w:hAnsi="Google Sans"/>
            <w:color w:val="0000ee"/>
            <w:sz w:val="24"/>
            <w:szCs w:val="24"/>
            <w:u w:val="single"/>
            <w:rtl w:val="0"/>
          </w:rPr>
          <w:t xml:space="preserve">https://www.bamboohr.com/blog/ndas-and-non-compete-agreements</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NDAs and Contracts: How to Structure an Enforceable Non-Disclosure Agreement, accessed April 15, 2026, </w:t>
      </w:r>
      <w:hyperlink r:id="rId15">
        <w:r w:rsidDel="00000000" w:rsidR="00000000" w:rsidRPr="00000000">
          <w:rPr>
            <w:rFonts w:ascii="Google Sans" w:cs="Google Sans" w:eastAsia="Google Sans" w:hAnsi="Google Sans"/>
            <w:color w:val="0000ee"/>
            <w:sz w:val="24"/>
            <w:szCs w:val="24"/>
            <w:u w:val="single"/>
            <w:rtl w:val="0"/>
          </w:rPr>
          <w:t xml:space="preserve">https://www.ubglaw.com/news-and-media/ndas-and-contracts-how-to-structure-an-enforceable-non-disclosure-agreement</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Restrictive Covenants in Ohio: A Complete Guide to Non-Compete and Non-Solicitation Agreement Enforceability - Mansell Law, accessed April 15, 2026, </w:t>
      </w:r>
      <w:hyperlink r:id="rId16">
        <w:r w:rsidDel="00000000" w:rsidR="00000000" w:rsidRPr="00000000">
          <w:rPr>
            <w:rFonts w:ascii="Google Sans" w:cs="Google Sans" w:eastAsia="Google Sans" w:hAnsi="Google Sans"/>
            <w:color w:val="0000ee"/>
            <w:sz w:val="24"/>
            <w:szCs w:val="24"/>
            <w:u w:val="single"/>
            <w:rtl w:val="0"/>
          </w:rPr>
          <w:t xml:space="preserve">https://ohio-employmentlawyer.com/restrictive-covenants-in-ohio-a-complete-guide-to-non-compete-and-non-solicitation-agreement-enforceability/</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IMFPA - Irrevocable Master Fee Protection Agreement Clause Samples - Law Insider, accessed April 15, 2026, </w:t>
      </w:r>
      <w:hyperlink r:id="rId17">
        <w:r w:rsidDel="00000000" w:rsidR="00000000" w:rsidRPr="00000000">
          <w:rPr>
            <w:rFonts w:ascii="Google Sans" w:cs="Google Sans" w:eastAsia="Google Sans" w:hAnsi="Google Sans"/>
            <w:color w:val="0000ee"/>
            <w:sz w:val="24"/>
            <w:szCs w:val="24"/>
            <w:u w:val="single"/>
            <w:rtl w:val="0"/>
          </w:rPr>
          <w:t xml:space="preserve">https://www.lawinsider.com/clause/imfpa-irrevocable-master-fee-protection-agreement</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2021-2026 Form International Chamber of Commerce Non-Circumvention Non-Disclosure &amp; Working Agreement (NCNDA) - Blank Fillable Template | Fill Out, Print &amp; Download PDF | pdfFiller, accessed April 15, 2026, </w:t>
      </w:r>
      <w:hyperlink r:id="rId18">
        <w:r w:rsidDel="00000000" w:rsidR="00000000" w:rsidRPr="00000000">
          <w:rPr>
            <w:rFonts w:ascii="Google Sans" w:cs="Google Sans" w:eastAsia="Google Sans" w:hAnsi="Google Sans"/>
            <w:color w:val="0000ee"/>
            <w:sz w:val="24"/>
            <w:szCs w:val="24"/>
            <w:u w:val="single"/>
            <w:rtl w:val="0"/>
          </w:rPr>
          <w:t xml:space="preserve">https://i-c-c-ncnda-imfpa-template.pdffiller.com/</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the Bind: Washington Bans Non-Compete Agreements, accessed April 15, 2026, </w:t>
      </w:r>
      <w:hyperlink r:id="rId19">
        <w:r w:rsidDel="00000000" w:rsidR="00000000" w:rsidRPr="00000000">
          <w:rPr>
            <w:rFonts w:ascii="Google Sans" w:cs="Google Sans" w:eastAsia="Google Sans" w:hAnsi="Google Sans"/>
            <w:color w:val="0000ee"/>
            <w:sz w:val="24"/>
            <w:szCs w:val="24"/>
            <w:u w:val="single"/>
            <w:rtl w:val="0"/>
          </w:rPr>
          <w:t xml:space="preserve">https://www.grsm.com/insight/breaking-the-bind-washington-bans-non-compete-agreements/</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Turns Up the Heat for Noncompete Enforcement: 5 Steps for Employers to Stay Compliant in a New Regulatory Era, accessed April 15, 2026, </w:t>
      </w:r>
      <w:hyperlink r:id="rId20">
        <w:r w:rsidDel="00000000" w:rsidR="00000000" w:rsidRPr="00000000">
          <w:rPr>
            <w:rFonts w:ascii="Google Sans" w:cs="Google Sans" w:eastAsia="Google Sans" w:hAnsi="Google Sans"/>
            <w:color w:val="0000ee"/>
            <w:sz w:val="24"/>
            <w:szCs w:val="24"/>
            <w:u w:val="single"/>
            <w:rtl w:val="0"/>
          </w:rPr>
          <w:t xml:space="preserve">https://www.fisherphillips.com/en/insights/insights/ftc-turns-up-the-heat-for-noncompete-enforcement</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Legal Backbone Of Oil Trading: SPAs, NCNDAs, IMFPAs &amp; Beyond, accessed April 15, 2026, </w:t>
      </w:r>
      <w:hyperlink r:id="rId21">
        <w:r w:rsidDel="00000000" w:rsidR="00000000" w:rsidRPr="00000000">
          <w:rPr>
            <w:rFonts w:ascii="Google Sans" w:cs="Google Sans" w:eastAsia="Google Sans" w:hAnsi="Google Sans"/>
            <w:color w:val="0000ee"/>
            <w:sz w:val="24"/>
            <w:szCs w:val="24"/>
            <w:u w:val="single"/>
            <w:rtl w:val="0"/>
          </w:rPr>
          <w:t xml:space="preserve">https://globallawexperts.com/understanding-the-legal-backbone-of-oil-trading-spas-ncndas-imfpas-beyond/</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50-State Survey of Non-Compete Laws - Bloomberg Law, accessed April 15, 2026, </w:t>
      </w:r>
      <w:hyperlink r:id="rId22">
        <w:r w:rsidDel="00000000" w:rsidR="00000000" w:rsidRPr="00000000">
          <w:rPr>
            <w:rFonts w:ascii="Google Sans" w:cs="Google Sans" w:eastAsia="Google Sans" w:hAnsi="Google Sans"/>
            <w:color w:val="0000ee"/>
            <w:sz w:val="24"/>
            <w:szCs w:val="24"/>
            <w:u w:val="single"/>
            <w:rtl w:val="0"/>
          </w:rPr>
          <w:t xml:space="preserve">https://pro.bloomberglaw.com/insights/contracts/non-compete-law-state-survey/</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 State's Expansive New Non-Compete Ban - Wilson Sonsini, accessed April 15, 2026, </w:t>
      </w:r>
      <w:hyperlink r:id="rId23">
        <w:r w:rsidDel="00000000" w:rsidR="00000000" w:rsidRPr="00000000">
          <w:rPr>
            <w:rFonts w:ascii="Google Sans" w:cs="Google Sans" w:eastAsia="Google Sans" w:hAnsi="Google Sans"/>
            <w:color w:val="0000ee"/>
            <w:sz w:val="24"/>
            <w:szCs w:val="24"/>
            <w:u w:val="single"/>
            <w:rtl w:val="0"/>
          </w:rPr>
          <w:t xml:space="preserve">https://www.wsgr.com/en/insights/washington-states-expansive-new-non-compete-ban.html</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Noncompete Agreement Restrictions 50 State Survey - Katz ..., accessed April 15, 2026, </w:t>
      </w:r>
      <w:hyperlink r:id="rId24">
        <w:r w:rsidDel="00000000" w:rsidR="00000000" w:rsidRPr="00000000">
          <w:rPr>
            <w:rFonts w:ascii="Google Sans" w:cs="Google Sans" w:eastAsia="Google Sans" w:hAnsi="Google Sans"/>
            <w:color w:val="0000ee"/>
            <w:sz w:val="24"/>
            <w:szCs w:val="24"/>
            <w:u w:val="single"/>
            <w:rtl w:val="0"/>
          </w:rPr>
          <w:t xml:space="preserve">https://katzbanks.com/noncompete-map/</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 Proposes New Independent Contractor Rule to Replace Biden-Era Regulation, accessed April 15, 2026, </w:t>
      </w:r>
      <w:hyperlink r:id="rId25">
        <w:r w:rsidDel="00000000" w:rsidR="00000000" w:rsidRPr="00000000">
          <w:rPr>
            <w:rFonts w:ascii="Google Sans" w:cs="Google Sans" w:eastAsia="Google Sans" w:hAnsi="Google Sans"/>
            <w:color w:val="0000ee"/>
            <w:sz w:val="24"/>
            <w:szCs w:val="24"/>
            <w:u w:val="single"/>
            <w:rtl w:val="0"/>
          </w:rPr>
          <w:t xml:space="preserve">https://www.mayerbrown.com/en/insights/publications/2026/03/dol-proposes-new-independent-contractor-rule-to-replace-biden-era-regulation</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 DOL's Proposed 2026 Independent Contractor Rule: What Employers Need to Know, accessed April 15, 2026, </w:t>
      </w:r>
      <w:hyperlink r:id="rId26">
        <w:r w:rsidDel="00000000" w:rsidR="00000000" w:rsidRPr="00000000">
          <w:rPr>
            <w:rFonts w:ascii="Google Sans" w:cs="Google Sans" w:eastAsia="Google Sans" w:hAnsi="Google Sans"/>
            <w:color w:val="0000ee"/>
            <w:sz w:val="24"/>
            <w:szCs w:val="24"/>
            <w:u w:val="single"/>
            <w:rtl w:val="0"/>
          </w:rPr>
          <w:t xml:space="preserve">https://leglobal.law/2026/03/24/usa-dols-proposed-2026-independent-contractor-rule-what-employers-need-to-know/</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Noncompete Law Tracker - Economic Innovation Group, accessed April 15, 2026, </w:t>
      </w:r>
      <w:hyperlink r:id="rId27">
        <w:r w:rsidDel="00000000" w:rsidR="00000000" w:rsidRPr="00000000">
          <w:rPr>
            <w:rFonts w:ascii="Google Sans" w:cs="Google Sans" w:eastAsia="Google Sans" w:hAnsi="Google Sans"/>
            <w:color w:val="0000ee"/>
            <w:sz w:val="24"/>
            <w:szCs w:val="24"/>
            <w:u w:val="single"/>
            <w:rtl w:val="0"/>
          </w:rPr>
          <w:t xml:space="preserve">https://eig.org/state-noncompete-map/</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 State Bans Non-Compete Agreements | Insights - Holland &amp; Knight, accessed April 15, 2026, </w:t>
      </w:r>
      <w:hyperlink r:id="rId28">
        <w:r w:rsidDel="00000000" w:rsidR="00000000" w:rsidRPr="00000000">
          <w:rPr>
            <w:rFonts w:ascii="Google Sans" w:cs="Google Sans" w:eastAsia="Google Sans" w:hAnsi="Google Sans"/>
            <w:color w:val="0000ee"/>
            <w:sz w:val="24"/>
            <w:szCs w:val="24"/>
            <w:u w:val="single"/>
            <w:rtl w:val="0"/>
          </w:rPr>
          <w:t xml:space="preserve">https://www.hklaw.com/en/insights/publications/2026/03/washington-state-bans-noncompete-agreements</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 State: Broad ban on non-competition agreements enacted - DLA Piper GENIE, accessed April 15, 2026, </w:t>
      </w:r>
      <w:hyperlink r:id="rId29">
        <w:r w:rsidDel="00000000" w:rsidR="00000000" w:rsidRPr="00000000">
          <w:rPr>
            <w:rFonts w:ascii="Google Sans" w:cs="Google Sans" w:eastAsia="Google Sans" w:hAnsi="Google Sans"/>
            <w:color w:val="0000ee"/>
            <w:sz w:val="24"/>
            <w:szCs w:val="24"/>
            <w:u w:val="single"/>
            <w:rtl w:val="0"/>
          </w:rPr>
          <w:t xml:space="preserve">https://knowledge.dlapiper.com/dlapiperknowledge/globalemploymentlatestdevelopments/2026/Washington-State-enacts-broad-ban-on-non-competition-agreements</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Noncompete laws in 2026: State-by-state breakdown - Becker's ASC, accessed April 15, 2026, </w:t>
      </w:r>
      <w:hyperlink r:id="rId30">
        <w:r w:rsidDel="00000000" w:rsidR="00000000" w:rsidRPr="00000000">
          <w:rPr>
            <w:rFonts w:ascii="Google Sans" w:cs="Google Sans" w:eastAsia="Google Sans" w:hAnsi="Google Sans"/>
            <w:color w:val="0000ee"/>
            <w:sz w:val="24"/>
            <w:szCs w:val="24"/>
            <w:u w:val="single"/>
            <w:rtl w:val="0"/>
          </w:rPr>
          <w:t xml:space="preserve">https://www.beckersasc.com/asc-news/noncompete-laws-in-2026-state-by-state-breakdown/</w:t>
        </w:r>
      </w:hyperlink>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 CHOICE Act expanding employer non-compete options takes effect, accessed April 15, 2026, </w:t>
      </w:r>
      <w:hyperlink r:id="rId31">
        <w:r w:rsidDel="00000000" w:rsidR="00000000" w:rsidRPr="00000000">
          <w:rPr>
            <w:rFonts w:ascii="Google Sans" w:cs="Google Sans" w:eastAsia="Google Sans" w:hAnsi="Google Sans"/>
            <w:color w:val="0000ee"/>
            <w:sz w:val="24"/>
            <w:szCs w:val="24"/>
            <w:u w:val="single"/>
            <w:rtl w:val="0"/>
          </w:rPr>
          <w:t xml:space="preserve">https://knowledge.dlapiper.com/dlapiperknowledge/globalemploymentlatestdevelopments/2025/florida-CHOICE-act-expanding-employer-non-compete-options-takes-effect</w:t>
        </w:r>
      </w:hyperlink>
      <w:r w:rsidDel="00000000" w:rsidR="00000000" w:rsidRPr="00000000">
        <w:rPr>
          <w:rtl w:val="0"/>
        </w:rPr>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CHOICE Act: Florida Noncompete and Garden Leave Agreements - Caruso Law PLLC, accessed April 15, 2026, </w:t>
      </w:r>
      <w:hyperlink r:id="rId32">
        <w:r w:rsidDel="00000000" w:rsidR="00000000" w:rsidRPr="00000000">
          <w:rPr>
            <w:rFonts w:ascii="Google Sans" w:cs="Google Sans" w:eastAsia="Google Sans" w:hAnsi="Google Sans"/>
            <w:color w:val="0000ee"/>
            <w:sz w:val="24"/>
            <w:szCs w:val="24"/>
            <w:u w:val="single"/>
            <w:rtl w:val="0"/>
          </w:rPr>
          <w:t xml:space="preserve">https://www.carusolawoffice.com/post/2025-choice-act-florida-noncompete-and-garden-leave-agreements</w:t>
        </w:r>
      </w:hyperlink>
      <w:r w:rsidDel="00000000" w:rsidR="00000000" w:rsidRPr="00000000">
        <w:rPr>
          <w:rtl w:val="0"/>
        </w:rPr>
      </w:r>
    </w:p>
    <w:p w:rsidR="00000000" w:rsidDel="00000000" w:rsidP="00000000" w:rsidRDefault="00000000" w:rsidRPr="00000000" w14:paraId="000001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 Strengthens Non-Compete Restrictions - Meridian Compensation Partners, accessed April 15, 2026, </w:t>
      </w:r>
      <w:hyperlink r:id="rId33">
        <w:r w:rsidDel="00000000" w:rsidR="00000000" w:rsidRPr="00000000">
          <w:rPr>
            <w:rFonts w:ascii="Google Sans" w:cs="Google Sans" w:eastAsia="Google Sans" w:hAnsi="Google Sans"/>
            <w:color w:val="0000ee"/>
            <w:sz w:val="24"/>
            <w:szCs w:val="24"/>
            <w:u w:val="single"/>
            <w:rtl w:val="0"/>
          </w:rPr>
          <w:t xml:space="preserve">https://www.meridiancp.com/insights/florida-strengthens-non-compete-restrictions/</w:t>
        </w:r>
      </w:hyperlink>
      <w:r w:rsidDel="00000000" w:rsidR="00000000" w:rsidRPr="00000000">
        <w:rPr>
          <w:rtl w:val="0"/>
        </w:rPr>
      </w:r>
    </w:p>
    <w:p w:rsidR="00000000" w:rsidDel="00000000" w:rsidP="00000000" w:rsidRDefault="00000000" w:rsidRPr="00000000" w14:paraId="000001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Virginia Tightens the Screws on Non-Competes – Again | Baker Donelson, accessed April 15, 2026, </w:t>
      </w:r>
      <w:hyperlink r:id="rId34">
        <w:r w:rsidDel="00000000" w:rsidR="00000000" w:rsidRPr="00000000">
          <w:rPr>
            <w:rFonts w:ascii="Google Sans" w:cs="Google Sans" w:eastAsia="Google Sans" w:hAnsi="Google Sans"/>
            <w:color w:val="0000ee"/>
            <w:sz w:val="24"/>
            <w:szCs w:val="24"/>
            <w:u w:val="single"/>
            <w:rtl w:val="0"/>
          </w:rPr>
          <w:t xml:space="preserve">https://www.bakerdonelson.com/virginia-tightens-the-screws-on-non-competes-again</w:t>
        </w:r>
      </w:hyperlink>
      <w:r w:rsidDel="00000000" w:rsidR="00000000" w:rsidRPr="00000000">
        <w:rPr>
          <w:rtl w:val="0"/>
        </w:rPr>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Virginia Governor Signs Senate Bill 170, Targeting Noncompete Agreements - The National Law Review, accessed April 15, 2026, </w:t>
      </w:r>
      <w:hyperlink r:id="rId35">
        <w:r w:rsidDel="00000000" w:rsidR="00000000" w:rsidRPr="00000000">
          <w:rPr>
            <w:rFonts w:ascii="Google Sans" w:cs="Google Sans" w:eastAsia="Google Sans" w:hAnsi="Google Sans"/>
            <w:color w:val="0000ee"/>
            <w:sz w:val="24"/>
            <w:szCs w:val="24"/>
            <w:u w:val="single"/>
            <w:rtl w:val="0"/>
          </w:rPr>
          <w:t xml:space="preserve">https://natlawreview.com/article/virginia-governor-signs-senate-bill-170-targeting-noncompete-agreements</w:t>
        </w:r>
      </w:hyperlink>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Delaware Supreme Court Holds that Consideration for Restrictive Covenants Is Determined at Time of Execution, Not Enforcement - Fox Rothschild LLP, accessed April 15, 2026, </w:t>
      </w:r>
      <w:hyperlink r:id="rId36">
        <w:r w:rsidDel="00000000" w:rsidR="00000000" w:rsidRPr="00000000">
          <w:rPr>
            <w:rFonts w:ascii="Google Sans" w:cs="Google Sans" w:eastAsia="Google Sans" w:hAnsi="Google Sans"/>
            <w:color w:val="0000ee"/>
            <w:sz w:val="24"/>
            <w:szCs w:val="24"/>
            <w:u w:val="single"/>
            <w:rtl w:val="0"/>
          </w:rPr>
          <w:t xml:space="preserve">https://www.foxrothschild.com/publications/delaware-supreme-court-holds-that-consideration-for-restrictive-covenants-is-determined-at-time-of-execution-not-enforcement</w:t>
        </w:r>
      </w:hyperlink>
      <w:r w:rsidDel="00000000" w:rsidR="00000000" w:rsidRPr="00000000">
        <w:rPr>
          <w:rtl w:val="0"/>
        </w:rPr>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Trade Secret And Restrictive Covenant Year In Review - Benesch Law, accessed April 15, 2026, </w:t>
      </w:r>
      <w:hyperlink r:id="rId37">
        <w:r w:rsidDel="00000000" w:rsidR="00000000" w:rsidRPr="00000000">
          <w:rPr>
            <w:rFonts w:ascii="Google Sans" w:cs="Google Sans" w:eastAsia="Google Sans" w:hAnsi="Google Sans"/>
            <w:color w:val="0000ee"/>
            <w:sz w:val="24"/>
            <w:szCs w:val="24"/>
            <w:u w:val="single"/>
            <w:rtl w:val="0"/>
          </w:rPr>
          <w:t xml:space="preserve">https://www.beneschlaw.com/insight/2025-trade-secret-and-restrictive-covenant-year-in-review/</w:t>
        </w:r>
      </w:hyperlink>
      <w:r w:rsidDel="00000000" w:rsidR="00000000" w:rsidRPr="00000000">
        <w:rPr>
          <w:rtl w:val="0"/>
        </w:rPr>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FTC's Recent Crackdown on Noncompete Agreements: Practical Advice for Employers in a Changing Regulatory Landscape | WyrickRobbins, accessed April 15, 2026, </w:t>
      </w:r>
      <w:hyperlink r:id="rId38">
        <w:r w:rsidDel="00000000" w:rsidR="00000000" w:rsidRPr="00000000">
          <w:rPr>
            <w:rFonts w:ascii="Google Sans" w:cs="Google Sans" w:eastAsia="Google Sans" w:hAnsi="Google Sans"/>
            <w:color w:val="0000ee"/>
            <w:sz w:val="24"/>
            <w:szCs w:val="24"/>
            <w:u w:val="single"/>
            <w:rtl w:val="0"/>
          </w:rPr>
          <w:t xml:space="preserve">https://www.wyrick.com/news-insights/the-ftcs-recent-crackdown-on-noncompete-agreements-practical-advice-for-employers-in-a-changing-regulatory-landscape</w:t>
        </w:r>
      </w:hyperlink>
      <w:r w:rsidDel="00000000" w:rsidR="00000000" w:rsidRPr="00000000">
        <w:rPr>
          <w:rtl w:val="0"/>
        </w:rPr>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Irrevocable Master Fee Protection Agreement Template - Freshdox, accessed April 15, 2026, </w:t>
      </w:r>
      <w:hyperlink r:id="rId39">
        <w:r w:rsidDel="00000000" w:rsidR="00000000" w:rsidRPr="00000000">
          <w:rPr>
            <w:rFonts w:ascii="Google Sans" w:cs="Google Sans" w:eastAsia="Google Sans" w:hAnsi="Google Sans"/>
            <w:color w:val="0000ee"/>
            <w:sz w:val="24"/>
            <w:szCs w:val="24"/>
            <w:u w:val="single"/>
            <w:rtl w:val="0"/>
          </w:rPr>
          <w:t xml:space="preserve">https://www.freshdox.com/document/irrevocable-master-fee-protection-agreement-template/</w:t>
        </w:r>
      </w:hyperlink>
      <w:r w:rsidDel="00000000" w:rsidR="00000000" w:rsidRPr="00000000">
        <w:rPr>
          <w:rtl w:val="0"/>
        </w:rPr>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February 10, 2026 - Orange County Board of Supervisors, accessed April 15, 2026, </w:t>
      </w:r>
      <w:hyperlink r:id="rId40">
        <w:r w:rsidDel="00000000" w:rsidR="00000000" w:rsidRPr="00000000">
          <w:rPr>
            <w:rFonts w:ascii="Google Sans" w:cs="Google Sans" w:eastAsia="Google Sans" w:hAnsi="Google Sans"/>
            <w:color w:val="0000ee"/>
            <w:sz w:val="24"/>
            <w:szCs w:val="24"/>
            <w:u w:val="single"/>
            <w:rtl w:val="0"/>
          </w:rPr>
          <w:t xml:space="preserve">https://board.oc.gov/sites/bos.egovoc.com/files/2026-02/rev-sup02102026_3.pdf</w:t>
        </w:r>
      </w:hyperlink>
      <w:r w:rsidDel="00000000" w:rsidR="00000000" w:rsidRPr="00000000">
        <w:rPr>
          <w:rtl w:val="0"/>
        </w:rPr>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 Noncompete Agreements: What the Law Allows, What Courts Enforce, and What Changed in 2025, accessed April 15, 2026, </w:t>
      </w:r>
      <w:hyperlink r:id="rId41">
        <w:r w:rsidDel="00000000" w:rsidR="00000000" w:rsidRPr="00000000">
          <w:rPr>
            <w:rFonts w:ascii="Google Sans" w:cs="Google Sans" w:eastAsia="Google Sans" w:hAnsi="Google Sans"/>
            <w:color w:val="0000ee"/>
            <w:sz w:val="24"/>
            <w:szCs w:val="24"/>
            <w:u w:val="single"/>
            <w:rtl w:val="0"/>
          </w:rPr>
          <w:t xml:space="preserve">https://www.hoyerlawgroup.com/florida-noncompete-agreements-what-the-law-allows-what-courts-enforce-and-what-changed-in-2025/</w:t>
        </w:r>
      </w:hyperlink>
      <w:r w:rsidDel="00000000" w:rsidR="00000000" w:rsidRPr="00000000">
        <w:rPr>
          <w:rtl w:val="0"/>
        </w:rPr>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NCNDA + IMFPA Clause Samples - Law Insider, accessed April 15, 2026, </w:t>
      </w:r>
      <w:hyperlink r:id="rId42">
        <w:r w:rsidDel="00000000" w:rsidR="00000000" w:rsidRPr="00000000">
          <w:rPr>
            <w:rFonts w:ascii="Google Sans" w:cs="Google Sans" w:eastAsia="Google Sans" w:hAnsi="Google Sans"/>
            <w:color w:val="0000ee"/>
            <w:sz w:val="24"/>
            <w:szCs w:val="24"/>
            <w:u w:val="single"/>
            <w:rtl w:val="0"/>
          </w:rPr>
          <w:t xml:space="preserve">https://www.lawinsider.com/clause/ncnda-imfpa</w:t>
        </w:r>
      </w:hyperlink>
      <w:r w:rsidDel="00000000" w:rsidR="00000000" w:rsidRPr="00000000">
        <w:rPr>
          <w:rtl w:val="0"/>
        </w:rPr>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NCNDA-IMFPA Agreement Overview | PDF | Wire Transfer | Payments - Scribd, accessed April 15, 2026, </w:t>
      </w:r>
      <w:hyperlink r:id="rId43">
        <w:r w:rsidDel="00000000" w:rsidR="00000000" w:rsidRPr="00000000">
          <w:rPr>
            <w:rFonts w:ascii="Google Sans" w:cs="Google Sans" w:eastAsia="Google Sans" w:hAnsi="Google Sans"/>
            <w:color w:val="0000ee"/>
            <w:sz w:val="24"/>
            <w:szCs w:val="24"/>
            <w:u w:val="single"/>
            <w:rtl w:val="0"/>
          </w:rPr>
          <w:t xml:space="preserve">https://www.scribd.com/document/194908163/NCNDA-S</w:t>
        </w:r>
      </w:hyperlink>
      <w:r w:rsidDel="00000000" w:rsidR="00000000" w:rsidRPr="00000000">
        <w:rPr>
          <w:rtl w:val="0"/>
        </w:rPr>
      </w:r>
    </w:p>
    <w:p w:rsidR="00000000" w:rsidDel="00000000" w:rsidP="00000000" w:rsidRDefault="00000000" w:rsidRPr="00000000" w14:paraId="0000014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IMPFA (Irrevocable master fee protection agreement) advice for compliance - Reddit, accessed April 15, 2026, </w:t>
      </w:r>
      <w:hyperlink r:id="rId44">
        <w:r w:rsidDel="00000000" w:rsidR="00000000" w:rsidRPr="00000000">
          <w:rPr>
            <w:rFonts w:ascii="Google Sans" w:cs="Google Sans" w:eastAsia="Google Sans" w:hAnsi="Google Sans"/>
            <w:color w:val="0000ee"/>
            <w:sz w:val="24"/>
            <w:szCs w:val="24"/>
            <w:u w:val="single"/>
            <w:rtl w:val="0"/>
          </w:rPr>
          <w:t xml:space="preserve">https://www.reddit.com/r/legaladvice/comments/1htrp2u/impfa_irrevocable_master_fee_protection_agreement/</w:t>
        </w:r>
      </w:hyperlink>
      <w:r w:rsidDel="00000000" w:rsidR="00000000" w:rsidRPr="00000000">
        <w:rPr>
          <w:rtl w:val="0"/>
        </w:rPr>
      </w:r>
    </w:p>
    <w:p w:rsidR="00000000" w:rsidDel="00000000" w:rsidP="00000000" w:rsidRDefault="00000000" w:rsidRPr="00000000" w14:paraId="0000014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2017-2026 Form ICC Non-Circumvention Non-Disclosure &amp; Working Agreement (NCNDA) Irrevocable Master Fee Protection Agreement (IMFPA) - Blank Fillable Template | Fill Out, Print &amp; Download PDF | pdfFiller, accessed April 15, 2026, </w:t>
      </w:r>
      <w:hyperlink r:id="rId45">
        <w:r w:rsidDel="00000000" w:rsidR="00000000" w:rsidRPr="00000000">
          <w:rPr>
            <w:rFonts w:ascii="Google Sans" w:cs="Google Sans" w:eastAsia="Google Sans" w:hAnsi="Google Sans"/>
            <w:color w:val="0000ee"/>
            <w:sz w:val="24"/>
            <w:szCs w:val="24"/>
            <w:u w:val="single"/>
            <w:rtl w:val="0"/>
          </w:rPr>
          <w:t xml:space="preserve">https://imfpa-agreement-word-format.pdffiller.com/</w:t>
        </w:r>
      </w:hyperlink>
      <w:r w:rsidDel="00000000" w:rsidR="00000000" w:rsidRPr="00000000">
        <w:rPr>
          <w:rtl w:val="0"/>
        </w:rPr>
      </w:r>
    </w:p>
    <w:p w:rsidR="00000000" w:rsidDel="00000000" w:rsidP="00000000" w:rsidRDefault="00000000" w:rsidRPr="00000000" w14:paraId="0000014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Proposed Rule: Employee or Independent Contractor Status Under the Fair Labor Standards Act, Family and Medical Leave Act, and Migrant and Seasonal Agricultural Worker Protection Act, RIN 1235-AA46, accessed April 15, 2026, </w:t>
      </w:r>
      <w:hyperlink r:id="rId46">
        <w:r w:rsidDel="00000000" w:rsidR="00000000" w:rsidRPr="00000000">
          <w:rPr>
            <w:rFonts w:ascii="Google Sans" w:cs="Google Sans" w:eastAsia="Google Sans" w:hAnsi="Google Sans"/>
            <w:color w:val="0000ee"/>
            <w:sz w:val="24"/>
            <w:szCs w:val="24"/>
            <w:u w:val="single"/>
            <w:rtl w:val="0"/>
          </w:rPr>
          <w:t xml:space="preserve">https://www.dol.gov/agencies/whd/flsa/misclassification/2026rulemaking</w:t>
        </w:r>
      </w:hyperlink>
      <w:r w:rsidDel="00000000" w:rsidR="00000000" w:rsidRPr="00000000">
        <w:rPr>
          <w:rtl w:val="0"/>
        </w:rPr>
      </w:r>
    </w:p>
    <w:p w:rsidR="00000000" w:rsidDel="00000000" w:rsidP="00000000" w:rsidRDefault="00000000" w:rsidRPr="00000000" w14:paraId="000001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Appellate Update - April 2026 - Quinn Emanuel, accessed April 15, 2026, </w:t>
      </w:r>
      <w:hyperlink r:id="rId47">
        <w:r w:rsidDel="00000000" w:rsidR="00000000" w:rsidRPr="00000000">
          <w:rPr>
            <w:rFonts w:ascii="Google Sans" w:cs="Google Sans" w:eastAsia="Google Sans" w:hAnsi="Google Sans"/>
            <w:color w:val="0000ee"/>
            <w:sz w:val="24"/>
            <w:szCs w:val="24"/>
            <w:u w:val="single"/>
            <w:rtl w:val="0"/>
          </w:rPr>
          <w:t xml:space="preserve">https://www.quinnemanuel.com/the-firm/publications/appellate-update-april-2026/</w:t>
        </w:r>
      </w:hyperlink>
      <w:r w:rsidDel="00000000" w:rsidR="00000000" w:rsidRPr="00000000">
        <w:rPr>
          <w:rtl w:val="0"/>
        </w:rPr>
      </w:r>
    </w:p>
    <w:p w:rsidR="00000000" w:rsidDel="00000000" w:rsidP="00000000" w:rsidRDefault="00000000" w:rsidRPr="00000000" w14:paraId="0000014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February 2026 in Brief: Business Litigation &amp; Dispute Resolution - American Bar Association, accessed April 15, 2026, </w:t>
      </w:r>
      <w:hyperlink r:id="rId48">
        <w:r w:rsidDel="00000000" w:rsidR="00000000" w:rsidRPr="00000000">
          <w:rPr>
            <w:rFonts w:ascii="Google Sans" w:cs="Google Sans" w:eastAsia="Google Sans" w:hAnsi="Google Sans"/>
            <w:color w:val="0000ee"/>
            <w:sz w:val="24"/>
            <w:szCs w:val="24"/>
            <w:u w:val="single"/>
            <w:rtl w:val="0"/>
          </w:rPr>
          <w:t xml:space="preserve">https://www.americanbar.org/groups/business_law/resources/business-law-today/2026-february/in-brief-business-litigation-dispute-resolution/</w:t>
        </w:r>
      </w:hyperlink>
      <w:r w:rsidDel="00000000" w:rsidR="00000000" w:rsidRPr="00000000">
        <w:rPr>
          <w:rtl w:val="0"/>
        </w:rPr>
      </w:r>
    </w:p>
    <w:p w:rsidR="00000000" w:rsidDel="00000000" w:rsidP="00000000" w:rsidRDefault="00000000" w:rsidRPr="00000000" w14:paraId="000001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Supreme Court's 2025–26 Term: Key Cases for Business Lawyers, accessed April 15, 2026, </w:t>
      </w:r>
      <w:hyperlink r:id="rId49">
        <w:r w:rsidDel="00000000" w:rsidR="00000000" w:rsidRPr="00000000">
          <w:rPr>
            <w:rFonts w:ascii="Google Sans" w:cs="Google Sans" w:eastAsia="Google Sans" w:hAnsi="Google Sans"/>
            <w:color w:val="0000ee"/>
            <w:sz w:val="24"/>
            <w:szCs w:val="24"/>
            <w:u w:val="single"/>
            <w:rtl w:val="0"/>
          </w:rPr>
          <w:t xml:space="preserve">https://businesslawtoday.org/2026/04/the-supreme-courts-2025-26-term-key-cases-for-business-lawyers/</w:t>
        </w:r>
      </w:hyperlink>
      <w:r w:rsidDel="00000000" w:rsidR="00000000" w:rsidRPr="00000000">
        <w:rPr>
          <w:rtl w:val="0"/>
        </w:rPr>
      </w:r>
    </w:p>
    <w:p w:rsidR="00000000" w:rsidDel="00000000" w:rsidP="00000000" w:rsidRDefault="00000000" w:rsidRPr="00000000" w14:paraId="0000015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Delaware Supreme Court holds consideration for restrictive covenant is measured at formation | ReedSmith, accessed April 15, 2026, </w:t>
      </w:r>
      <w:hyperlink r:id="rId50">
        <w:r w:rsidDel="00000000" w:rsidR="00000000" w:rsidRPr="00000000">
          <w:rPr>
            <w:rFonts w:ascii="Google Sans" w:cs="Google Sans" w:eastAsia="Google Sans" w:hAnsi="Google Sans"/>
            <w:color w:val="0000ee"/>
            <w:sz w:val="24"/>
            <w:szCs w:val="24"/>
            <w:u w:val="single"/>
            <w:rtl w:val="0"/>
          </w:rPr>
          <w:t xml:space="preserve">https://www.reedsmith.com/our-insights/blogs/viewpoints/102mi6j/delaware-supreme-court-holds-consideration-for-restrictive-covenant-is-measured-a/</w:t>
        </w:r>
      </w:hyperlink>
      <w:r w:rsidDel="00000000" w:rsidR="00000000" w:rsidRPr="00000000">
        <w:rPr>
          <w:rtl w:val="0"/>
        </w:rPr>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Start at the Very Beginning: Delaware Supreme Court Reaffirms That Consideration for Restrictive Covenants Is Measured at Contract Formation, Not Time of Enforcement - Seyfarth Shaw, accessed April 15, 2026, </w:t>
      </w:r>
      <w:hyperlink r:id="rId51">
        <w:r w:rsidDel="00000000" w:rsidR="00000000" w:rsidRPr="00000000">
          <w:rPr>
            <w:rFonts w:ascii="Google Sans" w:cs="Google Sans" w:eastAsia="Google Sans" w:hAnsi="Google Sans"/>
            <w:color w:val="0000ee"/>
            <w:sz w:val="24"/>
            <w:szCs w:val="24"/>
            <w:u w:val="single"/>
            <w:rtl w:val="0"/>
          </w:rPr>
          <w:t xml:space="preserve">https://www.seyfarth.com/news-insights/lets-start-at-the-very-beginning-delaware-supreme-court-reaffirms-that-consideration-for-restrictive-covenants-is-measured-at-contract-formation-not-time-of-enforcement.html</w:t>
        </w:r>
      </w:hyperlink>
      <w:r w:rsidDel="00000000" w:rsidR="00000000" w:rsidRPr="00000000">
        <w:rPr>
          <w:rtl w:val="0"/>
        </w:rPr>
      </w:r>
    </w:p>
    <w:p w:rsidR="00000000" w:rsidDel="00000000" w:rsidP="00000000" w:rsidRDefault="00000000" w:rsidRPr="00000000" w14:paraId="0000015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Delaware Supreme Court Says Employer Can Enforce Restrictive Covenants After Revoking Ex-Employee's Equity | JD Supra, accessed April 15, 2026, </w:t>
      </w:r>
      <w:hyperlink r:id="rId52">
        <w:r w:rsidDel="00000000" w:rsidR="00000000" w:rsidRPr="00000000">
          <w:rPr>
            <w:rFonts w:ascii="Google Sans" w:cs="Google Sans" w:eastAsia="Google Sans" w:hAnsi="Google Sans"/>
            <w:color w:val="0000ee"/>
            <w:sz w:val="24"/>
            <w:szCs w:val="24"/>
            <w:u w:val="single"/>
            <w:rtl w:val="0"/>
          </w:rPr>
          <w:t xml:space="preserve">https://www.jdsupra.com/legalnews/delaware-supreme-court-says-employer-2018876/</w:t>
        </w:r>
      </w:hyperlink>
      <w:r w:rsidDel="00000000" w:rsidR="00000000" w:rsidRPr="00000000">
        <w:rPr>
          <w:rtl w:val="0"/>
        </w:rPr>
      </w:r>
    </w:p>
    <w:p w:rsidR="00000000" w:rsidDel="00000000" w:rsidP="00000000" w:rsidRDefault="00000000" w:rsidRPr="00000000" w14:paraId="000001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Consider This — Delaware Supreme Court Clarifies Timing of When Consideration is Necessary for Restrictive Covenants | Foley &amp; Lardner, accessed April 15, 2026, </w:t>
      </w:r>
      <w:hyperlink r:id="rId53">
        <w:r w:rsidDel="00000000" w:rsidR="00000000" w:rsidRPr="00000000">
          <w:rPr>
            <w:rFonts w:ascii="Google Sans" w:cs="Google Sans" w:eastAsia="Google Sans" w:hAnsi="Google Sans"/>
            <w:color w:val="0000ee"/>
            <w:sz w:val="24"/>
            <w:szCs w:val="24"/>
            <w:u w:val="single"/>
            <w:rtl w:val="0"/>
          </w:rPr>
          <w:t xml:space="preserve">https://www.foley.com/insights/publications/2026/02/consider-this-delaware-supreme-court-clarifies-timing-of-when-consideration-is-necessary-for-restrictive-covenants/</w:t>
        </w:r>
      </w:hyperlink>
      <w:r w:rsidDel="00000000" w:rsidR="00000000" w:rsidRPr="00000000">
        <w:rPr>
          <w:rtl w:val="0"/>
        </w:rPr>
      </w:r>
    </w:p>
    <w:p w:rsidR="00000000" w:rsidDel="00000000" w:rsidP="00000000" w:rsidRDefault="00000000" w:rsidRPr="00000000" w14:paraId="0000015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Blanket Non-Competes Under Fire: What the FTC's Gateway Action Means for Employers, accessed April 15, 2026, </w:t>
      </w:r>
      <w:hyperlink r:id="rId54">
        <w:r w:rsidDel="00000000" w:rsidR="00000000" w:rsidRPr="00000000">
          <w:rPr>
            <w:rFonts w:ascii="Google Sans" w:cs="Google Sans" w:eastAsia="Google Sans" w:hAnsi="Google Sans"/>
            <w:color w:val="0000ee"/>
            <w:sz w:val="24"/>
            <w:szCs w:val="24"/>
            <w:u w:val="single"/>
            <w:rtl w:val="0"/>
          </w:rPr>
          <w:t xml:space="preserve">https://www.akerman.com/en/perspectives/hrdef-blanket-non-competes-under-fire-what-the-ftcs-gateway-action-means-for-employers.html</w:t>
        </w:r>
      </w:hyperlink>
      <w:r w:rsidDel="00000000" w:rsidR="00000000" w:rsidRPr="00000000">
        <w:rPr>
          <w:rtl w:val="0"/>
        </w:rPr>
      </w:r>
    </w:p>
    <w:p w:rsidR="00000000" w:rsidDel="00000000" w:rsidP="00000000" w:rsidRDefault="00000000" w:rsidRPr="00000000" w14:paraId="000001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Noncompetes - A State By State Survey - Beck Reed ..., accessed April 15, 2026, </w:t>
      </w:r>
      <w:hyperlink r:id="rId55">
        <w:r w:rsidDel="00000000" w:rsidR="00000000" w:rsidRPr="00000000">
          <w:rPr>
            <w:rFonts w:ascii="Google Sans" w:cs="Google Sans" w:eastAsia="Google Sans" w:hAnsi="Google Sans"/>
            <w:color w:val="0000ee"/>
            <w:sz w:val="24"/>
            <w:szCs w:val="24"/>
            <w:u w:val="single"/>
            <w:rtl w:val="0"/>
          </w:rPr>
          <w:t xml:space="preserve">https://beckreedriden.com/wp-content/uploads/2024/02/BRR-Noncompetes-20240219-50-State-Noncompete-Survey-Chart.pdf</w:t>
        </w:r>
      </w:hyperlink>
      <w:r w:rsidDel="00000000" w:rsidR="00000000" w:rsidRPr="00000000">
        <w:rPr>
          <w:rtl w:val="0"/>
        </w:rPr>
      </w:r>
    </w:p>
    <w:p w:rsidR="00000000" w:rsidDel="00000000" w:rsidP="00000000" w:rsidRDefault="00000000" w:rsidRPr="00000000" w14:paraId="0000015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Washington's Recently Amended Non-Competition Restrictions Render Past or Existing Covenants Unenforceable - Jackson Lewis, accessed April 15, 2026, </w:t>
      </w:r>
      <w:hyperlink r:id="rId56">
        <w:r w:rsidDel="00000000" w:rsidR="00000000" w:rsidRPr="00000000">
          <w:rPr>
            <w:rFonts w:ascii="Google Sans" w:cs="Google Sans" w:eastAsia="Google Sans" w:hAnsi="Google Sans"/>
            <w:color w:val="0000ee"/>
            <w:sz w:val="24"/>
            <w:szCs w:val="24"/>
            <w:u w:val="single"/>
            <w:rtl w:val="0"/>
          </w:rPr>
          <w:t xml:space="preserve">https://www.jacksonlewis.com/insights/washingtons-recently-amended-non-competition-restrictions-render-past-or-existing-covenants-unenforceable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oard.oc.gov/sites/bos.egovoc.com/files/2026-02/rev-sup02102026_3.pdf" TargetMode="External"/><Relationship Id="rId42" Type="http://schemas.openxmlformats.org/officeDocument/2006/relationships/hyperlink" Target="https://www.lawinsider.com/clause/ncnda-imfpa" TargetMode="External"/><Relationship Id="rId41" Type="http://schemas.openxmlformats.org/officeDocument/2006/relationships/hyperlink" Target="https://www.hoyerlawgroup.com/florida-noncompete-agreements-what-the-law-allows-what-courts-enforce-and-what-changed-in-2025/" TargetMode="External"/><Relationship Id="rId44" Type="http://schemas.openxmlformats.org/officeDocument/2006/relationships/hyperlink" Target="https://www.reddit.com/r/legaladvice/comments/1htrp2u/impfa_irrevocable_master_fee_protection_agreement/" TargetMode="External"/><Relationship Id="rId43" Type="http://schemas.openxmlformats.org/officeDocument/2006/relationships/hyperlink" Target="https://www.scribd.com/document/194908163/NCNDA-S" TargetMode="External"/><Relationship Id="rId46" Type="http://schemas.openxmlformats.org/officeDocument/2006/relationships/hyperlink" Target="https://www.dol.gov/agencies/whd/flsa/misclassification/2026rulemaking" TargetMode="External"/><Relationship Id="rId45" Type="http://schemas.openxmlformats.org/officeDocument/2006/relationships/hyperlink" Target="https://imfpa-agreement-word-format.pdffill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rkinhoffman.com/employment-labor-blog/the-ftcs-aggressive-approach-to-non-compete-agreements" TargetMode="External"/><Relationship Id="rId48" Type="http://schemas.openxmlformats.org/officeDocument/2006/relationships/hyperlink" Target="https://www.americanbar.org/groups/business_law/resources/business-law-today/2026-february/in-brief-business-litigation-dispute-resolution/" TargetMode="External"/><Relationship Id="rId47" Type="http://schemas.openxmlformats.org/officeDocument/2006/relationships/hyperlink" Target="https://www.quinnemanuel.com/the-firm/publications/appellate-update-april-2026/" TargetMode="External"/><Relationship Id="rId49" Type="http://schemas.openxmlformats.org/officeDocument/2006/relationships/hyperlink" Target="https://businesslawtoday.org/2026/04/the-supreme-courts-2025-26-term-key-cases-for-business-lawyers/" TargetMode="External"/><Relationship Id="rId5" Type="http://schemas.openxmlformats.org/officeDocument/2006/relationships/styles" Target="styles.xml"/><Relationship Id="rId6" Type="http://schemas.openxmlformats.org/officeDocument/2006/relationships/hyperlink" Target="https://zimmermanatlantalaw.com/blog/what-is-the-difference-between-a-non-disclosure-agreement-and-a-non-compete-agreement/" TargetMode="External"/><Relationship Id="rId7" Type="http://schemas.openxmlformats.org/officeDocument/2006/relationships/hyperlink" Target="https://www.sirion.ai/library/contracts/nda-vs-non-compete-agreement/" TargetMode="External"/><Relationship Id="rId8" Type="http://schemas.openxmlformats.org/officeDocument/2006/relationships/hyperlink" Target="https://ogletree.com/insights-resources/blog-posts/ftc-finalizes-consent-order-requiring-employer-to-end-blanket-noncompete-agreements/" TargetMode="External"/><Relationship Id="rId31" Type="http://schemas.openxmlformats.org/officeDocument/2006/relationships/hyperlink" Target="https://knowledge.dlapiper.com/dlapiperknowledge/globalemploymentlatestdevelopments/2025/florida-CHOICE-act-expanding-employer-non-compete-options-takes-effect" TargetMode="External"/><Relationship Id="rId30" Type="http://schemas.openxmlformats.org/officeDocument/2006/relationships/hyperlink" Target="https://www.beckersasc.com/asc-news/noncompete-laws-in-2026-state-by-state-breakdown/" TargetMode="External"/><Relationship Id="rId33" Type="http://schemas.openxmlformats.org/officeDocument/2006/relationships/hyperlink" Target="https://www.meridiancp.com/insights/florida-strengthens-non-compete-restrictions/" TargetMode="External"/><Relationship Id="rId32" Type="http://schemas.openxmlformats.org/officeDocument/2006/relationships/hyperlink" Target="https://www.carusolawoffice.com/post/2025-choice-act-florida-noncompete-and-garden-leave-agreements" TargetMode="External"/><Relationship Id="rId35" Type="http://schemas.openxmlformats.org/officeDocument/2006/relationships/hyperlink" Target="https://natlawreview.com/article/virginia-governor-signs-senate-bill-170-targeting-noncompete-agreements" TargetMode="External"/><Relationship Id="rId34" Type="http://schemas.openxmlformats.org/officeDocument/2006/relationships/hyperlink" Target="https://www.bakerdonelson.com/virginia-tightens-the-screws-on-non-competes-again" TargetMode="External"/><Relationship Id="rId37" Type="http://schemas.openxmlformats.org/officeDocument/2006/relationships/hyperlink" Target="https://www.beneschlaw.com/insight/2025-trade-secret-and-restrictive-covenant-year-in-review/" TargetMode="External"/><Relationship Id="rId36" Type="http://schemas.openxmlformats.org/officeDocument/2006/relationships/hyperlink" Target="https://www.foxrothschild.com/publications/delaware-supreme-court-holds-that-consideration-for-restrictive-covenants-is-determined-at-time-of-execution-not-enforcement" TargetMode="External"/><Relationship Id="rId39" Type="http://schemas.openxmlformats.org/officeDocument/2006/relationships/hyperlink" Target="https://www.freshdox.com/document/irrevocable-master-fee-protection-agreement-template/" TargetMode="External"/><Relationship Id="rId38" Type="http://schemas.openxmlformats.org/officeDocument/2006/relationships/hyperlink" Target="https://www.wyrick.com/news-insights/the-ftcs-recent-crackdown-on-noncompete-agreements-practical-advice-for-employers-in-a-changing-regulatory-landscape" TargetMode="External"/><Relationship Id="rId20" Type="http://schemas.openxmlformats.org/officeDocument/2006/relationships/hyperlink" Target="https://www.fisherphillips.com/en/insights/insights/ftc-turns-up-the-heat-for-noncompete-enforcement" TargetMode="External"/><Relationship Id="rId22" Type="http://schemas.openxmlformats.org/officeDocument/2006/relationships/hyperlink" Target="https://pro.bloomberglaw.com/insights/contracts/non-compete-law-state-survey/" TargetMode="External"/><Relationship Id="rId21" Type="http://schemas.openxmlformats.org/officeDocument/2006/relationships/hyperlink" Target="https://globallawexperts.com/understanding-the-legal-backbone-of-oil-trading-spas-ncndas-imfpas-beyond/" TargetMode="External"/><Relationship Id="rId24" Type="http://schemas.openxmlformats.org/officeDocument/2006/relationships/hyperlink" Target="https://katzbanks.com/noncompete-map/" TargetMode="External"/><Relationship Id="rId23" Type="http://schemas.openxmlformats.org/officeDocument/2006/relationships/hyperlink" Target="https://www.wsgr.com/en/insights/washington-states-expansive-new-non-compete-ban.html" TargetMode="External"/><Relationship Id="rId26" Type="http://schemas.openxmlformats.org/officeDocument/2006/relationships/hyperlink" Target="https://leglobal.law/2026/03/24/usa-dols-proposed-2026-independent-contractor-rule-what-employers-need-to-know/" TargetMode="External"/><Relationship Id="rId25" Type="http://schemas.openxmlformats.org/officeDocument/2006/relationships/hyperlink" Target="https://www.mayerbrown.com/en/insights/publications/2026/03/dol-proposes-new-independent-contractor-rule-to-replace-biden-era-regulation" TargetMode="External"/><Relationship Id="rId28" Type="http://schemas.openxmlformats.org/officeDocument/2006/relationships/hyperlink" Target="https://www.hklaw.com/en/insights/publications/2026/03/washington-state-bans-noncompete-agreements" TargetMode="External"/><Relationship Id="rId27" Type="http://schemas.openxmlformats.org/officeDocument/2006/relationships/hyperlink" Target="https://eig.org/state-noncompete-map/" TargetMode="External"/><Relationship Id="rId29" Type="http://schemas.openxmlformats.org/officeDocument/2006/relationships/hyperlink" Target="https://knowledge.dlapiper.com/dlapiperknowledge/globalemploymentlatestdevelopments/2026/Washington-State-enacts-broad-ban-on-non-competition-agreements" TargetMode="External"/><Relationship Id="rId51" Type="http://schemas.openxmlformats.org/officeDocument/2006/relationships/hyperlink" Target="https://www.seyfarth.com/news-insights/lets-start-at-the-very-beginning-delaware-supreme-court-reaffirms-that-consideration-for-restrictive-covenants-is-measured-at-contract-formation-not-time-of-enforcement.html" TargetMode="External"/><Relationship Id="rId50" Type="http://schemas.openxmlformats.org/officeDocument/2006/relationships/hyperlink" Target="https://www.reedsmith.com/our-insights/blogs/viewpoints/102mi6j/delaware-supreme-court-holds-consideration-for-restrictive-covenant-is-measured-a/" TargetMode="External"/><Relationship Id="rId53" Type="http://schemas.openxmlformats.org/officeDocument/2006/relationships/hyperlink" Target="https://www.foley.com/insights/publications/2026/02/consider-this-delaware-supreme-court-clarifies-timing-of-when-consideration-is-necessary-for-restrictive-covenants/" TargetMode="External"/><Relationship Id="rId52" Type="http://schemas.openxmlformats.org/officeDocument/2006/relationships/hyperlink" Target="https://www.jdsupra.com/legalnews/delaware-supreme-court-says-employer-2018876/" TargetMode="External"/><Relationship Id="rId11" Type="http://schemas.openxmlformats.org/officeDocument/2006/relationships/hyperlink" Target="https://www.goodwinlaw.com/en/insights/publications/2026/03/insights-finance-cfs-yir-major-us-supreme-court-and-appellate" TargetMode="External"/><Relationship Id="rId55" Type="http://schemas.openxmlformats.org/officeDocument/2006/relationships/hyperlink" Target="https://beckreedriden.com/wp-content/uploads/2024/02/BRR-Noncompetes-20240219-50-State-Noncompete-Survey-Chart.pdf" TargetMode="External"/><Relationship Id="rId10" Type="http://schemas.openxmlformats.org/officeDocument/2006/relationships/hyperlink" Target="https://katzbanks.com/employment-law-blog/noncompete-agreements-whats-the-status-of-laws-restricting-them-nationwide-march-2026-update/" TargetMode="External"/><Relationship Id="rId54" Type="http://schemas.openxmlformats.org/officeDocument/2006/relationships/hyperlink" Target="https://www.akerman.com/en/perspectives/hrdef-blanket-non-competes-under-fire-what-the-ftcs-gateway-action-means-for-employers.html" TargetMode="External"/><Relationship Id="rId13" Type="http://schemas.openxmlformats.org/officeDocument/2006/relationships/hyperlink" Target="https://www.adobe.com/acrobat/business/hub/difference-between-ndas-and-non-compete-agreements.html" TargetMode="External"/><Relationship Id="rId12" Type="http://schemas.openxmlformats.org/officeDocument/2006/relationships/hyperlink" Target="https://www.hutchingslawgroup.com/blogs/5088/what-are-the-differences-between-a-non-compete-and-nda" TargetMode="External"/><Relationship Id="rId56" Type="http://schemas.openxmlformats.org/officeDocument/2006/relationships/hyperlink" Target="https://www.jacksonlewis.com/insights/washingtons-recently-amended-non-competition-restrictions-render-past-or-existing-covenants-unenforceable" TargetMode="External"/><Relationship Id="rId15" Type="http://schemas.openxmlformats.org/officeDocument/2006/relationships/hyperlink" Target="https://www.ubglaw.com/news-and-media/ndas-and-contracts-how-to-structure-an-enforceable-non-disclosure-agreement" TargetMode="External"/><Relationship Id="rId14" Type="http://schemas.openxmlformats.org/officeDocument/2006/relationships/hyperlink" Target="https://www.bamboohr.com/blog/ndas-and-non-compete-agreements" TargetMode="External"/><Relationship Id="rId17" Type="http://schemas.openxmlformats.org/officeDocument/2006/relationships/hyperlink" Target="https://www.lawinsider.com/clause/imfpa-irrevocable-master-fee-protection-agreement" TargetMode="External"/><Relationship Id="rId16" Type="http://schemas.openxmlformats.org/officeDocument/2006/relationships/hyperlink" Target="https://ohio-employmentlawyer.com/restrictive-covenants-in-ohio-a-complete-guide-to-non-compete-and-non-solicitation-agreement-enforceability/" TargetMode="External"/><Relationship Id="rId19" Type="http://schemas.openxmlformats.org/officeDocument/2006/relationships/hyperlink" Target="https://www.grsm.com/insight/breaking-the-bind-washington-bans-non-compete-agreements/" TargetMode="External"/><Relationship Id="rId18" Type="http://schemas.openxmlformats.org/officeDocument/2006/relationships/hyperlink" Target="https://i-c-c-ncnda-imfpa-template.pdffill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