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t>{{Review Title — Deep Review}}</w:t>
      </w:r>
    </w:p>
    <w:p>
      <w:pPr>
        <w:pStyle w:val="ReviewSubtitle"/>
      </w:pPr>
      <w:r>
        <w:t>{{Italic subtitle framing scope and dual-track coverage}}</w:t>
      </w:r>
    </w:p>
    <w:p>
      <w:pPr>
        <w:pStyle w:val="MetaLine"/>
      </w:pPr>
      <w:r>
        <w:t>{{Review ID}} · {{v1.0}} · {{YYYY-MM-DD}} · Field: {{field}} · Evidence cutoff: {{YYYY-MM-DD}}</w:t>
      </w:r>
    </w:p>
    <w:p>
      <w:pPr>
        <w:pStyle w:val="AbstractBlock"/>
      </w:pPr>
      <w:r>
        <w:t>{{Abstract — problem, scope, 3–5 headline findings (≥1 per track), evidence cutoff date.}}</w:t>
      </w:r>
    </w:p>
    <w:p>
      <w:pPr>
        <w:pStyle w:val="SectionHeading"/>
      </w:pPr>
      <w:r>
        <w:t>1  {{Scope &amp; Definitions}}</w:t>
      </w:r>
    </w:p>
    <w:p>
      <w:pPr/>
      <w:r>
        <w:t>{{Definition + boundary vs adjacent concepts; inclusion criteria; glossary.}}</w:t>
      </w:r>
    </w:p>
    <w:p>
      <w:pPr>
        <w:pStyle w:val="SectionHeading"/>
      </w:pPr>
      <w:r>
        <w:t>2  {{Historical Timeline}}</w:t>
      </w:r>
    </w:p>
    <w:p>
      <w:pPr/>
      <w:r>
        <w:t>{{5–9 milestones, each with year, event, why it mattered, primary citation.}}</w:t>
      </w:r>
    </w:p>
    <w:p>
      <w:pPr>
        <w:pStyle w:val="SectionHeading"/>
      </w:pPr>
      <w:r>
        <w:t>3  {{Landmark Works}}</w:t>
      </w:r>
    </w:p>
    <w:p>
      <w:pPr/>
      <w:r>
        <w:t>{{6–15 works; why each mattered, not restated abstracts.}}</w:t>
      </w:r>
    </w:p>
    <w:p>
      <w:pPr>
        <w:pStyle w:val="SectionHeading"/>
      </w:pPr>
      <w:r>
        <w:t>4  {{Mechanisms &amp; Paradigms}}</w:t>
      </w:r>
    </w:p>
    <w:p>
      <w:pPr/>
      <w:r>
        <w:t>{{Competing frameworks + the readouts that distinguish them.}}</w:t>
      </w:r>
    </w:p>
    <w:p>
      <w:pPr>
        <w:pStyle w:val="SectionHeading"/>
      </w:pPr>
      <w:r>
        <w:t>5  {{Academic Landscape}}</w:t>
      </w:r>
    </w:p>
    <w:p>
      <w:pPr>
        <w:pStyle w:val="SubsectionHeading"/>
      </w:pPr>
      <w:r>
        <w:t>5.1  {{Groups &amp; toolkit}}</w:t>
      </w:r>
    </w:p>
    <w:p>
      <w:pPr>
        <w:pStyle w:val="SubsectionHeading"/>
      </w:pPr>
      <w:r>
        <w:t>5.2  {{Activity trend — real OpenAlex counts; embed matplotlib PNG, 300 dpi, grayscale-safe, captioned}}</w:t>
      </w:r>
    </w:p>
    <w:p>
      <w:pPr>
        <w:pStyle w:val="SectionHeading"/>
      </w:pPr>
      <w:r>
        <w:t>6  {{Industrial Landscape}}</w:t>
      </w:r>
    </w:p>
    <w:p>
      <w:pPr>
        <w:pStyle w:val="SubsectionHeading"/>
      </w:pPr>
      <w:r>
        <w:t>6.1  {{Pipeline table — see below}}</w:t>
      </w:r>
    </w:p>
    <w:p>
      <w:pPr>
        <w:pStyle w:val="SubsectionHeading"/>
      </w:pPr>
      <w:r>
        <w:t>6.2  {{Deals &amp; financing (two-source rule)}}</w:t>
      </w:r>
    </w:p>
    <w:p>
      <w:pPr>
        <w:pStyle w:val="SubsectionHeading"/>
      </w:pPr>
      <w:r>
        <w:t>6.3  {{IP posture — facts only}}</w:t>
      </w:r>
    </w:p>
    <w:p>
      <w:pPr>
        <w:pStyle w:val="SectionHeading"/>
      </w:pPr>
      <w:r>
        <w:t>7  {{Research Fronts}}</w:t>
      </w:r>
    </w:p>
    <w:p>
      <w:pPr/>
      <w:r>
        <w:t>{{3–6 directions from the last 2–3 years with momentum evidence; preprints flagged.}}</w:t>
      </w:r>
    </w:p>
    <w:p>
      <w:pPr>
        <w:pStyle w:val="SectionHeading"/>
      </w:pPr>
      <w:r>
        <w:t>8  {{Open Problems}}</w:t>
      </w:r>
    </w:p>
    <w:p>
      <w:pPr/>
      <w:r>
        <w:t>{{5–10 problems ranked by importance × tractability; state this ranking is the report's assessment.}}</w:t>
      </w:r>
    </w:p>
    <w:p>
      <w:pPr>
        <w:pStyle w:val="SectionHeading"/>
      </w:pPr>
      <w:r>
        <w:t>9  {{Outlook}}</w:t>
      </w:r>
    </w:p>
    <w:p>
      <w:pPr>
        <w:pStyle w:val="SubsectionHeading"/>
      </w:pPr>
      <w:r>
        <w:t>9.1  {{For academic readers}}</w:t>
      </w:r>
    </w:p>
    <w:p>
      <w:pPr>
        <w:pStyle w:val="SubsectionHeading"/>
      </w:pPr>
      <w:r>
        <w:t>9.2  {{For industrial readers}}</w:t>
      </w:r>
    </w:p>
    <w:p>
      <w:pPr>
        <w:pStyle w:val="SectionHeading"/>
      </w:pPr>
      <w:r>
        <w:t>10  {{Methods: Search Strategy}}</w:t>
      </w:r>
    </w:p>
    <w:p>
      <w:pPr/>
      <w:r>
        <w:t>{{Databases, verbatim queries, run dates, PRISMA-lite counts, declared limitations.}}</w:t>
      </w:r>
    </w:p>
    <w:p>
      <w:pPr>
        <w:pStyle w:val="SectionHeading"/>
      </w:pPr>
      <w:r>
        <w:t>11  {{References}}</w:t>
      </w:r>
    </w:p>
    <w:p>
      <w:pPr/>
      <w:r>
        <w:t>{{Numbered, Vancouver/Nature style, hanging indent, one per line:}}</w:t>
      </w:r>
    </w:p>
    <w:p>
      <w:pPr/>
      <w:r>
        <w:t>{{Author}} {{Title}}. {{Journal}}. {{Year}};{{Vol}}:{{Pages}}. PMID: {{XXXXXXXX}} (or doi:{{…}})</w:t>
      </w:r>
    </w:p>
    <w:p>
      <w:pPr>
        <w:pStyle w:val="TableCaption"/>
      </w:pPr>
      <w:r>
        <w:t>{{Table 1. Pipeline landscape}}</w:t>
      </w:r>
    </w:p>
    <w:p>
      <w:pPr>
        <w:pStyle w:val="TableNote"/>
      </w:pPr>
      <w:r>
        <w:t>{{Stage = registry status where available; source + access date mandatory; two-source rule on volatile numbers.}}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insideH w:val="single" w:sz="0" w:color="000000"/>
          <w:insideV w:val="single" w:sz="0" w:color="000000"/>
          <w:left w:val="single" w:sz="0" w:color="000000"/>
          <w:right w:val="single" w:sz="0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pStyle w:val="TableText"/>
            </w:pPr>
            <w:r>
              <w:rPr>
                <w:b/>
              </w:rPr>
              <w:t>Company</w:t>
            </w:r>
          </w:p>
        </w:tc>
        <w:tc>
          <w:tcPr>
            <w:tcW w:type="dxa" w:w="1512"/>
          </w:tcPr>
          <w:p>
            <w:pPr>
              <w:pStyle w:val="TableText"/>
            </w:pPr>
            <w:r>
              <w:rPr>
                <w:b/>
              </w:rPr>
              <w:t>Program</w:t>
            </w:r>
          </w:p>
        </w:tc>
        <w:tc>
          <w:tcPr>
            <w:tcW w:type="dxa" w:w="1512"/>
          </w:tcPr>
          <w:p>
            <w:pPr>
              <w:pStyle w:val="TableText"/>
            </w:pPr>
            <w:r>
              <w:rPr>
                <w:b/>
              </w:rPr>
              <w:t>Target / modality</w:t>
            </w:r>
          </w:p>
        </w:tc>
        <w:tc>
          <w:tcPr>
            <w:tcW w:type="dxa" w:w="1512"/>
          </w:tcPr>
          <w:p>
            <w:pPr>
              <w:pStyle w:val="TableText"/>
            </w:pPr>
            <w:r>
              <w:rPr>
                <w:b/>
              </w:rPr>
              <w:t>Stage</w:t>
            </w:r>
          </w:p>
        </w:tc>
        <w:tc>
          <w:tcPr>
            <w:tcW w:type="dxa" w:w="1512"/>
          </w:tcPr>
          <w:p>
            <w:pPr>
              <w:pStyle w:val="TableText"/>
            </w:pPr>
            <w:r>
              <w:rPr>
                <w:b/>
              </w:rPr>
              <w:t>Indication</w:t>
            </w:r>
          </w:p>
        </w:tc>
        <w:tc>
          <w:tcPr>
            <w:tcW w:type="dxa" w:w="1512"/>
          </w:tcPr>
          <w:p>
            <w:pPr>
              <w:pStyle w:val="TableText"/>
            </w:pPr>
            <w:r>
              <w:rPr>
                <w:b/>
              </w:rPr>
              <w:t>Source</w:t>
            </w:r>
          </w:p>
        </w:tc>
      </w:tr>
      <w:tr>
        <w:tc>
          <w:tcPr>
            <w:tcW w:type="dxa" w:w="1512"/>
          </w:tcPr>
          <w:p>
            <w:pPr>
              <w:pStyle w:val="TableText"/>
            </w:pPr>
            <w:r>
              <w:t>{{company}}</w:t>
            </w:r>
          </w:p>
        </w:tc>
        <w:tc>
          <w:tcPr>
            <w:tcW w:type="dxa" w:w="1512"/>
          </w:tcPr>
          <w:p>
            <w:pPr>
              <w:pStyle w:val="TableText"/>
            </w:pPr>
            <w:r>
              <w:t>{{program}}</w:t>
            </w:r>
          </w:p>
        </w:tc>
        <w:tc>
          <w:tcPr>
            <w:tcW w:type="dxa" w:w="1512"/>
          </w:tcPr>
          <w:p>
            <w:pPr>
              <w:pStyle w:val="TableText"/>
            </w:pPr>
            <w:r>
              <w:t>{{target}}</w:t>
            </w:r>
          </w:p>
        </w:tc>
        <w:tc>
          <w:tcPr>
            <w:tcW w:type="dxa" w:w="1512"/>
          </w:tcPr>
          <w:p>
            <w:pPr>
              <w:pStyle w:val="TableText"/>
            </w:pPr>
            <w:r>
              <w:t>{{stage}}</w:t>
            </w:r>
          </w:p>
        </w:tc>
        <w:tc>
          <w:tcPr>
            <w:tcW w:type="dxa" w:w="1512"/>
          </w:tcPr>
          <w:p>
            <w:pPr>
              <w:pStyle w:val="TableText"/>
            </w:pPr>
            <w:r>
              <w:t>{{indication}}</w:t>
            </w:r>
          </w:p>
        </w:tc>
        <w:tc>
          <w:tcPr>
            <w:tcW w:type="dxa" w:w="1512"/>
          </w:tcPr>
          <w:p>
            <w:pPr>
              <w:pStyle w:val="TableText"/>
            </w:pPr>
            <w:r>
              <w:t>{{NCT / disclosure + date}}</w:t>
            </w:r>
          </w:p>
        </w:tc>
      </w:tr>
      <w:tr>
        <w:tc>
          <w:tcPr>
            <w:tcW w:type="dxa" w:w="1512"/>
          </w:tcPr>
          <w:p>
            <w:pPr>
              <w:pStyle w:val="TableText"/>
            </w:pPr>
            <w:r>
              <w:t>{{company}}</w:t>
            </w:r>
          </w:p>
        </w:tc>
        <w:tc>
          <w:tcPr>
            <w:tcW w:type="dxa" w:w="1512"/>
          </w:tcPr>
          <w:p>
            <w:pPr>
              <w:pStyle w:val="TableText"/>
            </w:pPr>
            <w:r>
              <w:t>{{program}}</w:t>
            </w:r>
          </w:p>
        </w:tc>
        <w:tc>
          <w:tcPr>
            <w:tcW w:type="dxa" w:w="1512"/>
          </w:tcPr>
          <w:p>
            <w:pPr>
              <w:pStyle w:val="TableText"/>
            </w:pPr>
            <w:r>
              <w:t>{{target}}</w:t>
            </w:r>
          </w:p>
        </w:tc>
        <w:tc>
          <w:tcPr>
            <w:tcW w:type="dxa" w:w="1512"/>
          </w:tcPr>
          <w:p>
            <w:pPr>
              <w:pStyle w:val="TableText"/>
            </w:pPr>
            <w:r>
              <w:t>{{stage}}</w:t>
            </w:r>
          </w:p>
        </w:tc>
        <w:tc>
          <w:tcPr>
            <w:tcW w:type="dxa" w:w="1512"/>
          </w:tcPr>
          <w:p>
            <w:pPr>
              <w:pStyle w:val="TableText"/>
            </w:pPr>
            <w:r>
              <w:t>{{indication}}</w:t>
            </w:r>
          </w:p>
        </w:tc>
        <w:tc>
          <w:tcPr>
            <w:tcW w:type="dxa" w:w="1512"/>
          </w:tcPr>
          <w:p>
            <w:pPr>
              <w:pStyle w:val="TableText"/>
            </w:pPr>
            <w:r>
              <w:t>{{NCT / disclosure + date}}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SimSun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Title"/>
    <w:basedOn w:val="Normal"/>
    <w:pPr>
      <w:spacing w:after="240"/>
      <w:jc w:val="center"/>
    </w:pPr>
    <w:rPr>
      <w:rFonts w:ascii="Times New Roman" w:hAnsi="Times New Roman" w:eastAsia="SimSun"/>
      <w:b/>
      <w:i w:val="0"/>
      <w:color w:val="000000"/>
      <w:sz w:val="32"/>
    </w:rPr>
  </w:style>
  <w:style w:type="paragraph" w:customStyle="1" w:styleId="ReviewSubtitle">
    <w:name w:val="ReviewSubtitle"/>
    <w:basedOn w:val="Normal"/>
    <w:pPr>
      <w:spacing w:after="480"/>
      <w:jc w:val="center"/>
    </w:pPr>
    <w:rPr>
      <w:rFonts w:ascii="Times New Roman" w:hAnsi="Times New Roman" w:eastAsia="SimSun"/>
      <w:b w:val="0"/>
      <w:i/>
      <w:color w:val="000000"/>
      <w:sz w:val="24"/>
    </w:rPr>
  </w:style>
  <w:style w:type="paragraph" w:customStyle="1" w:styleId="MetaLine">
    <w:name w:val="MetaLine"/>
    <w:basedOn w:val="Normal"/>
    <w:pPr>
      <w:spacing w:line="240" w:lineRule="auto" w:after="480"/>
      <w:jc w:val="center"/>
    </w:pPr>
    <w:rPr>
      <w:rFonts w:ascii="Times New Roman" w:hAnsi="Times New Roman" w:eastAsia="SimSun"/>
      <w:b w:val="0"/>
      <w:i w:val="0"/>
      <w:color w:val="000000"/>
      <w:sz w:val="20"/>
    </w:rPr>
  </w:style>
  <w:style w:type="paragraph" w:customStyle="1" w:styleId="SectionHeading">
    <w:name w:val="SectionHeading"/>
    <w:basedOn w:val="Normal"/>
    <w:pPr>
      <w:keepNext/>
      <w:spacing w:before="360" w:after="120"/>
    </w:pPr>
    <w:rPr>
      <w:rFonts w:ascii="Times New Roman" w:hAnsi="Times New Roman" w:eastAsia="SimSun"/>
      <w:b/>
      <w:i w:val="0"/>
      <w:color w:val="000000"/>
      <w:sz w:val="28"/>
    </w:rPr>
  </w:style>
  <w:style w:type="paragraph" w:customStyle="1" w:styleId="SubsectionHeading">
    <w:name w:val="SubsectionHeading"/>
    <w:basedOn w:val="Normal"/>
    <w:pPr>
      <w:keepNext/>
      <w:spacing w:before="240" w:after="120"/>
    </w:pPr>
    <w:rPr>
      <w:rFonts w:ascii="Times New Roman" w:hAnsi="Times New Roman" w:eastAsia="SimSun"/>
      <w:b/>
      <w:i/>
      <w:color w:val="000000"/>
      <w:sz w:val="24"/>
    </w:rPr>
  </w:style>
  <w:style w:type="paragraph" w:customStyle="1" w:styleId="AbstractBlock">
    <w:name w:val="AbstractBlock"/>
    <w:basedOn w:val="Normal"/>
    <w:pPr>
      <w:spacing w:after="360"/>
      <w:ind w:left="567" w:right="567"/>
    </w:pPr>
    <w:rPr>
      <w:rFonts w:ascii="Times New Roman" w:hAnsi="Times New Roman" w:eastAsia="SimSun"/>
      <w:b w:val="0"/>
      <w:i w:val="0"/>
      <w:color w:val="000000"/>
      <w:sz w:val="24"/>
    </w:rPr>
  </w:style>
  <w:style w:type="paragraph" w:customStyle="1" w:styleId="TableCaption">
    <w:name w:val="TableCaption"/>
    <w:basedOn w:val="Normal"/>
    <w:pPr>
      <w:keepNext/>
      <w:spacing w:line="240" w:lineRule="auto" w:before="200"/>
    </w:pPr>
    <w:rPr>
      <w:rFonts w:ascii="Times New Roman" w:hAnsi="Times New Roman" w:eastAsia="SimSun"/>
      <w:b/>
      <w:i w:val="0"/>
      <w:color w:val="000000"/>
      <w:sz w:val="20"/>
    </w:rPr>
  </w:style>
  <w:style w:type="paragraph" w:customStyle="1" w:styleId="TableNote">
    <w:name w:val="TableNote"/>
    <w:basedOn w:val="Normal"/>
    <w:pPr>
      <w:spacing w:line="240" w:lineRule="auto" w:after="200"/>
    </w:pPr>
    <w:rPr>
      <w:rFonts w:ascii="Times New Roman" w:hAnsi="Times New Roman" w:eastAsia="SimSun"/>
      <w:b w:val="0"/>
      <w:i w:val="0"/>
      <w:color w:val="000000"/>
      <w:sz w:val="18"/>
    </w:rPr>
  </w:style>
  <w:style w:type="paragraph" w:customStyle="1" w:styleId="TableText">
    <w:name w:val="TableText"/>
    <w:basedOn w:val="Normal"/>
    <w:pPr>
      <w:spacing w:line="240" w:lineRule="auto"/>
    </w:pPr>
    <w:rPr>
      <w:rFonts w:ascii="Times New Roman" w:hAnsi="Times New Roman" w:eastAsia="SimSun"/>
      <w:b w:val="0"/>
      <w:i w:val="0"/>
      <w:color w:val="000000"/>
      <w:sz w:val="20"/>
    </w:rPr>
  </w:style>
  <w:style w:type="paragraph" w:customStyle="1" w:styleId="ReferenceEntry">
    <w:name w:val="ReferenceEntry"/>
    <w:basedOn w:val="Normal"/>
    <w:pPr>
      <w:spacing w:line="240" w:lineRule="auto" w:after="120"/>
      <w:ind w:hanging="567" w:left="567"/>
    </w:pPr>
    <w:rPr>
      <w:rFonts w:ascii="Times New Roman" w:hAnsi="Times New Roman" w:eastAsia="SimSun"/>
      <w:b w:val="0"/>
      <w:i w:val="0"/>
      <w:color w:val="000000"/>
      <w:sz w:val="24"/>
    </w:rPr>
  </w:style>
  <w:style w:type="paragraph" w:customStyle="1" w:styleId="KeyPoint">
    <w:name w:val="KeyPoint"/>
    <w:basedOn w:val="Normal"/>
    <w:pPr>
      <w:spacing w:before="120" w:after="120"/>
      <w:ind w:left="567"/>
    </w:pPr>
    <w:rPr>
      <w:rFonts w:ascii="Times New Roman" w:hAnsi="Times New Roman" w:eastAsia="SimSun"/>
      <w:b w:val="0"/>
      <w:i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