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0" w:before="0"/>
        <w:jc w:val="center"/>
      </w:pPr>
      <w:r>
        <w:drawing>
          <wp:inline distT="0" distB="0" distL="0" distR="0">
            <wp:extent cx="3048000" cy="2286000"/>
            <wp:effectExtent t="0" r="0" b="0" l="0"/>
            <wp:docPr id="1" name="logo" descr="OPES Health Systems Logo" title="OPES Health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400" w:before="0"/>
      </w:pPr>
      <w:r>
        <w:t xml:space="preserve"/>
      </w:r>
    </w:p>
    <w:p>
      <w:pPr>
        <w:pBdr>
          <w:bottom w:val="single" w:color="0E692E" w:sz="20"/>
        </w:pBdr>
        <w:spacing w:after="60" w:before="0"/>
      </w:pPr>
      <w:r>
        <w:t xml:space="preserve"/>
      </w:r>
    </w:p>
    <w:p>
      <w:pPr>
        <w:spacing w:after="240" w:before="0"/>
      </w:pPr>
      <w:r>
        <w:t xml:space="preserve"/>
      </w:r>
    </w:p>
    <w:p>
      <w:pPr>
        <w:spacing w:after="0" w:before="0"/>
        <w:jc w:val="center"/>
      </w:pPr>
      <w:r>
        <w:rPr>
          <w:rFonts w:ascii="Arial" w:cs="Arial" w:eastAsia="Arial" w:hAnsi="Arial"/>
          <w:b/>
          <w:bCs/>
          <w:color w:val="1B3A5C"/>
          <w:sz w:val="36"/>
          <w:szCs w:val="36"/>
        </w:rPr>
        <w:t xml:space="preserve">MEMORANDUM AND ARTICLES OF ASSOCIATION</w:t>
      </w:r>
    </w:p>
    <w:p>
      <w:pPr>
        <w:spacing w:after="0" w:before="60"/>
        <w:jc w:val="center"/>
      </w:pPr>
      <w:r>
        <w:rPr>
          <w:rFonts w:ascii="Arial" w:cs="Arial" w:eastAsia="Arial" w:hAnsi="Arial"/>
          <w:b/>
          <w:bCs/>
          <w:color w:val="1A1A2E"/>
          <w:sz w:val="28"/>
          <w:szCs w:val="28"/>
        </w:rPr>
        <w:t xml:space="preserve">STATUTS CONSTITUTIFS BILINGUES</w:t>
      </w:r>
    </w:p>
    <w:p>
      <w:pPr>
        <w:spacing w:after="0" w:before="40"/>
        <w:jc w:val="center"/>
      </w:pPr>
      <w:r>
        <w:rPr>
          <w:rFonts w:ascii="Arial" w:cs="Arial" w:eastAsia="Arial" w:hAnsi="Arial"/>
          <w:i/>
          <w:iCs/>
          <w:color w:val="0E692E"/>
          <w:sz w:val="22"/>
          <w:szCs w:val="22"/>
        </w:rPr>
        <w:t xml:space="preserve">Société à Responsabilité Limitée  —  Private Limited Liability Company</w:t>
      </w:r>
    </w:p>
    <w:p>
      <w:pPr>
        <w:spacing w:after="480" w:before="0"/>
      </w:pPr>
      <w:r>
        <w:t xml:space="preserve"/>
      </w:r>
    </w:p>
    <w:p>
      <w:pPr>
        <w:pBdr>
          <w:bottom w:val="single" w:color="0E692E" w:sz="14"/>
        </w:pBdr>
        <w:spacing w:after="60" w:before="0"/>
      </w:pPr>
      <w:r>
        <w:t xml:space="preserve"/>
      </w:r>
    </w:p>
    <w:p>
      <w:pPr>
        <w:spacing w:after="40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911"/>
        <w:gridCol w:w="5402"/>
      </w:tblGrid>
      <w:tr>
        <w:tc>
          <w:tcPr>
            <w:tcW w:type="dxa" w:w="3911"/>
            <w:tcBorders>
              <w:top w:val="none" w:color="FFFFFF" w:sz="0"/>
              <w:left w:val="none" w:color="FFFFFF" w:sz="0"/>
              <w:bottom w:val="single" w:color="D0D5DD" w:sz="2"/>
              <w:right w:val="single" w:color="0E692E" w:sz="6"/>
            </w:tcBorders>
            <w:shd w:fill="F2F4F7" w:val="clear"/>
            <w:tcMar>
              <w:top w:type="dxa" w:w="80"/>
              <w:left w:type="dxa" w:w="140"/>
              <w:bottom w:type="dxa" w:w="80"/>
              <w:right w:type="dxa" w:w="100"/>
            </w:tcMar>
          </w:tcPr>
          <w:p>
            <w:r>
              <w:rPr>
                <w:rFonts w:ascii="Arial" w:cs="Arial" w:eastAsia="Arial" w:hAnsi="Arial"/>
                <w:b/>
                <w:bCs/>
                <w:color w:val="1B3A5C"/>
                <w:sz w:val="20"/>
                <w:szCs w:val="20"/>
              </w:rPr>
              <w:t xml:space="preserve">Company Name / Dénomination</w:t>
            </w:r>
          </w:p>
        </w:tc>
        <w:tc>
          <w:tcPr>
            <w:tcW w:type="dxa" w:w="5402"/>
            <w:tcBorders>
              <w:top w:val="none" w:color="FFFFFF" w:sz="0"/>
              <w:left w:val="none" w:color="FFFFFF" w:sz="0"/>
              <w:bottom w:val="single" w:color="D0D5DD" w:sz="2"/>
              <w:right w:val="none" w:color="FFFFFF" w:sz="0"/>
            </w:tcBorders>
            <w:shd w:fill="F2F4F7" w:val="clear"/>
            <w:tcMar>
              <w:top w:type="dxa" w:w="80"/>
              <w:left w:type="dxa" w:w="100"/>
              <w:bottom w:type="dxa" w:w="80"/>
              <w:right w:type="dxa" w:w="140"/>
            </w:tcMar>
          </w:tcPr>
          <w:p>
            <w:r>
              <w:rPr>
                <w:rFonts w:ascii="Arial" w:cs="Arial" w:eastAsia="Arial" w:hAnsi="Arial"/>
                <w:color w:val="1A1A2E"/>
                <w:sz w:val="20"/>
                <w:szCs w:val="20"/>
              </w:rPr>
              <w:t xml:space="preserve">OPES HEALTH SYSTEMS SARL</w:t>
            </w:r>
          </w:p>
        </w:tc>
      </w:tr>
      <w:tr>
        <w:tc>
          <w:tcPr>
            <w:tcW w:type="dxa" w:w="3911"/>
            <w:tcBorders>
              <w:top w:val="none" w:color="FFFFFF" w:sz="0"/>
              <w:left w:val="none" w:color="FFFFFF" w:sz="0"/>
              <w:bottom w:val="single" w:color="D0D5DD" w:sz="2"/>
              <w:right w:val="single" w:color="0E692E" w:sz="6"/>
            </w:tcBorders>
            <w:shd w:fill="FFFFFF" w:val="clear"/>
            <w:tcMar>
              <w:top w:type="dxa" w:w="80"/>
              <w:left w:type="dxa" w:w="140"/>
              <w:bottom w:type="dxa" w:w="80"/>
              <w:right w:type="dxa" w:w="100"/>
            </w:tcMar>
          </w:tcPr>
          <w:p>
            <w:r>
              <w:rPr>
                <w:rFonts w:ascii="Arial" w:cs="Arial" w:eastAsia="Arial" w:hAnsi="Arial"/>
                <w:b/>
                <w:bCs/>
                <w:color w:val="1B3A5C"/>
                <w:sz w:val="20"/>
                <w:szCs w:val="20"/>
              </w:rPr>
              <w:t xml:space="preserve">Legal Form / Forme juridique</w:t>
            </w:r>
          </w:p>
        </w:tc>
        <w:tc>
          <w:tcPr>
            <w:tcW w:type="dxa" w:w="5402"/>
            <w:tcBorders>
              <w:top w:val="none" w:color="FFFFFF" w:sz="0"/>
              <w:left w:val="none" w:color="FFFFFF" w:sz="0"/>
              <w:bottom w:val="single" w:color="D0D5DD" w:sz="2"/>
              <w:right w:val="none" w:color="FFFFFF" w:sz="0"/>
            </w:tcBorders>
            <w:shd w:fill="FFFFFF" w:val="clear"/>
            <w:tcMar>
              <w:top w:type="dxa" w:w="80"/>
              <w:left w:type="dxa" w:w="100"/>
              <w:bottom w:type="dxa" w:w="80"/>
              <w:right w:type="dxa" w:w="140"/>
            </w:tcMar>
          </w:tcPr>
          <w:p>
            <w:r>
              <w:rPr>
                <w:rFonts w:ascii="Arial" w:cs="Arial" w:eastAsia="Arial" w:hAnsi="Arial"/>
                <w:color w:val="1A1A2E"/>
                <w:sz w:val="20"/>
                <w:szCs w:val="20"/>
              </w:rPr>
              <w:t xml:space="preserve">Société à Responsabilité Limitée (SARL)</w:t>
            </w:r>
          </w:p>
        </w:tc>
      </w:tr>
      <w:tr>
        <w:tc>
          <w:tcPr>
            <w:tcW w:type="dxa" w:w="3911"/>
            <w:tcBorders>
              <w:top w:val="none" w:color="FFFFFF" w:sz="0"/>
              <w:left w:val="none" w:color="FFFFFF" w:sz="0"/>
              <w:bottom w:val="single" w:color="D0D5DD" w:sz="2"/>
              <w:right w:val="single" w:color="0E692E" w:sz="6"/>
            </w:tcBorders>
            <w:shd w:fill="F2F4F7" w:val="clear"/>
            <w:tcMar>
              <w:top w:type="dxa" w:w="80"/>
              <w:left w:type="dxa" w:w="140"/>
              <w:bottom w:type="dxa" w:w="80"/>
              <w:right w:type="dxa" w:w="100"/>
            </w:tcMar>
          </w:tcPr>
          <w:p>
            <w:r>
              <w:rPr>
                <w:rFonts w:ascii="Arial" w:cs="Arial" w:eastAsia="Arial" w:hAnsi="Arial"/>
                <w:b/>
                <w:bCs/>
                <w:color w:val="1B3A5C"/>
                <w:sz w:val="20"/>
                <w:szCs w:val="20"/>
              </w:rPr>
              <w:t xml:space="preserve">Registered Office / Siège social</w:t>
            </w:r>
          </w:p>
        </w:tc>
        <w:tc>
          <w:tcPr>
            <w:tcW w:type="dxa" w:w="5402"/>
            <w:tcBorders>
              <w:top w:val="none" w:color="FFFFFF" w:sz="0"/>
              <w:left w:val="none" w:color="FFFFFF" w:sz="0"/>
              <w:bottom w:val="single" w:color="D0D5DD" w:sz="2"/>
              <w:right w:val="none" w:color="FFFFFF" w:sz="0"/>
            </w:tcBorders>
            <w:shd w:fill="F2F4F7" w:val="clear"/>
            <w:tcMar>
              <w:top w:type="dxa" w:w="80"/>
              <w:left w:type="dxa" w:w="100"/>
              <w:bottom w:type="dxa" w:w="80"/>
              <w:right w:type="dxa" w:w="140"/>
            </w:tcMar>
          </w:tcPr>
          <w:p>
            <w:r>
              <w:rPr>
                <w:rFonts w:ascii="Arial" w:cs="Arial" w:eastAsia="Arial" w:hAnsi="Arial"/>
                <w:color w:val="1A1A2E"/>
                <w:sz w:val="20"/>
                <w:szCs w:val="20"/>
              </w:rPr>
              <w:t xml:space="preserve">Bonamousadi, Douala, Littoral Region, Republic of Cameroon</w:t>
            </w:r>
          </w:p>
        </w:tc>
      </w:tr>
      <w:tr>
        <w:tc>
          <w:tcPr>
            <w:tcW w:type="dxa" w:w="3911"/>
            <w:tcBorders>
              <w:top w:val="none" w:color="FFFFFF" w:sz="0"/>
              <w:left w:val="none" w:color="FFFFFF" w:sz="0"/>
              <w:bottom w:val="single" w:color="D0D5DD" w:sz="2"/>
              <w:right w:val="single" w:color="0E692E" w:sz="6"/>
            </w:tcBorders>
            <w:shd w:fill="FFFFFF" w:val="clear"/>
            <w:tcMar>
              <w:top w:type="dxa" w:w="80"/>
              <w:left w:type="dxa" w:w="140"/>
              <w:bottom w:type="dxa" w:w="80"/>
              <w:right w:type="dxa" w:w="100"/>
            </w:tcMar>
          </w:tcPr>
          <w:p>
            <w:r>
              <w:rPr>
                <w:rFonts w:ascii="Arial" w:cs="Arial" w:eastAsia="Arial" w:hAnsi="Arial"/>
                <w:b/>
                <w:bCs/>
                <w:color w:val="1B3A5C"/>
                <w:sz w:val="20"/>
                <w:szCs w:val="20"/>
              </w:rPr>
              <w:t xml:space="preserve">Share Capital / Capital social</w:t>
            </w:r>
          </w:p>
        </w:tc>
        <w:tc>
          <w:tcPr>
            <w:tcW w:type="dxa" w:w="5402"/>
            <w:tcBorders>
              <w:top w:val="none" w:color="FFFFFF" w:sz="0"/>
              <w:left w:val="none" w:color="FFFFFF" w:sz="0"/>
              <w:bottom w:val="single" w:color="D0D5DD" w:sz="2"/>
              <w:right w:val="none" w:color="FFFFFF" w:sz="0"/>
            </w:tcBorders>
            <w:shd w:fill="FFFFFF" w:val="clear"/>
            <w:tcMar>
              <w:top w:type="dxa" w:w="80"/>
              <w:left w:type="dxa" w:w="100"/>
              <w:bottom w:type="dxa" w:w="80"/>
              <w:right w:type="dxa" w:w="140"/>
            </w:tcMar>
          </w:tcPr>
          <w:p>
            <w:r>
              <w:rPr>
                <w:rFonts w:ascii="Arial" w:cs="Arial" w:eastAsia="Arial" w:hAnsi="Arial"/>
                <w:color w:val="1A1A2E"/>
                <w:sz w:val="20"/>
                <w:szCs w:val="20"/>
              </w:rPr>
              <w:t xml:space="preserve">999,999 FCFA</w:t>
            </w:r>
          </w:p>
        </w:tc>
      </w:tr>
      <w:tr>
        <w:tc>
          <w:tcPr>
            <w:tcW w:type="dxa" w:w="3911"/>
            <w:tcBorders>
              <w:top w:val="none" w:color="FFFFFF" w:sz="0"/>
              <w:left w:val="none" w:color="FFFFFF" w:sz="0"/>
              <w:bottom w:val="single" w:color="D0D5DD" w:sz="2"/>
              <w:right w:val="single" w:color="0E692E" w:sz="6"/>
            </w:tcBorders>
            <w:shd w:fill="F2F4F7" w:val="clear"/>
            <w:tcMar>
              <w:top w:type="dxa" w:w="80"/>
              <w:left w:type="dxa" w:w="140"/>
              <w:bottom w:type="dxa" w:w="80"/>
              <w:right w:type="dxa" w:w="100"/>
            </w:tcMar>
          </w:tcPr>
          <w:p>
            <w:r>
              <w:rPr>
                <w:rFonts w:ascii="Arial" w:cs="Arial" w:eastAsia="Arial" w:hAnsi="Arial"/>
                <w:b/>
                <w:bCs/>
                <w:color w:val="1B3A5C"/>
                <w:sz w:val="20"/>
                <w:szCs w:val="20"/>
              </w:rPr>
              <w:t xml:space="preserve">Shares / Parts sociales</w:t>
            </w:r>
          </w:p>
        </w:tc>
        <w:tc>
          <w:tcPr>
            <w:tcW w:type="dxa" w:w="5402"/>
            <w:tcBorders>
              <w:top w:val="none" w:color="FFFFFF" w:sz="0"/>
              <w:left w:val="none" w:color="FFFFFF" w:sz="0"/>
              <w:bottom w:val="single" w:color="D0D5DD" w:sz="2"/>
              <w:right w:val="none" w:color="FFFFFF" w:sz="0"/>
            </w:tcBorders>
            <w:shd w:fill="F2F4F7" w:val="clear"/>
            <w:tcMar>
              <w:top w:type="dxa" w:w="80"/>
              <w:left w:type="dxa" w:w="100"/>
              <w:bottom w:type="dxa" w:w="80"/>
              <w:right w:type="dxa" w:w="140"/>
            </w:tcMar>
          </w:tcPr>
          <w:p>
            <w:r>
              <w:rPr>
                <w:rFonts w:ascii="Arial" w:cs="Arial" w:eastAsia="Arial" w:hAnsi="Arial"/>
                <w:color w:val="1A1A2E"/>
                <w:sz w:val="20"/>
                <w:szCs w:val="20"/>
              </w:rPr>
              <w:t xml:space="preserve">200 shares fully subscribed by 5 shareholders</w:t>
            </w:r>
          </w:p>
        </w:tc>
      </w:tr>
      <w:tr>
        <w:tc>
          <w:tcPr>
            <w:tcW w:type="dxa" w:w="3911"/>
            <w:tcBorders>
              <w:top w:val="none" w:color="FFFFFF" w:sz="0"/>
              <w:left w:val="none" w:color="FFFFFF" w:sz="0"/>
              <w:bottom w:val="single" w:color="D0D5DD" w:sz="2"/>
              <w:right w:val="single" w:color="0E692E" w:sz="6"/>
            </w:tcBorders>
            <w:shd w:fill="FFFFFF" w:val="clear"/>
            <w:tcMar>
              <w:top w:type="dxa" w:w="80"/>
              <w:left w:type="dxa" w:w="140"/>
              <w:bottom w:type="dxa" w:w="80"/>
              <w:right w:type="dxa" w:w="100"/>
            </w:tcMar>
          </w:tcPr>
          <w:p>
            <w:r>
              <w:rPr>
                <w:rFonts w:ascii="Arial" w:cs="Arial" w:eastAsia="Arial" w:hAnsi="Arial"/>
                <w:b/>
                <w:bCs/>
                <w:color w:val="1B3A5C"/>
                <w:sz w:val="20"/>
                <w:szCs w:val="20"/>
              </w:rPr>
              <w:t xml:space="preserve">Founder &amp; First Manager</w:t>
            </w:r>
          </w:p>
        </w:tc>
        <w:tc>
          <w:tcPr>
            <w:tcW w:type="dxa" w:w="5402"/>
            <w:tcBorders>
              <w:top w:val="none" w:color="FFFFFF" w:sz="0"/>
              <w:left w:val="none" w:color="FFFFFF" w:sz="0"/>
              <w:bottom w:val="single" w:color="D0D5DD" w:sz="2"/>
              <w:right w:val="none" w:color="FFFFFF" w:sz="0"/>
            </w:tcBorders>
            <w:shd w:fill="FFFFFF" w:val="clear"/>
            <w:tcMar>
              <w:top w:type="dxa" w:w="80"/>
              <w:left w:type="dxa" w:w="100"/>
              <w:bottom w:type="dxa" w:w="80"/>
              <w:right w:type="dxa" w:w="140"/>
            </w:tcMar>
          </w:tcPr>
          <w:p>
            <w:r>
              <w:rPr>
                <w:rFonts w:ascii="Arial" w:cs="Arial" w:eastAsia="Arial" w:hAnsi="Arial"/>
                <w:color w:val="1A1A2E"/>
                <w:sz w:val="20"/>
                <w:szCs w:val="20"/>
              </w:rPr>
              <w:t xml:space="preserve">Jude Nshome</w:t>
            </w:r>
          </w:p>
        </w:tc>
      </w:tr>
      <w:tr>
        <w:tc>
          <w:tcPr>
            <w:tcW w:type="dxa" w:w="3911"/>
            <w:tcBorders>
              <w:top w:val="none" w:color="FFFFFF" w:sz="0"/>
              <w:left w:val="none" w:color="FFFFFF" w:sz="0"/>
              <w:bottom w:val="single" w:color="D0D5DD" w:sz="2"/>
              <w:right w:val="single" w:color="0E692E" w:sz="6"/>
            </w:tcBorders>
            <w:shd w:fill="F2F4F7" w:val="clear"/>
            <w:tcMar>
              <w:top w:type="dxa" w:w="80"/>
              <w:left w:type="dxa" w:w="140"/>
              <w:bottom w:type="dxa" w:w="80"/>
              <w:right w:type="dxa" w:w="100"/>
            </w:tcMar>
          </w:tcPr>
          <w:p>
            <w:r>
              <w:rPr>
                <w:rFonts w:ascii="Arial" w:cs="Arial" w:eastAsia="Arial" w:hAnsi="Arial"/>
                <w:b/>
                <w:bCs/>
                <w:color w:val="1B3A5C"/>
                <w:sz w:val="20"/>
                <w:szCs w:val="20"/>
              </w:rPr>
              <w:t xml:space="preserve">Governing Law / Droit applicable</w:t>
            </w:r>
          </w:p>
        </w:tc>
        <w:tc>
          <w:tcPr>
            <w:tcW w:type="dxa" w:w="5402"/>
            <w:tcBorders>
              <w:top w:val="none" w:color="FFFFFF" w:sz="0"/>
              <w:left w:val="none" w:color="FFFFFF" w:sz="0"/>
              <w:bottom w:val="single" w:color="D0D5DD" w:sz="2"/>
              <w:right w:val="none" w:color="FFFFFF" w:sz="0"/>
            </w:tcBorders>
            <w:shd w:fill="F2F4F7" w:val="clear"/>
            <w:tcMar>
              <w:top w:type="dxa" w:w="80"/>
              <w:left w:type="dxa" w:w="100"/>
              <w:bottom w:type="dxa" w:w="80"/>
              <w:right w:type="dxa" w:w="140"/>
            </w:tcMar>
          </w:tcPr>
          <w:p>
            <w:r>
              <w:rPr>
                <w:rFonts w:ascii="Arial" w:cs="Arial" w:eastAsia="Arial" w:hAnsi="Arial"/>
                <w:color w:val="1A1A2E"/>
                <w:sz w:val="20"/>
                <w:szCs w:val="20"/>
              </w:rPr>
              <w:t xml:space="preserve">OHADA Law — Republic of Cameroon</w:t>
            </w:r>
          </w:p>
        </w:tc>
      </w:tr>
      <w:tr>
        <w:tc>
          <w:tcPr>
            <w:tcW w:type="dxa" w:w="3911"/>
            <w:tcBorders>
              <w:top w:val="none" w:color="FFFFFF" w:sz="0"/>
              <w:left w:val="none" w:color="FFFFFF" w:sz="0"/>
              <w:bottom w:val="single" w:color="D0D5DD" w:sz="2"/>
              <w:right w:val="single" w:color="0E692E" w:sz="6"/>
            </w:tcBorders>
            <w:shd w:fill="FFFFFF" w:val="clear"/>
            <w:tcMar>
              <w:top w:type="dxa" w:w="80"/>
              <w:left w:type="dxa" w:w="140"/>
              <w:bottom w:type="dxa" w:w="80"/>
              <w:right w:type="dxa" w:w="100"/>
            </w:tcMar>
          </w:tcPr>
          <w:p>
            <w:r>
              <w:rPr>
                <w:rFonts w:ascii="Arial" w:cs="Arial" w:eastAsia="Arial" w:hAnsi="Arial"/>
                <w:b/>
                <w:bCs/>
                <w:color w:val="1B3A5C"/>
                <w:sz w:val="20"/>
                <w:szCs w:val="20"/>
              </w:rPr>
              <w:t xml:space="preserve">Website</w:t>
            </w:r>
          </w:p>
        </w:tc>
        <w:tc>
          <w:tcPr>
            <w:tcW w:type="dxa" w:w="5402"/>
            <w:tcBorders>
              <w:top w:val="none" w:color="FFFFFF" w:sz="0"/>
              <w:left w:val="none" w:color="FFFFFF" w:sz="0"/>
              <w:bottom w:val="single" w:color="D0D5DD" w:sz="2"/>
              <w:right w:val="none" w:color="FFFFFF" w:sz="0"/>
            </w:tcBorders>
            <w:shd w:fill="FFFFFF" w:val="clear"/>
            <w:tcMar>
              <w:top w:type="dxa" w:w="80"/>
              <w:left w:type="dxa" w:w="100"/>
              <w:bottom w:type="dxa" w:w="80"/>
              <w:right w:type="dxa" w:w="140"/>
            </w:tcMar>
          </w:tcPr>
          <w:p>
            <w:r>
              <w:rPr>
                <w:rFonts w:ascii="Arial" w:cs="Arial" w:eastAsia="Arial" w:hAnsi="Arial"/>
                <w:color w:val="1A1A2E"/>
                <w:sz w:val="20"/>
                <w:szCs w:val="20"/>
              </w:rPr>
              <w:t xml:space="preserve">www.opeshealthsystems.com</w:t>
            </w:r>
          </w:p>
        </w:tc>
      </w:tr>
      <w:tr>
        <w:tc>
          <w:tcPr>
            <w:tcW w:type="dxa" w:w="3911"/>
            <w:tcBorders>
              <w:top w:val="none" w:color="FFFFFF" w:sz="0"/>
              <w:left w:val="none" w:color="FFFFFF" w:sz="0"/>
              <w:bottom w:val="single" w:color="D0D5DD" w:sz="2"/>
              <w:right w:val="single" w:color="0E692E" w:sz="6"/>
            </w:tcBorders>
            <w:shd w:fill="F2F4F7" w:val="clear"/>
            <w:tcMar>
              <w:top w:type="dxa" w:w="80"/>
              <w:left w:type="dxa" w:w="140"/>
              <w:bottom w:type="dxa" w:w="80"/>
              <w:right w:type="dxa" w:w="100"/>
            </w:tcMar>
          </w:tcPr>
          <w:p>
            <w:r>
              <w:rPr>
                <w:rFonts w:ascii="Arial" w:cs="Arial" w:eastAsia="Arial" w:hAnsi="Arial"/>
                <w:b/>
                <w:bCs/>
                <w:color w:val="1B3A5C"/>
                <w:sz w:val="20"/>
                <w:szCs w:val="20"/>
              </w:rPr>
              <w:t xml:space="preserve">Email</w:t>
            </w:r>
          </w:p>
        </w:tc>
        <w:tc>
          <w:tcPr>
            <w:tcW w:type="dxa" w:w="5402"/>
            <w:tcBorders>
              <w:top w:val="none" w:color="FFFFFF" w:sz="0"/>
              <w:left w:val="none" w:color="FFFFFF" w:sz="0"/>
              <w:bottom w:val="single" w:color="D0D5DD" w:sz="2"/>
              <w:right w:val="none" w:color="FFFFFF" w:sz="0"/>
            </w:tcBorders>
            <w:shd w:fill="F2F4F7" w:val="clear"/>
            <w:tcMar>
              <w:top w:type="dxa" w:w="80"/>
              <w:left w:type="dxa" w:w="100"/>
              <w:bottom w:type="dxa" w:w="80"/>
              <w:right w:type="dxa" w:w="140"/>
            </w:tcMar>
          </w:tcPr>
          <w:p>
            <w:r>
              <w:rPr>
                <w:rFonts w:ascii="Arial" w:cs="Arial" w:eastAsia="Arial" w:hAnsi="Arial"/>
                <w:color w:val="1A1A2E"/>
                <w:sz w:val="20"/>
                <w:szCs w:val="20"/>
              </w:rPr>
              <w:t xml:space="preserve">info@opeshealthsystems.com</w:t>
            </w:r>
          </w:p>
        </w:tc>
      </w:tr>
    </w:tbl>
    <w:p>
      <w:pPr>
        <w:spacing w:after="800" w:before="0"/>
      </w:pPr>
      <w:r>
        <w:t xml:space="preserve"/>
      </w:r>
    </w:p>
    <w:p>
      <w:r>
        <w:br w:type="page"/>
      </w:r>
    </w:p>
    <w:p>
      <w:pPr>
        <w:spacing w:after="100" w:before="0"/>
        <w:jc w:val="center"/>
      </w:pPr>
      <w:r>
        <w:rPr>
          <w:rFonts w:ascii="Arial" w:cs="Arial" w:eastAsia="Arial" w:hAnsi="Arial"/>
          <w:b/>
          <w:bCs/>
          <w:color w:val="1B3A5C"/>
          <w:sz w:val="28"/>
          <w:szCs w:val="28"/>
        </w:rPr>
        <w:t xml:space="preserve">TABLE OF CONTENTS  /  TABLE DES MATIÈRES</w:t>
      </w:r>
    </w:p>
    <w:p>
      <w:pPr>
        <w:pBdr>
          <w:bottom w:val="single" w:color="0E692E" w:sz="10"/>
        </w:pBdr>
        <w:spacing w:after="60" w:before="0"/>
      </w:pPr>
      <w:r>
        <w:t xml:space="preserve"/>
      </w:r>
    </w:p>
    <w:p>
      <w:pPr>
        <w:spacing w:after="240" w:before="0"/>
      </w:pPr>
      <w:r>
        <w:t xml:space="preserve"/>
      </w:r>
    </w:p>
    <w:p>
      <w:pPr>
        <w:spacing w:after="60" w:before="100"/>
      </w:pPr>
      <w:r>
        <w:rPr>
          <w:rFonts w:ascii="Arial" w:cs="Arial" w:eastAsia="Arial" w:hAnsi="Arial"/>
          <w:b/>
          <w:bCs/>
          <w:color w:val="0E692E"/>
          <w:sz w:val="22"/>
          <w:szCs w:val="22"/>
        </w:rPr>
        <w:t xml:space="preserve">PART I  —  </w:t>
      </w:r>
      <w:r>
        <w:rPr>
          <w:rFonts w:ascii="Arial" w:cs="Arial" w:eastAsia="Arial" w:hAnsi="Arial"/>
          <w:color w:val="1A1A2E"/>
          <w:sz w:val="22"/>
          <w:szCs w:val="22"/>
        </w:rPr>
        <w:t xml:space="preserve">Memorandum of Association  /  Protocole constitutif</w:t>
      </w:r>
    </w:p>
    <w:p>
      <w:pPr>
        <w:spacing w:after="60" w:before="100"/>
      </w:pPr>
      <w:r>
        <w:rPr>
          <w:rFonts w:ascii="Arial" w:cs="Arial" w:eastAsia="Arial" w:hAnsi="Arial"/>
          <w:b/>
          <w:bCs/>
          <w:color w:val="0E692E"/>
          <w:sz w:val="22"/>
          <w:szCs w:val="22"/>
        </w:rPr>
        <w:t xml:space="preserve">PART II  —  </w:t>
      </w:r>
      <w:r>
        <w:rPr>
          <w:rFonts w:ascii="Arial" w:cs="Arial" w:eastAsia="Arial" w:hAnsi="Arial"/>
          <w:color w:val="1A1A2E"/>
          <w:sz w:val="22"/>
          <w:szCs w:val="22"/>
        </w:rPr>
        <w:t xml:space="preserve">Articles of Association  /  Statuts</w:t>
      </w:r>
    </w:p>
    <w:p>
      <w:pPr>
        <w:spacing w:after="60" w:before="100"/>
      </w:pPr>
      <w:r>
        <w:rPr>
          <w:rFonts w:ascii="Arial" w:cs="Arial" w:eastAsia="Arial" w:hAnsi="Arial"/>
          <w:b/>
          <w:bCs/>
          <w:color w:val="0E692E"/>
          <w:sz w:val="22"/>
          <w:szCs w:val="22"/>
        </w:rPr>
        <w:t xml:space="preserve">PART III  —  </w:t>
      </w:r>
      <w:r>
        <w:rPr>
          <w:rFonts w:ascii="Arial" w:cs="Arial" w:eastAsia="Arial" w:hAnsi="Arial"/>
          <w:color w:val="1A1A2E"/>
          <w:sz w:val="22"/>
          <w:szCs w:val="22"/>
        </w:rPr>
        <w:t xml:space="preserve">Compliance and Health Technology Governance  /  Conformité et gouvernance des technologies de santé</w:t>
      </w:r>
    </w:p>
    <w:p>
      <w:pPr>
        <w:spacing w:after="60" w:before="100"/>
      </w:pPr>
      <w:r>
        <w:rPr>
          <w:rFonts w:ascii="Arial" w:cs="Arial" w:eastAsia="Arial" w:hAnsi="Arial"/>
          <w:b/>
          <w:bCs/>
          <w:color w:val="0E692E"/>
          <w:sz w:val="22"/>
          <w:szCs w:val="22"/>
        </w:rPr>
        <w:t xml:space="preserve">PART IV  —  </w:t>
      </w:r>
      <w:r>
        <w:rPr>
          <w:rFonts w:ascii="Arial" w:cs="Arial" w:eastAsia="Arial" w:hAnsi="Arial"/>
          <w:color w:val="1A1A2E"/>
          <w:sz w:val="22"/>
          <w:szCs w:val="22"/>
        </w:rPr>
        <w:t xml:space="preserve">Investor, Share Transfer and Exit Provisions  /  Investisseurs, cessions et sorties</w:t>
      </w:r>
    </w:p>
    <w:p>
      <w:pPr>
        <w:spacing w:after="60" w:before="100"/>
      </w:pPr>
      <w:r>
        <w:rPr>
          <w:rFonts w:ascii="Arial" w:cs="Arial" w:eastAsia="Arial" w:hAnsi="Arial"/>
          <w:b/>
          <w:bCs/>
          <w:color w:val="0E692E"/>
          <w:sz w:val="22"/>
          <w:szCs w:val="22"/>
        </w:rPr>
        <w:t xml:space="preserve">PART V  —  </w:t>
      </w:r>
      <w:r>
        <w:rPr>
          <w:rFonts w:ascii="Arial" w:cs="Arial" w:eastAsia="Arial" w:hAnsi="Arial"/>
          <w:color w:val="1A1A2E"/>
          <w:sz w:val="22"/>
          <w:szCs w:val="22"/>
        </w:rPr>
        <w:t xml:space="preserve">Final Clauses, Signatures and Annexes  /  Clauses finales, signatures et annexes</w:t>
      </w:r>
    </w:p>
    <w:p>
      <w:pPr>
        <w:spacing w:after="400" w:before="0"/>
      </w:pPr>
      <w:r>
        <w:t xml:space="preserve"/>
      </w:r>
    </w:p>
    <w:p>
      <w:r>
        <w:br w:type="pag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4"/>
              <w:bottom w:val="single" w:color="0E692E" w:sz="8"/>
              <w:right w:val="none" w:color="FFFFFF" w:sz="0"/>
            </w:tcBorders>
            <w:shd w:fill="F2F4F7" w:val="clear"/>
            <w:tcMar>
              <w:top w:type="dxa" w:w="160"/>
              <w:left w:type="dxa" w:w="200"/>
              <w:bottom w:type="dxa" w:w="160"/>
              <w:right w:type="dxa" w:w="200"/>
            </w:tcMar>
          </w:tcPr>
          <w:p>
            <w:pPr>
              <w:spacing w:after="80" w:before="0"/>
            </w:pPr>
            <w:r>
              <w:rPr>
                <w:rFonts w:ascii="Arial" w:cs="Arial" w:eastAsia="Arial" w:hAnsi="Arial"/>
                <w:b/>
                <w:bCs/>
                <w:color w:val="1B3A5C"/>
                <w:sz w:val="24"/>
                <w:szCs w:val="24"/>
              </w:rPr>
              <w:t xml:space="preserve">PREAMBLE  /  PRÉAMBULE</w:t>
            </w:r>
          </w:p>
          <w:p>
            <w:pPr>
              <w:spacing w:after="80" w:before="0"/>
              <w:jc w:val="both"/>
            </w:pPr>
            <w:r>
              <w:rPr>
                <w:rFonts w:ascii="Arial" w:cs="Arial" w:eastAsia="Arial" w:hAnsi="Arial"/>
                <w:color w:val="1A1A2E"/>
                <w:sz w:val="20"/>
                <w:szCs w:val="20"/>
              </w:rPr>
              <w:t xml:space="preserve">The undersigned shareholders hereby constitute OPES HEALTH SYSTEMS SARL as a health technology, digital health infrastructure, software, hardware, Health ID, interoperability, UHC, medical informatics, public health analytics, clinical decision support, and health systems innovation company governed by OHADA law and the laws of the Republic of Cameroon.</w:t>
            </w:r>
          </w:p>
          <w:p>
            <w:pPr>
              <w:spacing w:after="0" w:before="0"/>
              <w:jc w:val="both"/>
            </w:pPr>
            <w:r>
              <w:rPr>
                <w:rFonts w:ascii="Arial" w:cs="Arial" w:eastAsia="Arial" w:hAnsi="Arial"/>
                <w:i/>
                <w:iCs/>
                <w:color w:val="3D3D5C"/>
                <w:sz w:val="19"/>
                <w:szCs w:val="19"/>
              </w:rPr>
              <w:t xml:space="preserve">Les associés soussignés constituent par les présentes OPES HEALTH SYSTEMS SARL en tant que société de technologie de santé, infrastructure numérique de santé, logiciels, matériels, Health ID, interopérabilité, couverture santé universelle, informatique médicale, analyse de santé publique, aide à la décision clinique et innovation des systèmes de santé, régie par le droit OHADA et les lois de la République du Cameroun.</w:t>
            </w:r>
          </w:p>
        </w:tc>
      </w:tr>
    </w:tbl>
    <w:p>
      <w:pPr>
        <w:spacing w:after="40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none" w:color="FFFFFF" w:sz="0"/>
              <w:bottom w:val="none" w:color="FFFFFF" w:sz="0"/>
              <w:right w:val="none" w:color="FFFFFF" w:sz="0"/>
            </w:tcBorders>
            <w:shd w:fill="0E692E" w:val="clear"/>
            <w:tcMar>
              <w:top w:type="dxa" w:w="140"/>
              <w:left w:type="dxa" w:w="200"/>
              <w:bottom w:type="dxa" w:w="140"/>
              <w:right w:type="dxa" w:w="200"/>
            </w:tcMar>
          </w:tcPr>
          <w:p>
            <w:pPr>
              <w:spacing w:after="0" w:before="0"/>
              <w:jc w:val="center"/>
            </w:pPr>
            <w:r>
              <w:rPr>
                <w:rFonts w:ascii="Arial" w:cs="Arial" w:eastAsia="Arial" w:hAnsi="Arial"/>
                <w:b/>
                <w:bCs/>
                <w:color w:val="FFFFFF"/>
                <w:sz w:val="26"/>
                <w:szCs w:val="26"/>
              </w:rPr>
              <w:t xml:space="preserve">PART I  —  MEMORANDUM OF ASSOCIATION  /  PROTOCOLE CONSTITUTIF</w:t>
            </w:r>
          </w:p>
        </w:tc>
      </w:tr>
    </w:tbl>
    <w:p>
      <w:pPr>
        <w:spacing w:after="28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1  —  FORM AND LEGAL REGIME  /  FORME ET RÉGIME JURIDIQUE</w:t>
            </w:r>
          </w:p>
        </w:tc>
      </w:tr>
    </w:tbl>
    <w:p>
      <w:pPr>
        <w:spacing w:after="80" w:before="100"/>
        <w:ind/>
        <w:jc w:val="both"/>
      </w:pPr>
      <w:r>
        <w:rPr>
          <w:rFonts w:ascii="Arial" w:cs="Arial" w:eastAsia="Arial" w:hAnsi="Arial"/>
          <w:i w:val="false"/>
          <w:iCs w:val="false"/>
          <w:color w:val="1A1A2E"/>
          <w:sz w:val="20"/>
          <w:szCs w:val="20"/>
        </w:rPr>
        <w:t xml:space="preserve">There is hereby formed a Société à Responsabilité Limitée, abbreviated SARL, under OHADA law and the laws applicable in the Republic of Cameroon. The liability of each shareholder is limited to the amount of their contribution to the share capital, except where personal liability arises by law, fraud, personal guarantee, or misconduct.</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Il est formé par les présentes une Société à Responsabilité Limitée, abrégée SARL, régie par le droit OHADA et les lois applicables en République du Cameroun. La responsabilité de chaque associé est limitée au montant de son apport au capital social, sauf responsabilité personnelle prévue par la loi, fraude, garantie personnelle ou faute.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2  —  COMPANY NAME  /  DÉNOMINATION SOCIALE</w:t>
            </w:r>
          </w:p>
        </w:tc>
      </w:tr>
    </w:tbl>
    <w:p>
      <w:pPr>
        <w:spacing w:after="40" w:before="100"/>
        <w:ind/>
        <w:jc w:val="both"/>
      </w:pPr>
      <w:r>
        <w:rPr>
          <w:rFonts w:ascii="Arial" w:cs="Arial" w:eastAsia="Arial" w:hAnsi="Arial"/>
          <w:b/>
          <w:bCs/>
          <w:i w:val="false"/>
          <w:iCs w:val="false"/>
          <w:color w:val="1B3A5C"/>
          <w:sz w:val="20"/>
          <w:szCs w:val="20"/>
        </w:rPr>
        <w:t xml:space="preserve">The company name is OPES HEALTH SYSTEMS SARL.</w:t>
      </w:r>
    </w:p>
    <w:p>
      <w:pPr>
        <w:spacing w:after="80" w:before="0"/>
        <w:ind w:left="160"/>
        <w:jc w:val="both"/>
      </w:pPr>
      <w:r>
        <w:rPr>
          <w:rFonts w:ascii="Arial" w:cs="Arial" w:eastAsia="Arial" w:hAnsi="Arial"/>
          <w:i w:val="false"/>
          <w:iCs w:val="false"/>
          <w:color w:val="1A1A2E"/>
          <w:sz w:val="20"/>
          <w:szCs w:val="20"/>
        </w:rPr>
        <w:t xml:space="preserve">For international communication, branding, commercial documents, websites, and contracts, the company may describe itself as OPES Health Systems SARL - Limited Liability Company. The official legal form for registration, tax, banking, RCCM, and public records remains SARL.</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40" w:before="100"/>
        <w:ind w:left="200"/>
        <w:jc w:val="both"/>
      </w:pPr>
      <w:r>
        <w:rPr>
          <w:rFonts w:ascii="Arial" w:cs="Arial" w:eastAsia="Arial" w:hAnsi="Arial"/>
          <w:b/>
          <w:bCs/>
          <w:i/>
          <w:iCs/>
          <w:color w:val="0E692E"/>
          <w:sz w:val="19"/>
          <w:szCs w:val="19"/>
        </w:rPr>
        <w:t xml:space="preserve">La dénomination sociale est OPES HEALTH SYSTEMS SARL.</w:t>
      </w:r>
    </w:p>
    <w:p>
      <w:pPr>
        <w:spacing w:after="80" w:before="0"/>
        <w:ind w:left="360"/>
        <w:jc w:val="both"/>
      </w:pPr>
      <w:r>
        <w:rPr>
          <w:rFonts w:ascii="Arial" w:cs="Arial" w:eastAsia="Arial" w:hAnsi="Arial"/>
          <w:i/>
          <w:iCs/>
          <w:color w:val="3D3D5C"/>
          <w:sz w:val="19"/>
          <w:szCs w:val="19"/>
        </w:rPr>
        <w:t xml:space="preserve">Pour la communication internationale, la marque, les documents commerciaux, sites web et contrats, la société peut se présenter comme OPES Health Systems SARL - Limited Liability Company. La forme juridique officielle pour l'immatriculation, la fiscalité, la banque, le RCCM et les documents publics demeure SARL.</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3  —  REGISTERED OFFICE  /  SIÈGE SOCIAL</w:t>
            </w:r>
          </w:p>
        </w:tc>
      </w:tr>
    </w:tbl>
    <w:p>
      <w:pPr>
        <w:spacing w:after="80" w:before="100"/>
        <w:ind/>
        <w:jc w:val="both"/>
      </w:pPr>
      <w:r>
        <w:rPr>
          <w:rFonts w:ascii="Arial" w:cs="Arial" w:eastAsia="Arial" w:hAnsi="Arial"/>
          <w:i w:val="false"/>
          <w:iCs w:val="false"/>
          <w:color w:val="1A1A2E"/>
          <w:sz w:val="20"/>
          <w:szCs w:val="20"/>
        </w:rPr>
        <w:t xml:space="preserve">The registered office is fixed at Bonamousadi, Douala, Littoral Region, Republic of Cameroon. It may be transferred within Douala by decision of the Manager and to any other locality by shareholder decision, subject to applicable law. The company may establish branches, agencies, technical centers, data centers, support centers, representative offices, subsidiaries, and operational units in Cameroon, OHADA member states, Africa, and internationally.</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 siège social est fixé à Bonamousadi, Douala, Région du Littoral, République du Cameroun. Il peut être transféré dans Douala par décision du Gérant et dans toute autre localité par décision des associés, sous réserve de la loi applicable. La société peut créer des succursales, agences, centres techniques, centres de données, centres d'assistance, bureaux de représentation, filiales et unités opérationnelles au Cameroun, dans les États membres OHADA, en Afrique et à l'international.</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4  —  DURATION  /  DURÉE</w:t>
            </w:r>
          </w:p>
        </w:tc>
      </w:tr>
    </w:tbl>
    <w:p>
      <w:pPr>
        <w:spacing w:after="80" w:before="100"/>
        <w:ind/>
        <w:jc w:val="both"/>
      </w:pPr>
      <w:r>
        <w:rPr>
          <w:rFonts w:ascii="Arial" w:cs="Arial" w:eastAsia="Arial" w:hAnsi="Arial"/>
          <w:i w:val="false"/>
          <w:iCs w:val="false"/>
          <w:color w:val="1A1A2E"/>
          <w:sz w:val="20"/>
          <w:szCs w:val="20"/>
        </w:rPr>
        <w:t xml:space="preserve">The duration of the company is ninety-nine (99) years from its registration with the Trade and Personal Property Credit Register (RCCM), unless extended or dissolved earlier in accordance with these Articles and applicable law.</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durée de la société est de quatre-vingt-dix-neuf (99) ans à compter de son immatriculation au Registre du Commerce et du Crédit Mobilier (RCCM), sauf prorogation ou dissolution anticipée conformément aux présents Statuts et à la loi applicable.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5  —  CORPORATE PURPOSE  /  OBJET SOCIAL</w:t>
            </w:r>
          </w:p>
        </w:tc>
      </w:tr>
    </w:tbl>
    <w:p>
      <w:pPr>
        <w:spacing w:after="80" w:before="100"/>
        <w:ind/>
        <w:jc w:val="both"/>
      </w:pPr>
      <w:r>
        <w:rPr>
          <w:rFonts w:ascii="Arial" w:cs="Arial" w:eastAsia="Arial" w:hAnsi="Arial"/>
          <w:i w:val="false"/>
          <w:iCs w:val="false"/>
          <w:color w:val="1A1A2E"/>
          <w:sz w:val="20"/>
          <w:szCs w:val="20"/>
        </w:rPr>
        <w:t xml:space="preserve">The company has as its purpose, in Cameroon, Africa and internationally, the design, development, deployment, licensing, operation, maintenance, integration, commercialization, support, research, import, export and distribution of health technology software, hardware and digital infrastructure. Its activities include electronic medical records (EMR), electronic health records (EHR), hospital information systems (HIS), UHC software, Health ID systems, interoperability layers, health information exchange, pharmacy systems, laboratory systems, diagnostic center systems, insurance-healthcare integration, public health reporting, disease surveillance, telemedicine, remote patient monitoring, clinical decision support systems including OPES CDSS, AI-enabled health analytics, hospital server appliances, secure facility infrastructure, medical-grade computing, health monitoring watches, vital sign monitors, heart monitoring devices, and connected health technology.</w:t>
      </w:r>
    </w:p>
    <w:p>
      <w:pPr>
        <w:spacing w:after="40" w:before="160"/>
        <w:ind/>
        <w:jc w:val="both"/>
      </w:pPr>
      <w:r>
        <w:rPr>
          <w:rFonts w:ascii="Arial" w:cs="Arial" w:eastAsia="Arial" w:hAnsi="Arial"/>
          <w:b/>
          <w:bCs/>
          <w:i w:val="false"/>
          <w:iCs w:val="false"/>
          <w:color w:val="1B3A5C"/>
          <w:sz w:val="20"/>
          <w:szCs w:val="20"/>
        </w:rPr>
        <w:t xml:space="preserve">Clinical Partnership and Validation.</w:t>
      </w:r>
    </w:p>
    <w:p>
      <w:pPr>
        <w:spacing w:after="80" w:before="0"/>
        <w:ind w:left="160"/>
        <w:jc w:val="both"/>
      </w:pPr>
      <w:r>
        <w:rPr>
          <w:rFonts w:ascii="Arial" w:cs="Arial" w:eastAsia="Arial" w:hAnsi="Arial"/>
          <w:i w:val="false"/>
          <w:iCs w:val="false"/>
          <w:color w:val="1A1A2E"/>
          <w:sz w:val="20"/>
          <w:szCs w:val="20"/>
        </w:rPr>
        <w:t xml:space="preserve">The company may establish partnerships with public and private hospitals, teaching hospitals, university hospitals, clinics, diagnostic centers, medical laboratories, nursing schools, medical training universities and institutions, doctors unions, pharmacists associations, and independent licensed healthcare professionals including doctors, general practitioners, specialists, nurses, radiologists, oncologists and other clinicians, for the purpose of testing, evaluating, validating and reviewing company technology, software, devices and platforms.</w:t>
      </w:r>
    </w:p>
    <w:p>
      <w:pPr>
        <w:spacing w:after="40" w:before="160"/>
        <w:ind/>
        <w:jc w:val="both"/>
      </w:pPr>
      <w:r>
        <w:rPr>
          <w:rFonts w:ascii="Arial" w:cs="Arial" w:eastAsia="Arial" w:hAnsi="Arial"/>
          <w:b/>
          <w:bCs/>
          <w:i w:val="false"/>
          <w:iCs w:val="false"/>
          <w:color w:val="1B3A5C"/>
          <w:sz w:val="20"/>
          <w:szCs w:val="20"/>
        </w:rPr>
        <w:t xml:space="preserve">Pharmaceutical and Laboratory Partnerships.</w:t>
      </w:r>
    </w:p>
    <w:p>
      <w:pPr>
        <w:spacing w:after="80" w:before="0"/>
        <w:ind w:left="160"/>
        <w:jc w:val="both"/>
      </w:pPr>
      <w:r>
        <w:rPr>
          <w:rFonts w:ascii="Arial" w:cs="Arial" w:eastAsia="Arial" w:hAnsi="Arial"/>
          <w:i w:val="false"/>
          <w:iCs w:val="false"/>
          <w:color w:val="1A1A2E"/>
          <w:sz w:val="20"/>
          <w:szCs w:val="20"/>
        </w:rPr>
        <w:t xml:space="preserve">The company may collaborate with pharmaceutical companies, drug manufacturers, research laboratories and pharmacovigilance bodies to support drug data analysis, side effect monitoring, drug interaction research, adverse event tracking, clinical outcome analysis and evidence-based reporting using company platforms and analytics tools.</w:t>
      </w:r>
    </w:p>
    <w:p>
      <w:pPr>
        <w:spacing w:after="40" w:before="160"/>
        <w:ind/>
        <w:jc w:val="both"/>
      </w:pPr>
      <w:r>
        <w:rPr>
          <w:rFonts w:ascii="Arial" w:cs="Arial" w:eastAsia="Arial" w:hAnsi="Arial"/>
          <w:b/>
          <w:bCs/>
          <w:i w:val="false"/>
          <w:iCs w:val="false"/>
          <w:color w:val="1B3A5C"/>
          <w:sz w:val="20"/>
          <w:szCs w:val="20"/>
        </w:rPr>
        <w:t xml:space="preserve">Insurance, Health Financing and Brokerage.</w:t>
      </w:r>
    </w:p>
    <w:p>
      <w:pPr>
        <w:spacing w:after="80" w:before="0"/>
        <w:ind w:left="160"/>
        <w:jc w:val="both"/>
      </w:pPr>
      <w:r>
        <w:rPr>
          <w:rFonts w:ascii="Arial" w:cs="Arial" w:eastAsia="Arial" w:hAnsi="Arial"/>
          <w:i w:val="false"/>
          <w:iCs w:val="false"/>
          <w:color w:val="1A1A2E"/>
          <w:sz w:val="20"/>
          <w:szCs w:val="20"/>
        </w:rPr>
        <w:t xml:space="preserve">The company may partner with health insurance companies, general insurers, microinsurance providers, mutual health organizations and other financial institutions to integrate insurance products and health financing solutions within company platforms including the OPES Health ID application. Subject to obtaining required licensing and regulatory authorization under applicable law, the company may act as an intermediary, agent or broker for insurance products and health financing schemes.</w:t>
      </w:r>
    </w:p>
    <w:p>
      <w:pPr>
        <w:spacing w:after="40" w:before="160"/>
        <w:ind/>
        <w:jc w:val="both"/>
      </w:pPr>
      <w:r>
        <w:rPr>
          <w:rFonts w:ascii="Arial" w:cs="Arial" w:eastAsia="Arial" w:hAnsi="Arial"/>
          <w:b/>
          <w:bCs/>
          <w:i w:val="false"/>
          <w:iCs w:val="false"/>
          <w:color w:val="1B3A5C"/>
          <w:sz w:val="20"/>
          <w:szCs w:val="20"/>
        </w:rPr>
        <w:t xml:space="preserve">OPESCare — Integrated Telemedicine and Patient Care Platform.</w:t>
      </w:r>
    </w:p>
    <w:p>
      <w:pPr>
        <w:spacing w:after="80" w:before="0"/>
        <w:ind w:left="160"/>
        <w:jc w:val="both"/>
      </w:pPr>
      <w:r>
        <w:rPr>
          <w:rFonts w:ascii="Arial" w:cs="Arial" w:eastAsia="Arial" w:hAnsi="Arial"/>
          <w:i w:val="false"/>
          <w:iCs w:val="false"/>
          <w:color w:val="1A1A2E"/>
          <w:sz w:val="20"/>
          <w:szCs w:val="20"/>
        </w:rPr>
        <w:t xml:space="preserve">The company has developed and operates OPESCare, a proprietary fully developed and live integrated digital health platform forming part of the OPES Health ID ecosystem. OPESCare enables direct communication between licensed healthcare professionals and patients, and provides modules for telemedicine consultations, appointment scheduling and management, electronic prescription issuance and management, laboratory test requests and results, blood bank availability checks, medicines and pharmacy stock availability, referrals and patient follow-up. The company may extend, license, integrate and commercialize OPESCare and its modules within Cameroon, across OHADA member states, Africa and internationally.</w:t>
      </w:r>
    </w:p>
    <w:p>
      <w:pPr>
        <w:spacing w:after="40" w:before="160"/>
        <w:ind/>
        <w:jc w:val="both"/>
      </w:pPr>
      <w:r>
        <w:rPr>
          <w:rFonts w:ascii="Arial" w:cs="Arial" w:eastAsia="Arial" w:hAnsi="Arial"/>
          <w:b/>
          <w:bCs/>
          <w:i w:val="false"/>
          <w:iCs w:val="false"/>
          <w:color w:val="1B3A5C"/>
          <w:sz w:val="20"/>
          <w:szCs w:val="20"/>
        </w:rPr>
        <w:t xml:space="preserve">Health Data Analytics as a Service.</w:t>
      </w:r>
    </w:p>
    <w:p>
      <w:pPr>
        <w:spacing w:after="80" w:before="0"/>
        <w:ind w:left="160"/>
        <w:jc w:val="both"/>
      </w:pPr>
      <w:r>
        <w:rPr>
          <w:rFonts w:ascii="Arial" w:cs="Arial" w:eastAsia="Arial" w:hAnsi="Arial"/>
          <w:i w:val="false"/>
          <w:iCs w:val="false"/>
          <w:color w:val="1A1A2E"/>
          <w:sz w:val="20"/>
          <w:szCs w:val="20"/>
        </w:rPr>
        <w:t xml:space="preserve">The company may offer anonymized, aggregated population health analytics, epidemiological intelligence, public health surveillance data and clinical outcome reporting as a service to pharmaceutical companies, public health agencies, insurers, research institutions and government bodies, subject to applicable data protection, patient privacy and data governance laws and in compliance with all required authorizations.</w:t>
      </w:r>
    </w:p>
    <w:p>
      <w:pPr>
        <w:spacing w:after="40" w:before="160"/>
        <w:ind/>
        <w:jc w:val="both"/>
      </w:pPr>
      <w:r>
        <w:rPr>
          <w:rFonts w:ascii="Arial" w:cs="Arial" w:eastAsia="Arial" w:hAnsi="Arial"/>
          <w:b/>
          <w:bCs/>
          <w:i w:val="false"/>
          <w:iCs w:val="false"/>
          <w:color w:val="1B3A5C"/>
          <w:sz w:val="20"/>
          <w:szCs w:val="20"/>
        </w:rPr>
        <w:t xml:space="preserve">Medical Supply Chain and Procurement Facilitation.</w:t>
      </w:r>
    </w:p>
    <w:p>
      <w:pPr>
        <w:spacing w:after="80" w:before="0"/>
        <w:ind w:left="160"/>
        <w:jc w:val="both"/>
      </w:pPr>
      <w:r>
        <w:rPr>
          <w:rFonts w:ascii="Arial" w:cs="Arial" w:eastAsia="Arial" w:hAnsi="Arial"/>
          <w:i w:val="false"/>
          <w:iCs w:val="false"/>
          <w:color w:val="1A1A2E"/>
          <w:sz w:val="20"/>
          <w:szCs w:val="20"/>
        </w:rPr>
        <w:t xml:space="preserve">The company may facilitate medical equipment procurement, supply chain management and distribution services for hospitals, clinics, diagnostic centers and healthcare institutions, leveraging its hospital relationships, technology infrastructure and logistics partnerships.</w:t>
      </w:r>
    </w:p>
    <w:p>
      <w:pPr>
        <w:spacing w:after="40" w:before="160"/>
        <w:ind/>
        <w:jc w:val="both"/>
      </w:pPr>
      <w:r>
        <w:rPr>
          <w:rFonts w:ascii="Arial" w:cs="Arial" w:eastAsia="Arial" w:hAnsi="Arial"/>
          <w:b/>
          <w:bCs/>
          <w:i w:val="false"/>
          <w:iCs w:val="false"/>
          <w:color w:val="1B3A5C"/>
          <w:sz w:val="20"/>
          <w:szCs w:val="20"/>
        </w:rPr>
        <w:t xml:space="preserve">Research Partnerships.</w:t>
      </w:r>
    </w:p>
    <w:p>
      <w:pPr>
        <w:spacing w:after="80" w:before="0"/>
        <w:ind w:left="160"/>
        <w:jc w:val="both"/>
      </w:pPr>
      <w:r>
        <w:rPr>
          <w:rFonts w:ascii="Arial" w:cs="Arial" w:eastAsia="Arial" w:hAnsi="Arial"/>
          <w:i w:val="false"/>
          <w:iCs w:val="false"/>
          <w:color w:val="1A1A2E"/>
          <w:sz w:val="20"/>
          <w:szCs w:val="20"/>
        </w:rPr>
        <w:t xml:space="preserve">The company may enter into formal research collaboration agreements with universities, academic medical centers, research institutions, public health bodies and international organizations for the purpose of conducting, co-authoring and publishing health technology research, securing research grants, and advancing evidence-based digital health innovation.</w:t>
      </w:r>
    </w:p>
    <w:p>
      <w:pPr>
        <w:spacing w:after="40" w:before="160"/>
        <w:ind/>
        <w:jc w:val="both"/>
      </w:pPr>
      <w:r>
        <w:rPr>
          <w:rFonts w:ascii="Arial" w:cs="Arial" w:eastAsia="Arial" w:hAnsi="Arial"/>
          <w:b/>
          <w:bCs/>
          <w:i w:val="false"/>
          <w:iCs w:val="false"/>
          <w:color w:val="1B3A5C"/>
          <w:sz w:val="20"/>
          <w:szCs w:val="20"/>
        </w:rPr>
        <w:t xml:space="preserve">Digital Health Education and Training.</w:t>
      </w:r>
    </w:p>
    <w:p>
      <w:pPr>
        <w:spacing w:after="80" w:before="0"/>
        <w:ind w:left="160"/>
        <w:jc w:val="both"/>
      </w:pPr>
      <w:r>
        <w:rPr>
          <w:rFonts w:ascii="Arial" w:cs="Arial" w:eastAsia="Arial" w:hAnsi="Arial"/>
          <w:i w:val="false"/>
          <w:iCs w:val="false"/>
          <w:color w:val="1A1A2E"/>
          <w:sz w:val="20"/>
          <w:szCs w:val="20"/>
        </w:rPr>
        <w:t xml:space="preserve">The company may design and deliver digital health curricula, medical informatics training programs and health information technology courses for nurses, doctors, specialists, technicians and other healthcare professionals. The company may partner with nursing schools, medical faculties, technical institutions and professional bodies to co-design training syllabuses and train-the-trainer programs, and to deliver hands-on practical training using company software and platforms.</w:t>
      </w:r>
    </w:p>
    <w:p>
      <w:pPr>
        <w:spacing w:after="40" w:before="160"/>
        <w:ind/>
        <w:jc w:val="both"/>
      </w:pPr>
      <w:r>
        <w:rPr>
          <w:rFonts w:ascii="Arial" w:cs="Arial" w:eastAsia="Arial" w:hAnsi="Arial"/>
          <w:b/>
          <w:bCs/>
          <w:i w:val="false"/>
          <w:iCs w:val="false"/>
          <w:color w:val="1B3A5C"/>
          <w:sz w:val="20"/>
          <w:szCs w:val="20"/>
        </w:rPr>
        <w:t xml:space="preserve">Certification Programs and Training Centers.</w:t>
      </w:r>
    </w:p>
    <w:p>
      <w:pPr>
        <w:spacing w:after="80" w:before="0"/>
        <w:ind w:left="160"/>
        <w:jc w:val="both"/>
      </w:pPr>
      <w:r>
        <w:rPr>
          <w:rFonts w:ascii="Arial" w:cs="Arial" w:eastAsia="Arial" w:hAnsi="Arial"/>
          <w:i w:val="false"/>
          <w:iCs w:val="false"/>
          <w:color w:val="1A1A2E"/>
          <w:sz w:val="20"/>
          <w:szCs w:val="20"/>
        </w:rPr>
        <w:t xml:space="preserve">The company may design and offer professional certification programs in digital health, health information technology, clinical decision support, medical informatics and related fields. The company intends to establish and, where required, obtain accreditation, licensing or recognition from competent national and international authorities to operate certified training centers in these fields. Pending its own institutional accreditation, the company may partner with recognized universities, professional bodies, regulatory agencies or internationally accredited institutions to co-certify programs, issue joint certifications and build toward independent institutional recognition.</w:t>
      </w:r>
    </w:p>
    <w:p>
      <w:pPr>
        <w:spacing w:after="80" w:before="80"/>
        <w:ind/>
        <w:jc w:val="both"/>
      </w:pPr>
      <w:r>
        <w:rPr>
          <w:rFonts w:ascii="Arial" w:cs="Arial" w:eastAsia="Arial" w:hAnsi="Arial"/>
          <w:i w:val="false"/>
          <w:iCs w:val="false"/>
          <w:color w:val="1A1A2E"/>
          <w:sz w:val="20"/>
          <w:szCs w:val="20"/>
        </w:rPr>
        <w:t xml:space="preserve">The company may also provide consulting, implementation, training, maintenance, data migration, software support, hardware support, cybersecurity support, compliance support and all related lawful commercial activities. Any activity requiring special license, approval, authorization, registration, certification or permit shall only be carried out after obtaining the required authorization.</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a pour objet, au Cameroun, en Afrique et à l'international, la conception, le développement, le déploiement, la licence, l'exploitation, la maintenance, l'intégration, la commercialisation, le support, la recherche, l'importation, l'exportation et la distribution de logiciels, matériels et infrastructures numériques de santé. Ses activités comprennent les dossiers médicaux électroniques (DME), dossiers de santé électroniques, systèmes d'information hospitaliers (SIH), logiciels de couverture santé universelle, systèmes Health ID, couches d'interopérabilité, échange d'informations de santé, systèmes de pharmacie, laboratoires, centres de diagnostic, intégration assurance-santé, reporting de santé publique, surveillance épidémiologique, télémédecine, suivi à distance des patients, systèmes d'aide à la décision clinique dont l'OPES CDSS, analyses de santé assistées par IA, appliances serveur hospitalières, infrastructure sécurisée des établissements, informatique de grade médical, montres de suivi de santé, moniteurs de signes vitaux, dispositifs de suivi cardiaque et technologies de santé connectées.</w:t>
      </w:r>
    </w:p>
    <w:p>
      <w:pPr>
        <w:spacing w:after="40" w:before="160"/>
        <w:ind w:left="200"/>
        <w:jc w:val="both"/>
      </w:pPr>
      <w:r>
        <w:rPr>
          <w:rFonts w:ascii="Arial" w:cs="Arial" w:eastAsia="Arial" w:hAnsi="Arial"/>
          <w:b/>
          <w:bCs/>
          <w:i/>
          <w:iCs/>
          <w:color w:val="0E692E"/>
          <w:sz w:val="19"/>
          <w:szCs w:val="19"/>
        </w:rPr>
        <w:t xml:space="preserve">Partenariats cliniques et validation.</w:t>
      </w:r>
    </w:p>
    <w:p>
      <w:pPr>
        <w:spacing w:after="80" w:before="0"/>
        <w:ind w:left="360"/>
        <w:jc w:val="both"/>
      </w:pPr>
      <w:r>
        <w:rPr>
          <w:rFonts w:ascii="Arial" w:cs="Arial" w:eastAsia="Arial" w:hAnsi="Arial"/>
          <w:i/>
          <w:iCs/>
          <w:color w:val="3D3D5C"/>
          <w:sz w:val="19"/>
          <w:szCs w:val="19"/>
        </w:rPr>
        <w:t xml:space="preserve">La société peut établir des partenariats avec des hôpitaux publics et privés, hôpitaux universitaires, cliniques, centres de diagnostic, laboratoires médicaux, écoles d'infirmiers, universités et institutions de formation médicale, syndicats de médecins, associations de pharmaciens et professionnels de santé licenciés indépendants notamment médecins, généralistes, spécialistes, infirmiers, radiologues, oncologues et autres cliniciens, aux fins de test, évaluation, validation et examen des technologies, logiciels, dispositifs et plateformes de la société.</w:t>
      </w:r>
    </w:p>
    <w:p>
      <w:pPr>
        <w:spacing w:after="40" w:before="160"/>
        <w:ind w:left="200"/>
        <w:jc w:val="both"/>
      </w:pPr>
      <w:r>
        <w:rPr>
          <w:rFonts w:ascii="Arial" w:cs="Arial" w:eastAsia="Arial" w:hAnsi="Arial"/>
          <w:b/>
          <w:bCs/>
          <w:i/>
          <w:iCs/>
          <w:color w:val="0E692E"/>
          <w:sz w:val="19"/>
          <w:szCs w:val="19"/>
        </w:rPr>
        <w:t xml:space="preserve">Partenariats pharmaceutiques et laboratoires.</w:t>
      </w:r>
    </w:p>
    <w:p>
      <w:pPr>
        <w:spacing w:after="80" w:before="0"/>
        <w:ind w:left="360"/>
        <w:jc w:val="both"/>
      </w:pPr>
      <w:r>
        <w:rPr>
          <w:rFonts w:ascii="Arial" w:cs="Arial" w:eastAsia="Arial" w:hAnsi="Arial"/>
          <w:i/>
          <w:iCs/>
          <w:color w:val="3D3D5C"/>
          <w:sz w:val="19"/>
          <w:szCs w:val="19"/>
        </w:rPr>
        <w:t xml:space="preserve">La société peut collaborer avec des entreprises pharmaceutiques, fabricants de médicaments, laboratoires de recherche et organismes de pharmacovigilance pour soutenir l'analyse des données médicamenteuses, la surveillance des effets secondaires, la recherche sur les interactions médicamenteuses, le suivi des événements indésirables, l'analyse des résultats cliniques et le reporting fondé sur des preuves.</w:t>
      </w:r>
    </w:p>
    <w:p>
      <w:pPr>
        <w:spacing w:after="40" w:before="160"/>
        <w:ind w:left="200"/>
        <w:jc w:val="both"/>
      </w:pPr>
      <w:r>
        <w:rPr>
          <w:rFonts w:ascii="Arial" w:cs="Arial" w:eastAsia="Arial" w:hAnsi="Arial"/>
          <w:b/>
          <w:bCs/>
          <w:i/>
          <w:iCs/>
          <w:color w:val="0E692E"/>
          <w:sz w:val="19"/>
          <w:szCs w:val="19"/>
        </w:rPr>
        <w:t xml:space="preserve">Assurance, financement de la santé et courtage.</w:t>
      </w:r>
    </w:p>
    <w:p>
      <w:pPr>
        <w:spacing w:after="80" w:before="0"/>
        <w:ind w:left="360"/>
        <w:jc w:val="both"/>
      </w:pPr>
      <w:r>
        <w:rPr>
          <w:rFonts w:ascii="Arial" w:cs="Arial" w:eastAsia="Arial" w:hAnsi="Arial"/>
          <w:i/>
          <w:iCs/>
          <w:color w:val="3D3D5C"/>
          <w:sz w:val="19"/>
          <w:szCs w:val="19"/>
        </w:rPr>
        <w:t xml:space="preserve">La société peut s'associer avec des compagnies d'assurance santé, assureurs généraux, fournisseurs de microassurance, mutuelles de santé et autres institutions financières pour intégrer des produits d'assurance et des solutions de financement de la santé dans ses plateformes dont l'application OPES Health ID. Sous réserve d'obtention des licences et autorisations réglementaires requises, la société peut agir en qualité d'intermédiaire, d'agent ou de courtier pour des produits d'assurance et des régimes de financement de la santé.</w:t>
      </w:r>
    </w:p>
    <w:p>
      <w:pPr>
        <w:spacing w:after="80" w:before="80"/>
        <w:ind w:left="200"/>
        <w:jc w:val="both"/>
      </w:pPr>
      <w:r>
        <w:rPr>
          <w:rFonts w:ascii="Arial" w:cs="Arial" w:eastAsia="Arial" w:hAnsi="Arial"/>
          <w:i/>
          <w:iCs/>
          <w:color w:val="3D3D5C"/>
          <w:sz w:val="19"/>
          <w:szCs w:val="19"/>
        </w:rPr>
        <w:t xml:space="preserve">OPESCare — Plateforme intégrée de télémédecine et de soins aux patients. La société a développé et exploite OPESCare, une plateforme numérique de santé intégrée, propriétaire, entièrement développée et en service, faisant partie de l'écosystème OPES Health ID. OPESCare permet la communication directe entre les professionnels de santé licenciés et les patients, et propose des modules de consultation en télémédecine, gestion des rendez-vous, émission et gestion des ordonnances électroniques, demandes et résultats d'analyses de laboratoire, vérification de la disponibilité des stocks en banque de sang, disponibilité des médicaments et des pharmacies, orientations et suivi des patients. La société peut étendre, licencier, intégrer et commercialiser OPESCare et ses modules au Cameroun, dans les États membres OHADA, en Afrique et à l'international.</w:t>
      </w:r>
    </w:p>
    <w:p>
      <w:pPr>
        <w:spacing w:after="40" w:before="160"/>
        <w:ind w:left="200"/>
        <w:jc w:val="both"/>
      </w:pPr>
      <w:r>
        <w:rPr>
          <w:rFonts w:ascii="Arial" w:cs="Arial" w:eastAsia="Arial" w:hAnsi="Arial"/>
          <w:b/>
          <w:bCs/>
          <w:i/>
          <w:iCs/>
          <w:color w:val="0E692E"/>
          <w:sz w:val="19"/>
          <w:szCs w:val="19"/>
        </w:rPr>
        <w:t xml:space="preserve">Analyse de données de santé comme service.</w:t>
      </w:r>
    </w:p>
    <w:p>
      <w:pPr>
        <w:spacing w:after="80" w:before="0"/>
        <w:ind w:left="360"/>
        <w:jc w:val="both"/>
      </w:pPr>
      <w:r>
        <w:rPr>
          <w:rFonts w:ascii="Arial" w:cs="Arial" w:eastAsia="Arial" w:hAnsi="Arial"/>
          <w:i/>
          <w:iCs/>
          <w:color w:val="3D3D5C"/>
          <w:sz w:val="19"/>
          <w:szCs w:val="19"/>
        </w:rPr>
        <w:t xml:space="preserve">La société peut offrir des analyses de santé populationnelle anonymisées et agrégées, des renseignements épidémiologiques, des données de surveillance de santé publique et des rapports de résultats cliniques comme service aux entreprises pharmaceutiques, agences de santé publique, assureurs, institutions de recherche et organismes gouvernementaux, sous réserve des lois applicables en matière de protection des données et de gouvernance.</w:t>
      </w:r>
    </w:p>
    <w:p>
      <w:pPr>
        <w:spacing w:after="40" w:before="160"/>
        <w:ind w:left="200"/>
        <w:jc w:val="both"/>
      </w:pPr>
      <w:r>
        <w:rPr>
          <w:rFonts w:ascii="Arial" w:cs="Arial" w:eastAsia="Arial" w:hAnsi="Arial"/>
          <w:b/>
          <w:bCs/>
          <w:i/>
          <w:iCs/>
          <w:color w:val="0E692E"/>
          <w:sz w:val="19"/>
          <w:szCs w:val="19"/>
        </w:rPr>
        <w:t xml:space="preserve">Facilitation de la chaîne d'approvisionnement médicale.</w:t>
      </w:r>
    </w:p>
    <w:p>
      <w:pPr>
        <w:spacing w:after="80" w:before="0"/>
        <w:ind w:left="360"/>
        <w:jc w:val="both"/>
      </w:pPr>
      <w:r>
        <w:rPr>
          <w:rFonts w:ascii="Arial" w:cs="Arial" w:eastAsia="Arial" w:hAnsi="Arial"/>
          <w:i/>
          <w:iCs/>
          <w:color w:val="3D3D5C"/>
          <w:sz w:val="19"/>
          <w:szCs w:val="19"/>
        </w:rPr>
        <w:t xml:space="preserve">La société peut faciliter l'approvisionnement en équipements médicaux, la gestion de la chaîne d'approvisionnement et les services de distribution pour les hôpitaux, cliniques, centres de diagnostic et institutions de santé.</w:t>
      </w:r>
    </w:p>
    <w:p>
      <w:pPr>
        <w:spacing w:after="40" w:before="160"/>
        <w:ind w:left="200"/>
        <w:jc w:val="both"/>
      </w:pPr>
      <w:r>
        <w:rPr>
          <w:rFonts w:ascii="Arial" w:cs="Arial" w:eastAsia="Arial" w:hAnsi="Arial"/>
          <w:b/>
          <w:bCs/>
          <w:i/>
          <w:iCs/>
          <w:color w:val="0E692E"/>
          <w:sz w:val="19"/>
          <w:szCs w:val="19"/>
        </w:rPr>
        <w:t xml:space="preserve">Partenariats de recherche.</w:t>
      </w:r>
    </w:p>
    <w:p>
      <w:pPr>
        <w:spacing w:after="80" w:before="0"/>
        <w:ind w:left="360"/>
        <w:jc w:val="both"/>
      </w:pPr>
      <w:r>
        <w:rPr>
          <w:rFonts w:ascii="Arial" w:cs="Arial" w:eastAsia="Arial" w:hAnsi="Arial"/>
          <w:i/>
          <w:iCs/>
          <w:color w:val="3D3D5C"/>
          <w:sz w:val="19"/>
          <w:szCs w:val="19"/>
        </w:rPr>
        <w:t xml:space="preserve">La société peut conclure des accords formels de collaboration en recherche avec des universités, centres médicaux académiques, institutions de recherche, organismes de santé publique et organisations internationales aux fins de mener, co-rédiger et publier des recherches en technologie de santé et obtenir des financements de recherche.</w:t>
      </w:r>
    </w:p>
    <w:p>
      <w:pPr>
        <w:spacing w:after="40" w:before="160"/>
        <w:ind w:left="200"/>
        <w:jc w:val="both"/>
      </w:pPr>
      <w:r>
        <w:rPr>
          <w:rFonts w:ascii="Arial" w:cs="Arial" w:eastAsia="Arial" w:hAnsi="Arial"/>
          <w:b/>
          <w:bCs/>
          <w:i/>
          <w:iCs/>
          <w:color w:val="0E692E"/>
          <w:sz w:val="19"/>
          <w:szCs w:val="19"/>
        </w:rPr>
        <w:t xml:space="preserve">Formation et enseignement en santé numérique.</w:t>
      </w:r>
    </w:p>
    <w:p>
      <w:pPr>
        <w:spacing w:after="80" w:before="0"/>
        <w:ind w:left="360"/>
        <w:jc w:val="both"/>
      </w:pPr>
      <w:r>
        <w:rPr>
          <w:rFonts w:ascii="Arial" w:cs="Arial" w:eastAsia="Arial" w:hAnsi="Arial"/>
          <w:i/>
          <w:iCs/>
          <w:color w:val="3D3D5C"/>
          <w:sz w:val="19"/>
          <w:szCs w:val="19"/>
        </w:rPr>
        <w:t xml:space="preserve">La société peut concevoir et dispenser des programmes de formation en santé numérique, informatique médicale et technologies de l'information de santé pour infirmiers, médecins, spécialistes, techniciens et autres professionnels de santé. La société peut s'associer avec des écoles d'infirmiers, facultés de médecine, institutions techniques et organismes professionnels pour co-concevoir des programmes de formation et former des formateurs, avec des enseignements pratiques sur ses logiciels et plateformes.</w:t>
      </w:r>
    </w:p>
    <w:p>
      <w:pPr>
        <w:spacing w:after="40" w:before="160"/>
        <w:ind w:left="200"/>
        <w:jc w:val="both"/>
      </w:pPr>
      <w:r>
        <w:rPr>
          <w:rFonts w:ascii="Arial" w:cs="Arial" w:eastAsia="Arial" w:hAnsi="Arial"/>
          <w:b/>
          <w:bCs/>
          <w:i/>
          <w:iCs/>
          <w:color w:val="0E692E"/>
          <w:sz w:val="19"/>
          <w:szCs w:val="19"/>
        </w:rPr>
        <w:t xml:space="preserve">Programmes de certification et centres de formation.</w:t>
      </w:r>
    </w:p>
    <w:p>
      <w:pPr>
        <w:spacing w:after="80" w:before="0"/>
        <w:ind w:left="360"/>
        <w:jc w:val="both"/>
      </w:pPr>
      <w:r>
        <w:rPr>
          <w:rFonts w:ascii="Arial" w:cs="Arial" w:eastAsia="Arial" w:hAnsi="Arial"/>
          <w:i/>
          <w:iCs/>
          <w:color w:val="3D3D5C"/>
          <w:sz w:val="19"/>
          <w:szCs w:val="19"/>
        </w:rPr>
        <w:t xml:space="preserve">La société peut concevoir et proposer des programmes de certification professionnelle en santé numérique, technologies de l'information de santé, aide à la décision clinique, informatique médicale et domaines connexes. La société entend établir et, lorsque requis, obtenir l'accréditation, l'agrément ou la reconnaissance des autorités compétentes nationales et internationales pour exploiter des centres de formation certifiés. Dans l'attente de sa propre accréditation institutionnelle, la société peut s'associer avec des universités reconnues, des ordres professionnels, des agences de réglementation ou des institutions internationalement accréditées pour co-certifier des programmes, délivrer des certifications conjointes et progresser vers une reconnaissance institutionnelle indépendante.</w:t>
      </w:r>
    </w:p>
    <w:p>
      <w:pPr>
        <w:spacing w:after="80" w:before="80"/>
        <w:ind w:left="200"/>
        <w:jc w:val="both"/>
      </w:pPr>
      <w:r>
        <w:rPr>
          <w:rFonts w:ascii="Arial" w:cs="Arial" w:eastAsia="Arial" w:hAnsi="Arial"/>
          <w:i/>
          <w:iCs/>
          <w:color w:val="3D3D5C"/>
          <w:sz w:val="19"/>
          <w:szCs w:val="19"/>
        </w:rPr>
        <w:t xml:space="preserve">La société peut également fournir conseil, mise en œuvre, formation, maintenance, migration de données, support logiciel, support matériel, cybersécurité, conformité et toutes activités commerciales connexes licites. Toute activité nécessitant une licence, approbation, autorisation, enregistrement, certification ou permis spécial ne sera exercée qu'après obtention de l'autorisation requise.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none" w:color="FFFFFF" w:sz="0"/>
              <w:bottom w:val="none" w:color="FFFFFF" w:sz="0"/>
              <w:right w:val="none" w:color="FFFFFF" w:sz="0"/>
            </w:tcBorders>
            <w:shd w:fill="0E692E" w:val="clear"/>
            <w:tcMar>
              <w:top w:type="dxa" w:w="140"/>
              <w:left w:type="dxa" w:w="200"/>
              <w:bottom w:type="dxa" w:w="140"/>
              <w:right w:type="dxa" w:w="200"/>
            </w:tcMar>
          </w:tcPr>
          <w:p>
            <w:pPr>
              <w:spacing w:after="0" w:before="0"/>
              <w:jc w:val="center"/>
            </w:pPr>
            <w:r>
              <w:rPr>
                <w:rFonts w:ascii="Arial" w:cs="Arial" w:eastAsia="Arial" w:hAnsi="Arial"/>
                <w:b/>
                <w:bCs/>
                <w:color w:val="FFFFFF"/>
                <w:sz w:val="26"/>
                <w:szCs w:val="26"/>
              </w:rPr>
              <w:t xml:space="preserve">PART II  —  ARTICLES OF ASSOCIATION  /  STATUTS</w:t>
            </w:r>
          </w:p>
        </w:tc>
      </w:tr>
    </w:tbl>
    <w:p>
      <w:pPr>
        <w:spacing w:after="28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6  —  SHARE CAPITAL  /  CAPITAL SOCIAL</w:t>
            </w:r>
          </w:p>
        </w:tc>
      </w:tr>
    </w:tbl>
    <w:p>
      <w:pPr>
        <w:spacing w:after="80" w:before="100"/>
        <w:ind/>
        <w:jc w:val="both"/>
      </w:pPr>
      <w:r>
        <w:rPr>
          <w:rFonts w:ascii="Arial" w:cs="Arial" w:eastAsia="Arial" w:hAnsi="Arial"/>
          <w:i w:val="false"/>
          <w:iCs w:val="false"/>
          <w:color w:val="1A1A2E"/>
          <w:sz w:val="20"/>
          <w:szCs w:val="20"/>
        </w:rPr>
        <w:t xml:space="preserve">The share capital is fixed at Nine Hundred and Ninety-Nine Thousand, Nine Hundred and Ninety-Nine Francs CFA (999,999 FCFA). It is divided into two hundred (200) shares, fully subscribed by the shareholders. This capital structure preserves the agreed ownership percentages and uses a nominal share value suitable for notary and registration purposes.</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 capital social est fixé à Neuf Cent Quatre-Vingt-Dix-Neuf Mille Neuf Cent Quatre-Vingt-Dix-Neuf Francs CFA (999 999 FCFA). Il est divisé en deux cents (200) parts sociales, entièrement souscrites par les associés. Cette structure de capital conserve les pourcentages convenus et utilise une valeur nominale adaptée aux formalités notariales et d'immatriculation.</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7  —  SHAREHOLDING AND CONTRIBUTIONS  /  RÉPARTITION DES PARTS ET APPORTS</w:t>
            </w:r>
          </w:p>
        </w:tc>
      </w:tr>
    </w:tbl>
    <w:p>
      <w:pPr>
        <w:spacing w:after="80" w:before="100"/>
        <w:ind/>
        <w:jc w:val="both"/>
      </w:pPr>
      <w:r>
        <w:rPr>
          <w:rFonts w:ascii="Arial" w:cs="Arial" w:eastAsia="Arial" w:hAnsi="Arial"/>
          <w:i w:val="false"/>
          <w:iCs w:val="false"/>
          <w:color w:val="1A1A2E"/>
          <w:sz w:val="20"/>
          <w:szCs w:val="20"/>
        </w:rPr>
        <w:t xml:space="preserve">The shares are allocated as follows: Jude Nshome holds 150 shares representing 75% of share capital; Nshome Jienceston Morningstar AfoFeyin, minor shareholder of three (3) years represented by Jude Nshome his father, holds 20 shares representing 10% of share capital; Mbu Trustine Nyuwikeh holds 10 shares representing 5% of share capital; Tang Nestor Che holds 10 shares representing 5% of share capital in his own name; Tang Dominion Chia, minor shareholder of five (5) years represented by Tang Nestor Che his father, holds 10 shares representing 5% of share capital. The total is 200 shares representing 100% of share capital at 999,999 FCFA. Contributions are in cash unless otherwise documented. Any contribution in kind, including intellectual property, software, domains, equipment, code, databases, hardware designs or other assets, shall be documented and valued in accordance with applicable law.</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Les parts sociales sont réparties comme suit : Jude Nshome détient 150 parts représentant 75% du capital social ; Nshome Jienceston Morningstar AfoFeyin, associé mineur de trois (3) ans représenté par Jude Nshome son père, détient 20 parts représentant 10% du capital social ; Mbu Trustine Nyuwikeh détient 10 parts représentant 5% du capital social ; Tang Nestor Che détient 10 parts représentant 5% du capital social en son nom propre ; Tang Dominion Chia, associé mineur de cinq (5) ans représenté par Tang Nestor Che son père, détient 10 parts représentant 5% du capital social. Le total est de 200 parts représentant 100% du capital social de 999 999 FCFA. Les apports sont en numéraire sauf documentation contraire. Tout apport en nature, y compris propriété intellectuelle, logiciels, domaines, équipements, code, bases de données, conceptions matérielles ou autres actifs, doit être documenté et évalué conformément à la loi applicable.</w:t>
      </w:r>
    </w:p>
    <w:p>
      <w:pPr>
        <w:spacing w:after="160" w:before="0"/>
      </w:pPr>
      <w:r>
        <w:t xml:space="preserve"/>
      </w:r>
    </w:p>
    <w:p>
      <w:pPr>
        <w:spacing w:after="20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514"/>
        <w:gridCol w:w="2514"/>
        <w:gridCol w:w="931"/>
        <w:gridCol w:w="1676"/>
        <w:gridCol w:w="745"/>
        <w:gridCol w:w="931"/>
      </w:tblGrid>
      <w:tr>
        <w:tc>
          <w:tcPr>
            <w:tcW w:type="dxa" w:w="2514"/>
            <w:tcBorders>
              <w:top w:val="single" w:color="D0D5DD" w:sz="4"/>
              <w:left w:val="single" w:color="D0D5DD" w:sz="4"/>
              <w:bottom w:val="single" w:color="D0D5DD" w:sz="4"/>
              <w:right w:val="single" w:color="D0D5DD" w:sz="4"/>
            </w:tcBorders>
            <w:shd w:fill="1B3A5C" w:val="clear"/>
            <w:tcMar>
              <w:top w:type="dxa" w:w="80"/>
              <w:left w:type="dxa" w:w="100"/>
              <w:bottom w:type="dxa" w:w="80"/>
              <w:right w:type="dxa" w:w="80"/>
            </w:tcMar>
          </w:tcPr>
          <w:p>
            <w:pPr>
              <w:spacing w:after="0" w:before="0"/>
              <w:jc w:val="left"/>
            </w:pPr>
            <w:r>
              <w:rPr>
                <w:rFonts w:ascii="Arial" w:cs="Arial" w:eastAsia="Arial" w:hAnsi="Arial"/>
                <w:b/>
                <w:bCs/>
                <w:color w:val="FFFFFF"/>
                <w:sz w:val="17"/>
                <w:szCs w:val="17"/>
              </w:rPr>
              <w:t xml:space="preserve">Shareholder  /  Associé</w:t>
            </w:r>
          </w:p>
        </w:tc>
        <w:tc>
          <w:tcPr>
            <w:tcW w:type="dxa" w:w="2514"/>
            <w:tcBorders>
              <w:top w:val="single" w:color="D0D5DD" w:sz="4"/>
              <w:left w:val="single" w:color="D0D5DD" w:sz="4"/>
              <w:bottom w:val="single" w:color="D0D5DD" w:sz="4"/>
              <w:right w:val="single" w:color="D0D5DD" w:sz="4"/>
            </w:tcBorders>
            <w:shd w:fill="1B3A5C" w:val="clear"/>
            <w:tcMar>
              <w:top w:type="dxa" w:w="80"/>
              <w:left w:type="dxa" w:w="100"/>
              <w:bottom w:type="dxa" w:w="80"/>
              <w:right w:type="dxa" w:w="80"/>
            </w:tcMar>
          </w:tcPr>
          <w:p>
            <w:pPr>
              <w:spacing w:after="0" w:before="0"/>
              <w:jc w:val="left"/>
            </w:pPr>
            <w:r>
              <w:rPr>
                <w:rFonts w:ascii="Arial" w:cs="Arial" w:eastAsia="Arial" w:hAnsi="Arial"/>
                <w:b/>
                <w:bCs/>
                <w:color w:val="FFFFFF"/>
                <w:sz w:val="17"/>
                <w:szCs w:val="17"/>
              </w:rPr>
              <w:t xml:space="preserve">Capacity  /  Qualité</w:t>
            </w:r>
          </w:p>
        </w:tc>
        <w:tc>
          <w:tcPr>
            <w:tcW w:type="dxa" w:w="931"/>
            <w:tcBorders>
              <w:top w:val="single" w:color="D0D5DD" w:sz="4"/>
              <w:left w:val="single" w:color="D0D5DD" w:sz="4"/>
              <w:bottom w:val="single" w:color="D0D5DD" w:sz="4"/>
              <w:right w:val="single" w:color="D0D5DD" w:sz="4"/>
            </w:tcBorders>
            <w:shd w:fill="1B3A5C" w:val="clear"/>
            <w:tcMar>
              <w:top w:type="dxa" w:w="80"/>
              <w:left w:type="dxa" w:w="100"/>
              <w:bottom w:type="dxa" w:w="80"/>
              <w:right w:type="dxa" w:w="80"/>
            </w:tcMar>
          </w:tcPr>
          <w:p>
            <w:pPr>
              <w:spacing w:after="0" w:before="0"/>
              <w:jc w:val="center"/>
            </w:pPr>
            <w:r>
              <w:rPr>
                <w:rFonts w:ascii="Arial" w:cs="Arial" w:eastAsia="Arial" w:hAnsi="Arial"/>
                <w:b/>
                <w:bCs/>
                <w:color w:val="FFFFFF"/>
                <w:sz w:val="17"/>
                <w:szCs w:val="17"/>
              </w:rPr>
              <w:t xml:space="preserve">Shares  /  Parts</w:t>
            </w:r>
          </w:p>
        </w:tc>
        <w:tc>
          <w:tcPr>
            <w:tcW w:type="dxa" w:w="1676"/>
            <w:tcBorders>
              <w:top w:val="single" w:color="D0D5DD" w:sz="4"/>
              <w:left w:val="single" w:color="D0D5DD" w:sz="4"/>
              <w:bottom w:val="single" w:color="D0D5DD" w:sz="4"/>
              <w:right w:val="single" w:color="D0D5DD" w:sz="4"/>
            </w:tcBorders>
            <w:shd w:fill="1B3A5C" w:val="clear"/>
            <w:tcMar>
              <w:top w:type="dxa" w:w="80"/>
              <w:left w:type="dxa" w:w="100"/>
              <w:bottom w:type="dxa" w:w="80"/>
              <w:right w:type="dxa" w:w="80"/>
            </w:tcMar>
          </w:tcPr>
          <w:p>
            <w:pPr>
              <w:spacing w:after="0" w:before="0"/>
              <w:jc w:val="center"/>
            </w:pPr>
            <w:r>
              <w:rPr>
                <w:rFonts w:ascii="Arial" w:cs="Arial" w:eastAsia="Arial" w:hAnsi="Arial"/>
                <w:b/>
                <w:bCs/>
                <w:color w:val="FFFFFF"/>
                <w:sz w:val="17"/>
                <w:szCs w:val="17"/>
              </w:rPr>
              <w:t xml:space="preserve">Value  /  Valeur</w:t>
            </w:r>
          </w:p>
        </w:tc>
        <w:tc>
          <w:tcPr>
            <w:tcW w:type="dxa" w:w="745"/>
            <w:tcBorders>
              <w:top w:val="single" w:color="D0D5DD" w:sz="4"/>
              <w:left w:val="single" w:color="D0D5DD" w:sz="4"/>
              <w:bottom w:val="single" w:color="D0D5DD" w:sz="4"/>
              <w:right w:val="single" w:color="D0D5DD" w:sz="4"/>
            </w:tcBorders>
            <w:shd w:fill="1B3A5C" w:val="clear"/>
            <w:tcMar>
              <w:top w:type="dxa" w:w="80"/>
              <w:left w:type="dxa" w:w="100"/>
              <w:bottom w:type="dxa" w:w="80"/>
              <w:right w:type="dxa" w:w="80"/>
            </w:tcMar>
          </w:tcPr>
          <w:p>
            <w:pPr>
              <w:spacing w:after="0" w:before="0"/>
              <w:jc w:val="center"/>
            </w:pPr>
            <w:r>
              <w:rPr>
                <w:rFonts w:ascii="Arial" w:cs="Arial" w:eastAsia="Arial" w:hAnsi="Arial"/>
                <w:b/>
                <w:bCs/>
                <w:color w:val="FFFFFF"/>
                <w:sz w:val="17"/>
                <w:szCs w:val="17"/>
              </w:rPr>
              <w:t xml:space="preserve">%</w:t>
            </w:r>
          </w:p>
        </w:tc>
        <w:tc>
          <w:tcPr>
            <w:tcW w:type="dxa" w:w="931"/>
            <w:tcBorders>
              <w:top w:val="single" w:color="D0D5DD" w:sz="4"/>
              <w:left w:val="single" w:color="D0D5DD" w:sz="4"/>
              <w:bottom w:val="single" w:color="D0D5DD" w:sz="4"/>
              <w:right w:val="single" w:color="D0D5DD" w:sz="4"/>
            </w:tcBorders>
            <w:shd w:fill="1B3A5C" w:val="clear"/>
            <w:tcMar>
              <w:top w:type="dxa" w:w="80"/>
              <w:left w:type="dxa" w:w="100"/>
              <w:bottom w:type="dxa" w:w="80"/>
              <w:right w:type="dxa" w:w="80"/>
            </w:tcMar>
          </w:tcPr>
          <w:p>
            <w:pPr>
              <w:spacing w:after="0" w:before="0"/>
              <w:jc w:val="center"/>
            </w:pPr>
            <w:r>
              <w:rPr>
                <w:rFonts w:ascii="Arial" w:cs="Arial" w:eastAsia="Arial" w:hAnsi="Arial"/>
                <w:b/>
                <w:bCs/>
                <w:color w:val="FFFFFF"/>
                <w:sz w:val="17"/>
                <w:szCs w:val="17"/>
              </w:rPr>
              <w:t xml:space="preserve">Type</w:t>
            </w:r>
          </w:p>
        </w:tc>
      </w:tr>
      <w:tr>
        <w:tc>
          <w:tcPr>
            <w:tcW w:type="dxa" w:w="2514"/>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0" w:before="0"/>
              <w:jc w:val="left"/>
            </w:pPr>
            <w:r>
              <w:rPr>
                <w:rFonts w:ascii="Arial" w:cs="Arial" w:eastAsia="Arial" w:hAnsi="Arial"/>
                <w:i w:val="false"/>
                <w:iCs w:val="false"/>
                <w:color w:val="1A1A2E"/>
                <w:sz w:val="17"/>
                <w:szCs w:val="17"/>
              </w:rPr>
              <w:t xml:space="preserve">Jude Nshome</w:t>
            </w:r>
          </w:p>
        </w:tc>
        <w:tc>
          <w:tcPr>
            <w:tcW w:type="dxa" w:w="2514"/>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30" w:before="0"/>
              <w:jc w:val="left"/>
            </w:pPr>
            <w:r>
              <w:rPr>
                <w:rFonts w:ascii="Arial" w:cs="Arial" w:eastAsia="Arial" w:hAnsi="Arial"/>
                <w:i w:val="false"/>
                <w:iCs w:val="false"/>
                <w:color w:val="1A1A2E"/>
                <w:sz w:val="17"/>
                <w:szCs w:val="17"/>
              </w:rPr>
              <w:t xml:space="preserve">Founder &amp; first Manager</w:t>
            </w:r>
          </w:p>
          <w:p>
            <w:pPr>
              <w:spacing w:after="0" w:before="0"/>
              <w:jc w:val="left"/>
            </w:pPr>
            <w:r>
              <w:rPr>
                <w:rFonts w:ascii="Arial" w:cs="Arial" w:eastAsia="Arial" w:hAnsi="Arial"/>
                <w:i/>
                <w:iCs/>
                <w:color w:val="1A1A2E"/>
                <w:sz w:val="17"/>
                <w:szCs w:val="17"/>
              </w:rPr>
              <w:t xml:space="preserve">Fondateur &amp; premier Gérant</w:t>
            </w:r>
          </w:p>
        </w:tc>
        <w:tc>
          <w:tcPr>
            <w:tcW w:type="dxa" w:w="931"/>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150</w:t>
            </w:r>
          </w:p>
        </w:tc>
        <w:tc>
          <w:tcPr>
            <w:tcW w:type="dxa" w:w="1676"/>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749,999.25 FCFA</w:t>
            </w:r>
          </w:p>
        </w:tc>
        <w:tc>
          <w:tcPr>
            <w:tcW w:type="dxa" w:w="745"/>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75%</w:t>
            </w:r>
          </w:p>
        </w:tc>
        <w:tc>
          <w:tcPr>
            <w:tcW w:type="dxa" w:w="931"/>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30" w:before="0"/>
              <w:jc w:val="center"/>
            </w:pPr>
            <w:r>
              <w:rPr>
                <w:rFonts w:ascii="Arial" w:cs="Arial" w:eastAsia="Arial" w:hAnsi="Arial"/>
                <w:i w:val="false"/>
                <w:iCs w:val="false"/>
                <w:color w:val="1A1A2E"/>
                <w:sz w:val="17"/>
                <w:szCs w:val="17"/>
              </w:rPr>
              <w:t xml:space="preserve">Cash</w:t>
            </w:r>
          </w:p>
          <w:p>
            <w:pPr>
              <w:spacing w:after="0" w:before="0"/>
              <w:jc w:val="center"/>
            </w:pPr>
            <w:r>
              <w:rPr>
                <w:rFonts w:ascii="Arial" w:cs="Arial" w:eastAsia="Arial" w:hAnsi="Arial"/>
                <w:i w:val="false"/>
                <w:iCs w:val="false"/>
                <w:color w:val="1A1A2E"/>
                <w:sz w:val="17"/>
                <w:szCs w:val="17"/>
              </w:rPr>
              <w:t xml:space="preserve">Numéraire</w:t>
            </w:r>
          </w:p>
        </w:tc>
      </w:tr>
      <w:tr>
        <w:tc>
          <w:tcPr>
            <w:tcW w:type="dxa" w:w="2514"/>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30" w:before="0"/>
              <w:jc w:val="left"/>
            </w:pPr>
            <w:r>
              <w:rPr>
                <w:rFonts w:ascii="Arial" w:cs="Arial" w:eastAsia="Arial" w:hAnsi="Arial"/>
                <w:i w:val="false"/>
                <w:iCs w:val="false"/>
                <w:color w:val="1A1A2E"/>
                <w:sz w:val="17"/>
                <w:szCs w:val="17"/>
              </w:rPr>
              <w:t xml:space="preserve">Nshome Jienceston</w:t>
            </w:r>
          </w:p>
          <w:p>
            <w:pPr>
              <w:spacing w:after="30" w:before="0"/>
              <w:jc w:val="left"/>
            </w:pPr>
            <w:r>
              <w:rPr>
                <w:rFonts w:ascii="Arial" w:cs="Arial" w:eastAsia="Arial" w:hAnsi="Arial"/>
                <w:i/>
                <w:iCs/>
                <w:color w:val="1A1A2E"/>
                <w:sz w:val="17"/>
                <w:szCs w:val="17"/>
              </w:rPr>
              <w:t xml:space="preserve">Morningstar AfoFeyin</w:t>
            </w:r>
          </w:p>
          <w:p>
            <w:pPr>
              <w:spacing w:after="0" w:before="0"/>
              <w:jc w:val="left"/>
            </w:pPr>
            <w:r>
              <w:rPr>
                <w:rFonts w:ascii="Arial" w:cs="Arial" w:eastAsia="Arial" w:hAnsi="Arial"/>
                <w:i/>
                <w:iCs/>
                <w:color w:val="1A1A2E"/>
                <w:sz w:val="17"/>
                <w:szCs w:val="17"/>
              </w:rPr>
              <w:t xml:space="preserve">(minor, 3 yrs — rep: Jude Nshome)</w:t>
            </w:r>
          </w:p>
        </w:tc>
        <w:tc>
          <w:tcPr>
            <w:tcW w:type="dxa" w:w="2514"/>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30" w:before="0"/>
              <w:jc w:val="left"/>
            </w:pPr>
            <w:r>
              <w:rPr>
                <w:rFonts w:ascii="Arial" w:cs="Arial" w:eastAsia="Arial" w:hAnsi="Arial"/>
                <w:i w:val="false"/>
                <w:iCs w:val="false"/>
                <w:color w:val="1A1A2E"/>
                <w:sz w:val="17"/>
                <w:szCs w:val="17"/>
              </w:rPr>
              <w:t xml:space="preserve">Minor shareholder</w:t>
            </w:r>
          </w:p>
          <w:p>
            <w:pPr>
              <w:spacing w:after="0" w:before="0"/>
              <w:jc w:val="left"/>
            </w:pPr>
            <w:r>
              <w:rPr>
                <w:rFonts w:ascii="Arial" w:cs="Arial" w:eastAsia="Arial" w:hAnsi="Arial"/>
                <w:i/>
                <w:iCs/>
                <w:color w:val="1A1A2E"/>
                <w:sz w:val="17"/>
                <w:szCs w:val="17"/>
              </w:rPr>
              <w:t xml:space="preserve">Associé mineur</w:t>
            </w:r>
          </w:p>
        </w:tc>
        <w:tc>
          <w:tcPr>
            <w:tcW w:type="dxa" w:w="931"/>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20</w:t>
            </w:r>
          </w:p>
        </w:tc>
        <w:tc>
          <w:tcPr>
            <w:tcW w:type="dxa" w:w="1676"/>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99,999.90 FCFA</w:t>
            </w:r>
          </w:p>
        </w:tc>
        <w:tc>
          <w:tcPr>
            <w:tcW w:type="dxa" w:w="745"/>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10%</w:t>
            </w:r>
          </w:p>
        </w:tc>
        <w:tc>
          <w:tcPr>
            <w:tcW w:type="dxa" w:w="931"/>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30" w:before="0"/>
              <w:jc w:val="center"/>
            </w:pPr>
            <w:r>
              <w:rPr>
                <w:rFonts w:ascii="Arial" w:cs="Arial" w:eastAsia="Arial" w:hAnsi="Arial"/>
                <w:i w:val="false"/>
                <w:iCs w:val="false"/>
                <w:color w:val="1A1A2E"/>
                <w:sz w:val="17"/>
                <w:szCs w:val="17"/>
              </w:rPr>
              <w:t xml:space="preserve">Cash</w:t>
            </w:r>
          </w:p>
          <w:p>
            <w:pPr>
              <w:spacing w:after="0" w:before="0"/>
              <w:jc w:val="center"/>
            </w:pPr>
            <w:r>
              <w:rPr>
                <w:rFonts w:ascii="Arial" w:cs="Arial" w:eastAsia="Arial" w:hAnsi="Arial"/>
                <w:i w:val="false"/>
                <w:iCs w:val="false"/>
                <w:color w:val="1A1A2E"/>
                <w:sz w:val="17"/>
                <w:szCs w:val="17"/>
              </w:rPr>
              <w:t xml:space="preserve">Numéraire</w:t>
            </w:r>
          </w:p>
        </w:tc>
      </w:tr>
      <w:tr>
        <w:tc>
          <w:tcPr>
            <w:tcW w:type="dxa" w:w="2514"/>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0" w:before="0"/>
              <w:jc w:val="left"/>
            </w:pPr>
            <w:r>
              <w:rPr>
                <w:rFonts w:ascii="Arial" w:cs="Arial" w:eastAsia="Arial" w:hAnsi="Arial"/>
                <w:i w:val="false"/>
                <w:iCs w:val="false"/>
                <w:color w:val="1A1A2E"/>
                <w:sz w:val="17"/>
                <w:szCs w:val="17"/>
              </w:rPr>
              <w:t xml:space="preserve">Mbu Trustine Nyuwikeh</w:t>
            </w:r>
          </w:p>
        </w:tc>
        <w:tc>
          <w:tcPr>
            <w:tcW w:type="dxa" w:w="2514"/>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30" w:before="0"/>
              <w:jc w:val="left"/>
            </w:pPr>
            <w:r>
              <w:rPr>
                <w:rFonts w:ascii="Arial" w:cs="Arial" w:eastAsia="Arial" w:hAnsi="Arial"/>
                <w:i w:val="false"/>
                <w:iCs w:val="false"/>
                <w:color w:val="1A1A2E"/>
                <w:sz w:val="17"/>
                <w:szCs w:val="17"/>
              </w:rPr>
              <w:t xml:space="preserve">Shareholder</w:t>
            </w:r>
          </w:p>
          <w:p>
            <w:pPr>
              <w:spacing w:after="0" w:before="0"/>
              <w:jc w:val="left"/>
            </w:pPr>
            <w:r>
              <w:rPr>
                <w:rFonts w:ascii="Arial" w:cs="Arial" w:eastAsia="Arial" w:hAnsi="Arial"/>
                <w:i/>
                <w:iCs/>
                <w:color w:val="1A1A2E"/>
                <w:sz w:val="17"/>
                <w:szCs w:val="17"/>
              </w:rPr>
              <w:t xml:space="preserve">Associée</w:t>
            </w:r>
          </w:p>
        </w:tc>
        <w:tc>
          <w:tcPr>
            <w:tcW w:type="dxa" w:w="931"/>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10</w:t>
            </w:r>
          </w:p>
        </w:tc>
        <w:tc>
          <w:tcPr>
            <w:tcW w:type="dxa" w:w="1676"/>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49,999.95 FCFA</w:t>
            </w:r>
          </w:p>
        </w:tc>
        <w:tc>
          <w:tcPr>
            <w:tcW w:type="dxa" w:w="745"/>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5%</w:t>
            </w:r>
          </w:p>
        </w:tc>
        <w:tc>
          <w:tcPr>
            <w:tcW w:type="dxa" w:w="931"/>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30" w:before="0"/>
              <w:jc w:val="center"/>
            </w:pPr>
            <w:r>
              <w:rPr>
                <w:rFonts w:ascii="Arial" w:cs="Arial" w:eastAsia="Arial" w:hAnsi="Arial"/>
                <w:i w:val="false"/>
                <w:iCs w:val="false"/>
                <w:color w:val="1A1A2E"/>
                <w:sz w:val="17"/>
                <w:szCs w:val="17"/>
              </w:rPr>
              <w:t xml:space="preserve">Cash</w:t>
            </w:r>
          </w:p>
          <w:p>
            <w:pPr>
              <w:spacing w:after="0" w:before="0"/>
              <w:jc w:val="center"/>
            </w:pPr>
            <w:r>
              <w:rPr>
                <w:rFonts w:ascii="Arial" w:cs="Arial" w:eastAsia="Arial" w:hAnsi="Arial"/>
                <w:i w:val="false"/>
                <w:iCs w:val="false"/>
                <w:color w:val="1A1A2E"/>
                <w:sz w:val="17"/>
                <w:szCs w:val="17"/>
              </w:rPr>
              <w:t xml:space="preserve">Numéraire</w:t>
            </w:r>
          </w:p>
        </w:tc>
      </w:tr>
      <w:tr>
        <w:tc>
          <w:tcPr>
            <w:tcW w:type="dxa" w:w="2514"/>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0" w:before="0"/>
              <w:jc w:val="left"/>
            </w:pPr>
            <w:r>
              <w:rPr>
                <w:rFonts w:ascii="Arial" w:cs="Arial" w:eastAsia="Arial" w:hAnsi="Arial"/>
                <w:i w:val="false"/>
                <w:iCs w:val="false"/>
                <w:color w:val="1A1A2E"/>
                <w:sz w:val="17"/>
                <w:szCs w:val="17"/>
              </w:rPr>
              <w:t xml:space="preserve">Tang Nestor Che</w:t>
            </w:r>
          </w:p>
        </w:tc>
        <w:tc>
          <w:tcPr>
            <w:tcW w:type="dxa" w:w="2514"/>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30" w:before="0"/>
              <w:jc w:val="left"/>
            </w:pPr>
            <w:r>
              <w:rPr>
                <w:rFonts w:ascii="Arial" w:cs="Arial" w:eastAsia="Arial" w:hAnsi="Arial"/>
                <w:i w:val="false"/>
                <w:iCs w:val="false"/>
                <w:color w:val="1A1A2E"/>
                <w:sz w:val="17"/>
                <w:szCs w:val="17"/>
              </w:rPr>
              <w:t xml:space="preserve">Shareholder</w:t>
            </w:r>
          </w:p>
          <w:p>
            <w:pPr>
              <w:spacing w:after="0" w:before="0"/>
              <w:jc w:val="left"/>
            </w:pPr>
            <w:r>
              <w:rPr>
                <w:rFonts w:ascii="Arial" w:cs="Arial" w:eastAsia="Arial" w:hAnsi="Arial"/>
                <w:i/>
                <w:iCs/>
                <w:color w:val="1A1A2E"/>
                <w:sz w:val="17"/>
                <w:szCs w:val="17"/>
              </w:rPr>
              <w:t xml:space="preserve">Associé</w:t>
            </w:r>
          </w:p>
        </w:tc>
        <w:tc>
          <w:tcPr>
            <w:tcW w:type="dxa" w:w="931"/>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10</w:t>
            </w:r>
          </w:p>
        </w:tc>
        <w:tc>
          <w:tcPr>
            <w:tcW w:type="dxa" w:w="1676"/>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49,999.95 FCFA</w:t>
            </w:r>
          </w:p>
        </w:tc>
        <w:tc>
          <w:tcPr>
            <w:tcW w:type="dxa" w:w="745"/>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5%</w:t>
            </w:r>
          </w:p>
        </w:tc>
        <w:tc>
          <w:tcPr>
            <w:tcW w:type="dxa" w:w="931"/>
            <w:tcBorders>
              <w:top w:val="single" w:color="D0D5DD" w:sz="4"/>
              <w:left w:val="single" w:color="D0D5DD" w:sz="4"/>
              <w:bottom w:val="single" w:color="D0D5DD" w:sz="4"/>
              <w:right w:val="single" w:color="D0D5DD" w:sz="4"/>
            </w:tcBorders>
            <w:shd w:fill="FFFFFF" w:val="clear"/>
            <w:tcMar>
              <w:top w:type="dxa" w:w="80"/>
              <w:left w:type="dxa" w:w="100"/>
              <w:bottom w:type="dxa" w:w="80"/>
              <w:right w:type="dxa" w:w="80"/>
            </w:tcMar>
          </w:tcPr>
          <w:p>
            <w:pPr>
              <w:spacing w:after="30" w:before="0"/>
              <w:jc w:val="center"/>
            </w:pPr>
            <w:r>
              <w:rPr>
                <w:rFonts w:ascii="Arial" w:cs="Arial" w:eastAsia="Arial" w:hAnsi="Arial"/>
                <w:i w:val="false"/>
                <w:iCs w:val="false"/>
                <w:color w:val="1A1A2E"/>
                <w:sz w:val="17"/>
                <w:szCs w:val="17"/>
              </w:rPr>
              <w:t xml:space="preserve">Cash</w:t>
            </w:r>
          </w:p>
          <w:p>
            <w:pPr>
              <w:spacing w:after="0" w:before="0"/>
              <w:jc w:val="center"/>
            </w:pPr>
            <w:r>
              <w:rPr>
                <w:rFonts w:ascii="Arial" w:cs="Arial" w:eastAsia="Arial" w:hAnsi="Arial"/>
                <w:i w:val="false"/>
                <w:iCs w:val="false"/>
                <w:color w:val="1A1A2E"/>
                <w:sz w:val="17"/>
                <w:szCs w:val="17"/>
              </w:rPr>
              <w:t xml:space="preserve">Numéraire</w:t>
            </w:r>
          </w:p>
        </w:tc>
      </w:tr>
      <w:tr>
        <w:tc>
          <w:tcPr>
            <w:tcW w:type="dxa" w:w="2514"/>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30" w:before="0"/>
              <w:jc w:val="left"/>
            </w:pPr>
            <w:r>
              <w:rPr>
                <w:rFonts w:ascii="Arial" w:cs="Arial" w:eastAsia="Arial" w:hAnsi="Arial"/>
                <w:i w:val="false"/>
                <w:iCs w:val="false"/>
                <w:color w:val="1A1A2E"/>
                <w:sz w:val="17"/>
                <w:szCs w:val="17"/>
              </w:rPr>
              <w:t xml:space="preserve">Tang Dominion Chia</w:t>
            </w:r>
          </w:p>
          <w:p>
            <w:pPr>
              <w:spacing w:after="0" w:before="0"/>
              <w:jc w:val="left"/>
            </w:pPr>
            <w:r>
              <w:rPr>
                <w:rFonts w:ascii="Arial" w:cs="Arial" w:eastAsia="Arial" w:hAnsi="Arial"/>
                <w:i/>
                <w:iCs/>
                <w:color w:val="1A1A2E"/>
                <w:sz w:val="17"/>
                <w:szCs w:val="17"/>
              </w:rPr>
              <w:t xml:space="preserve">(minor, 5 yrs — rep: Tang Nestor Che)</w:t>
            </w:r>
          </w:p>
        </w:tc>
        <w:tc>
          <w:tcPr>
            <w:tcW w:type="dxa" w:w="2514"/>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30" w:before="0"/>
              <w:jc w:val="left"/>
            </w:pPr>
            <w:r>
              <w:rPr>
                <w:rFonts w:ascii="Arial" w:cs="Arial" w:eastAsia="Arial" w:hAnsi="Arial"/>
                <w:i w:val="false"/>
                <w:iCs w:val="false"/>
                <w:color w:val="1A1A2E"/>
                <w:sz w:val="17"/>
                <w:szCs w:val="17"/>
              </w:rPr>
              <w:t xml:space="preserve">Minor shareholder</w:t>
            </w:r>
          </w:p>
          <w:p>
            <w:pPr>
              <w:spacing w:after="0" w:before="0"/>
              <w:jc w:val="left"/>
            </w:pPr>
            <w:r>
              <w:rPr>
                <w:rFonts w:ascii="Arial" w:cs="Arial" w:eastAsia="Arial" w:hAnsi="Arial"/>
                <w:i/>
                <w:iCs/>
                <w:color w:val="1A1A2E"/>
                <w:sz w:val="17"/>
                <w:szCs w:val="17"/>
              </w:rPr>
              <w:t xml:space="preserve">Associé mineur</w:t>
            </w:r>
          </w:p>
        </w:tc>
        <w:tc>
          <w:tcPr>
            <w:tcW w:type="dxa" w:w="931"/>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10</w:t>
            </w:r>
          </w:p>
        </w:tc>
        <w:tc>
          <w:tcPr>
            <w:tcW w:type="dxa" w:w="1676"/>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49,999.95 FCFA</w:t>
            </w:r>
          </w:p>
        </w:tc>
        <w:tc>
          <w:tcPr>
            <w:tcW w:type="dxa" w:w="745"/>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0" w:before="0"/>
              <w:jc w:val="center"/>
            </w:pPr>
            <w:r>
              <w:rPr>
                <w:rFonts w:ascii="Arial" w:cs="Arial" w:eastAsia="Arial" w:hAnsi="Arial"/>
                <w:i w:val="false"/>
                <w:iCs w:val="false"/>
                <w:color w:val="1A1A2E"/>
                <w:sz w:val="17"/>
                <w:szCs w:val="17"/>
              </w:rPr>
              <w:t xml:space="preserve">5%</w:t>
            </w:r>
          </w:p>
        </w:tc>
        <w:tc>
          <w:tcPr>
            <w:tcW w:type="dxa" w:w="931"/>
            <w:tcBorders>
              <w:top w:val="single" w:color="D0D5DD" w:sz="4"/>
              <w:left w:val="single" w:color="D0D5DD" w:sz="4"/>
              <w:bottom w:val="single" w:color="D0D5DD" w:sz="4"/>
              <w:right w:val="single" w:color="D0D5DD" w:sz="4"/>
            </w:tcBorders>
            <w:shd w:fill="F2F4F7" w:val="clear"/>
            <w:tcMar>
              <w:top w:type="dxa" w:w="80"/>
              <w:left w:type="dxa" w:w="100"/>
              <w:bottom w:type="dxa" w:w="80"/>
              <w:right w:type="dxa" w:w="80"/>
            </w:tcMar>
          </w:tcPr>
          <w:p>
            <w:pPr>
              <w:spacing w:after="30" w:before="0"/>
              <w:jc w:val="center"/>
            </w:pPr>
            <w:r>
              <w:rPr>
                <w:rFonts w:ascii="Arial" w:cs="Arial" w:eastAsia="Arial" w:hAnsi="Arial"/>
                <w:i w:val="false"/>
                <w:iCs w:val="false"/>
                <w:color w:val="1A1A2E"/>
                <w:sz w:val="17"/>
                <w:szCs w:val="17"/>
              </w:rPr>
              <w:t xml:space="preserve">Cash</w:t>
            </w:r>
          </w:p>
          <w:p>
            <w:pPr>
              <w:spacing w:after="0" w:before="0"/>
              <w:jc w:val="center"/>
            </w:pPr>
            <w:r>
              <w:rPr>
                <w:rFonts w:ascii="Arial" w:cs="Arial" w:eastAsia="Arial" w:hAnsi="Arial"/>
                <w:i w:val="false"/>
                <w:iCs w:val="false"/>
                <w:color w:val="1A1A2E"/>
                <w:sz w:val="17"/>
                <w:szCs w:val="17"/>
              </w:rPr>
              <w:t xml:space="preserve">Numéraire</w:t>
            </w:r>
          </w:p>
        </w:tc>
      </w:tr>
      <w:tr>
        <w:tc>
          <w:tcPr>
            <w:tcW w:type="dxa" w:w="2514"/>
            <w:tcBorders>
              <w:top w:val="single" w:color="D0D5DD" w:sz="4"/>
              <w:left w:val="single" w:color="D0D5DD" w:sz="4"/>
              <w:bottom w:val="single" w:color="D0D5DD" w:sz="4"/>
              <w:right w:val="single" w:color="D0D5DD" w:sz="4"/>
            </w:tcBorders>
            <w:shd w:fill="0E692E" w:val="clear"/>
            <w:tcMar>
              <w:top w:type="dxa" w:w="80"/>
              <w:left w:type="dxa" w:w="100"/>
              <w:bottom w:type="dxa" w:w="80"/>
              <w:right w:type="dxa" w:w="80"/>
            </w:tcMar>
          </w:tcPr>
          <w:p>
            <w:pPr>
              <w:spacing w:after="0" w:before="0"/>
              <w:jc w:val="left"/>
            </w:pPr>
            <w:r>
              <w:rPr>
                <w:rFonts w:ascii="Arial" w:cs="Arial" w:eastAsia="Arial" w:hAnsi="Arial"/>
                <w:b/>
                <w:bCs/>
                <w:color w:val="FFFFFF"/>
                <w:sz w:val="18"/>
                <w:szCs w:val="18"/>
              </w:rPr>
              <w:t xml:space="preserve">TOTAL</w:t>
            </w:r>
          </w:p>
        </w:tc>
        <w:tc>
          <w:tcPr>
            <w:tcW w:type="dxa" w:w="2514"/>
            <w:tcBorders>
              <w:top w:val="single" w:color="D0D5DD" w:sz="4"/>
              <w:left w:val="single" w:color="D0D5DD" w:sz="4"/>
              <w:bottom w:val="single" w:color="D0D5DD" w:sz="4"/>
              <w:right w:val="single" w:color="D0D5DD" w:sz="4"/>
            </w:tcBorders>
            <w:shd w:fill="0E692E" w:val="clear"/>
            <w:tcMar>
              <w:top w:type="dxa" w:w="80"/>
              <w:left w:type="dxa" w:w="100"/>
              <w:bottom w:type="dxa" w:w="80"/>
              <w:right w:type="dxa" w:w="80"/>
            </w:tcMar>
          </w:tcPr>
          <w:p>
            <w:pPr>
              <w:spacing w:after="0" w:before="0"/>
              <w:jc w:val="left"/>
            </w:pPr>
            <w:r>
              <w:rPr>
                <w:rFonts w:ascii="Arial" w:cs="Arial" w:eastAsia="Arial" w:hAnsi="Arial"/>
                <w:b/>
                <w:bCs/>
                <w:color w:val="FFFFFF"/>
                <w:sz w:val="18"/>
                <w:szCs w:val="18"/>
              </w:rPr>
              <w:t xml:space="preserve">5 shareholders  /  5 associés</w:t>
            </w:r>
          </w:p>
        </w:tc>
        <w:tc>
          <w:tcPr>
            <w:tcW w:type="dxa" w:w="931"/>
            <w:tcBorders>
              <w:top w:val="single" w:color="D0D5DD" w:sz="4"/>
              <w:left w:val="single" w:color="D0D5DD" w:sz="4"/>
              <w:bottom w:val="single" w:color="D0D5DD" w:sz="4"/>
              <w:right w:val="single" w:color="D0D5DD" w:sz="4"/>
            </w:tcBorders>
            <w:shd w:fill="0E692E" w:val="clear"/>
            <w:tcMar>
              <w:top w:type="dxa" w:w="80"/>
              <w:left w:type="dxa" w:w="100"/>
              <w:bottom w:type="dxa" w:w="80"/>
              <w:right w:type="dxa" w:w="80"/>
            </w:tcMar>
          </w:tcPr>
          <w:p>
            <w:pPr>
              <w:spacing w:after="0" w:before="0"/>
              <w:jc w:val="center"/>
            </w:pPr>
            <w:r>
              <w:rPr>
                <w:rFonts w:ascii="Arial" w:cs="Arial" w:eastAsia="Arial" w:hAnsi="Arial"/>
                <w:b/>
                <w:bCs/>
                <w:color w:val="FFFFFF"/>
                <w:sz w:val="18"/>
                <w:szCs w:val="18"/>
              </w:rPr>
              <w:t xml:space="preserve">200</w:t>
            </w:r>
          </w:p>
        </w:tc>
        <w:tc>
          <w:tcPr>
            <w:tcW w:type="dxa" w:w="1676"/>
            <w:tcBorders>
              <w:top w:val="single" w:color="D0D5DD" w:sz="4"/>
              <w:left w:val="single" w:color="D0D5DD" w:sz="4"/>
              <w:bottom w:val="single" w:color="D0D5DD" w:sz="4"/>
              <w:right w:val="single" w:color="D0D5DD" w:sz="4"/>
            </w:tcBorders>
            <w:shd w:fill="0E692E" w:val="clear"/>
            <w:tcMar>
              <w:top w:type="dxa" w:w="80"/>
              <w:left w:type="dxa" w:w="100"/>
              <w:bottom w:type="dxa" w:w="80"/>
              <w:right w:type="dxa" w:w="80"/>
            </w:tcMar>
          </w:tcPr>
          <w:p>
            <w:pPr>
              <w:spacing w:after="0" w:before="0"/>
              <w:jc w:val="center"/>
            </w:pPr>
            <w:r>
              <w:rPr>
                <w:rFonts w:ascii="Arial" w:cs="Arial" w:eastAsia="Arial" w:hAnsi="Arial"/>
                <w:b/>
                <w:bCs/>
                <w:color w:val="FFFFFF"/>
                <w:sz w:val="18"/>
                <w:szCs w:val="18"/>
              </w:rPr>
              <w:t xml:space="preserve">999,999 FCFA</w:t>
            </w:r>
          </w:p>
        </w:tc>
        <w:tc>
          <w:tcPr>
            <w:tcW w:type="dxa" w:w="745"/>
            <w:tcBorders>
              <w:top w:val="single" w:color="D0D5DD" w:sz="4"/>
              <w:left w:val="single" w:color="D0D5DD" w:sz="4"/>
              <w:bottom w:val="single" w:color="D0D5DD" w:sz="4"/>
              <w:right w:val="single" w:color="D0D5DD" w:sz="4"/>
            </w:tcBorders>
            <w:shd w:fill="0E692E" w:val="clear"/>
            <w:tcMar>
              <w:top w:type="dxa" w:w="80"/>
              <w:left w:type="dxa" w:w="100"/>
              <w:bottom w:type="dxa" w:w="80"/>
              <w:right w:type="dxa" w:w="80"/>
            </w:tcMar>
          </w:tcPr>
          <w:p>
            <w:pPr>
              <w:spacing w:after="0" w:before="0"/>
              <w:jc w:val="center"/>
            </w:pPr>
            <w:r>
              <w:rPr>
                <w:rFonts w:ascii="Arial" w:cs="Arial" w:eastAsia="Arial" w:hAnsi="Arial"/>
                <w:b/>
                <w:bCs/>
                <w:color w:val="FFFFFF"/>
                <w:sz w:val="18"/>
                <w:szCs w:val="18"/>
              </w:rPr>
              <w:t xml:space="preserve">100%</w:t>
            </w:r>
          </w:p>
        </w:tc>
        <w:tc>
          <w:tcPr>
            <w:tcW w:type="dxa" w:w="931"/>
            <w:tcBorders>
              <w:top w:val="single" w:color="D0D5DD" w:sz="4"/>
              <w:left w:val="single" w:color="D0D5DD" w:sz="4"/>
              <w:bottom w:val="single" w:color="D0D5DD" w:sz="4"/>
              <w:right w:val="single" w:color="D0D5DD" w:sz="4"/>
            </w:tcBorders>
            <w:shd w:fill="0E692E" w:val="clear"/>
            <w:tcMar>
              <w:top w:type="dxa" w:w="80"/>
              <w:left w:type="dxa" w:w="100"/>
              <w:bottom w:type="dxa" w:w="80"/>
              <w:right w:type="dxa" w:w="80"/>
            </w:tcMar>
          </w:tcPr>
          <w:p>
            <w:pPr>
              <w:spacing w:after="0" w:before="0"/>
              <w:jc w:val="center"/>
            </w:pPr>
            <w:r>
              <w:rPr>
                <w:rFonts w:ascii="Arial" w:cs="Arial" w:eastAsia="Arial" w:hAnsi="Arial"/>
                <w:b/>
                <w:bCs/>
                <w:color w:val="FFFFFF"/>
                <w:sz w:val="18"/>
                <w:szCs w:val="18"/>
              </w:rPr>
              <w:t xml:space="preserve">—</w:t>
            </w:r>
          </w:p>
        </w:tc>
      </w:tr>
    </w:tbl>
    <w:p>
      <w:pPr>
        <w:spacing w:after="20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8  —  MINOR SHAREHOLDER REPRESENTATION  /  REPRÉSENTATION DE L'ASSOCIÉ MINEUR</w:t>
            </w:r>
          </w:p>
        </w:tc>
      </w:tr>
    </w:tbl>
    <w:p>
      <w:pPr>
        <w:spacing w:after="80" w:before="100"/>
        <w:ind/>
        <w:jc w:val="both"/>
      </w:pPr>
      <w:r>
        <w:rPr>
          <w:rFonts w:ascii="Arial" w:cs="Arial" w:eastAsia="Arial" w:hAnsi="Arial"/>
          <w:i w:val="false"/>
          <w:iCs w:val="false"/>
          <w:color w:val="1A1A2E"/>
          <w:sz w:val="20"/>
          <w:szCs w:val="20"/>
        </w:rPr>
        <w:t xml:space="preserve">Nshome Jienceston Morningstar AfoFeyin is a minor of three (3) years at the time of incorporation. Jude Nshome, being his father, acts as his lawful parental representative for the subscription, holding, administration and exercise of all rights attached to the shares held by the minor, subject to applicable law. The birth certificate of Nshome Jienceston Morningstar AfoFeyin shall be presented as evidence of the parental relationship wherever required. Until the minor reaches legal majority or full legal capacity, he shall not personally sign resolutions, contracts, transfer documents or statutory decisions. His economic rights belong to him and shall be administered in his best interest. His shares shall not be sold, transferred, pledged or encumbered except in accordance with applicable law and any required authorization.</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Nshome Jienceston Morningstar AfoFeyin est mineur, âgé de trois (3) ans au moment de la constitution. Jude Nshome, en sa qualité de père, agit comme son représentant parental légal pour la souscription, la détention, l'administration et l'exercice de tous les droits attachés aux parts détenues par le mineur, sous réserve de la loi applicable. L'acte de naissance de Nshome Jienceston Morningstar AfoFeyin sera présenté comme preuve du lien de filiation partout où requis. Jusqu'à sa majorité légale ou pleine capacité juridique, le mineur ne signe pas personnellement les résolutions, contrats, actes de cession ou décisions statutaires. Ses droits économiques lui appartiennent et doivent être administrés dans son intérêt supérieur. Ses parts ne peuvent être vendues, transférées, nanties ou grevées qu'en conformité avec la loi applicable et toute autorisation requise.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8B  —  SECOND MINOR SHAREHOLDER REPRESENTATION — TANG DOMINION CHIA  /  REPRÉSENTATION DU SECOND ASSOCIÉ MINEUR — TANG DOMINION CHIA</w:t>
            </w:r>
          </w:p>
        </w:tc>
      </w:tr>
    </w:tbl>
    <w:p>
      <w:pPr>
        <w:spacing w:after="80" w:before="100"/>
        <w:ind/>
        <w:jc w:val="both"/>
      </w:pPr>
      <w:r>
        <w:rPr>
          <w:rFonts w:ascii="Arial" w:cs="Arial" w:eastAsia="Arial" w:hAnsi="Arial"/>
          <w:i w:val="false"/>
          <w:iCs w:val="false"/>
          <w:color w:val="1A1A2E"/>
          <w:sz w:val="20"/>
          <w:szCs w:val="20"/>
        </w:rPr>
        <w:t xml:space="preserve">Tang Dominion Chia is a minor of five (5) years at the time of incorporation. Tang Nestor Che, being his father, acts as his lawful parental representative for the subscription, holding, administration and exercise of all rights attached to the shares held by the minor, subject to applicable law. The birth certificate of Tang Dominion Chia shall be presented as evidence of the parental relationship wherever required. Until the minor reaches legal majority or full legal capacity, he shall not personally sign resolutions, contracts, transfer documents or statutory decisions. His economic rights belong to him and shall be administered in his best interest. His shares shall not be sold, transferred, pledged or encumbered except in accordance with applicable law and any required authorization. Unanimous approval is required, where legally permissible, for any transaction materially prejudicing the economic rights of Tang Dominion Chia.</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Tang Dominion Chia est mineur, âgé de cinq (5) ans au moment de la constitution. Tang Nestor Che, en sa qualité de père, agit comme son représentant parental légal pour la souscription, la détention, l'administration et l'exercice de tous les droits attachés aux parts détenues par le mineur, sous réserve de la loi applicable. L'acte de naissance de Tang Dominion Chia sera présenté comme preuve du lien de filiation partout où requis. Jusqu'à sa majorité légale ou pleine capacité juridique, le mineur ne signe pas personnellement les résolutions, contrats, actes de cession ou décisions statutaires. Ses droits économiques lui appartiennent et doivent être administrés dans son intérêt supérieur. Ses parts ne peuvent être vendues, transférées, nanties ou grevées qu'en conformité avec la loi applicable et toute autorisation requise. L'unanimité est requise, lorsque la loi le permet, pour toute opération portant atteinte substantielle aux droits économiques de Tang Dominion Chia.</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9  —  BENEFICIAL OWNERSHIP  /  BÉNÉFICIAIRES EFFECTIFS</w:t>
            </w:r>
          </w:p>
        </w:tc>
      </w:tr>
    </w:tbl>
    <w:p>
      <w:pPr>
        <w:spacing w:after="80" w:before="100"/>
        <w:ind/>
        <w:jc w:val="both"/>
      </w:pPr>
      <w:r>
        <w:rPr>
          <w:rFonts w:ascii="Arial" w:cs="Arial" w:eastAsia="Arial" w:hAnsi="Arial"/>
          <w:i w:val="false"/>
          <w:iCs w:val="false"/>
          <w:color w:val="1A1A2E"/>
          <w:sz w:val="20"/>
          <w:szCs w:val="20"/>
        </w:rPr>
        <w:t xml:space="preserve">The company shall maintain accurate beneficial ownership records identifying natural persons who ultimately own, control or exercise significant influence over the company. Shareholders shall notify the company of changes affecting ownership, control, voting rights, nominee arrangements, pledges, trusts, legal representation or beneficial interest. The Manager shall make filings or declarations required by competent authorities.</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tient des informations exactes sur les bénéficiaires effectifs, personnes physiques qui détiennent, contrôlent ou exercent en dernier ressort une influence significative sur la société. Les associés notifient à la société tout changement affectant la propriété, le contrôle, les droits de vote, conventions de portage, nantissements, trusts, représentation légale ou intérêt bénéficiaire. Le Gérant effectue les dépôts ou déclarations exigés par les autorités compétentes.</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10  —  MANAGEMENT  /  GÉRANCE</w:t>
            </w:r>
          </w:p>
        </w:tc>
      </w:tr>
    </w:tbl>
    <w:p>
      <w:pPr>
        <w:spacing w:after="80" w:before="100"/>
        <w:ind/>
        <w:jc w:val="both"/>
      </w:pPr>
      <w:r>
        <w:rPr>
          <w:rFonts w:ascii="Arial" w:cs="Arial" w:eastAsia="Arial" w:hAnsi="Arial"/>
          <w:i w:val="false"/>
          <w:iCs w:val="false"/>
          <w:color w:val="1A1A2E"/>
          <w:sz w:val="20"/>
          <w:szCs w:val="20"/>
        </w:rPr>
        <w:t xml:space="preserve">The company shall be managed by one or more Managers (Gérants). Jude Nshome is appointed as the first Manager. The Manager represents the company toward third parties and has the broadest powers to act in the company's interest, subject to powers reserved to shareholders by law or these Articles. The Manager shall act with loyalty, care, diligence, transparency and in compliance with law.</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est administrée par un ou plusieurs Gérants. Jude Nshome est nommé premier Gérant. Le Gérant représente la société à l'égard des tiers et dispose des pouvoirs les plus étendus pour agir dans l'intérêt de la société, sous réserve des pouvoirs réservés aux associés par la loi ou les présents Statuts. Le Gérant agit avec loyauté, prudence, diligence, transparence et conformité à la loi.</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11  —  MANAGER POWERS AND LIMITS  /  POUVOIRS ET LIMITES DU GÉRANT</w:t>
            </w:r>
          </w:p>
        </w:tc>
      </w:tr>
    </w:tbl>
    <w:p>
      <w:pPr>
        <w:spacing w:after="80" w:before="100"/>
        <w:ind/>
        <w:jc w:val="both"/>
      </w:pPr>
      <w:r>
        <w:rPr>
          <w:rFonts w:ascii="Arial" w:cs="Arial" w:eastAsia="Arial" w:hAnsi="Arial"/>
          <w:i w:val="false"/>
          <w:iCs w:val="false"/>
          <w:color w:val="1A1A2E"/>
          <w:sz w:val="20"/>
          <w:szCs w:val="20"/>
        </w:rPr>
        <w:t xml:space="preserve">The Manager may sign contracts, open bank accounts, hire personnel, procure goods and services, manage software and hardware projects, sign client agreements, protect intellectual property, manage tax filings, represent the company before authorities, and perform ordinary business acts. The Manager shall obtain shareholder approval for reserved matters listed in these Articles, including capital changes, admission of investors, disposal of core IP, major borrowing, subsidiaries, regulated commercial launches and sale of substantial assets.</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 Gérant peut signer des contrats, ouvrir des comptes bancaires, recruter du personnel, acheter biens et services, gérer les projets logiciels et matériels, signer les contrats clients, protéger la propriété intellectuelle, gérer les déclarations fiscales, représenter la société auprès des autorités et accomplir les actes courants de gestion. Le Gérant doit obtenir l'approbation des associés pour les décisions réservées prévues aux présents Statuts, notamment modification du capital, admission d'investisseurs, cession de propriété intellectuelle essentielle, emprunts importants, filiales, lancements réglementés et vente d'actifs substantiels.</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12  —  SHAREHOLDER DECISIONS  /  DÉCISIONS DES ASSOCIÉS</w:t>
            </w:r>
          </w:p>
        </w:tc>
      </w:tr>
    </w:tbl>
    <w:p>
      <w:pPr>
        <w:spacing w:after="80" w:before="100"/>
        <w:ind/>
        <w:jc w:val="both"/>
      </w:pPr>
      <w:r>
        <w:rPr>
          <w:rFonts w:ascii="Arial" w:cs="Arial" w:eastAsia="Arial" w:hAnsi="Arial"/>
          <w:i w:val="false"/>
          <w:iCs w:val="false"/>
          <w:color w:val="1A1A2E"/>
          <w:sz w:val="20"/>
          <w:szCs w:val="20"/>
        </w:rPr>
        <w:t xml:space="preserve">Shareholders take decisions in meetings, written resolutions, electronic approvals or any legally permitted manner. Each share carries one vote. Ordinary decisions cover annual accounts, profit allocation, ordinary management approvals and appointment or removal of the Manager where not otherwise reserved. Extraordinary decisions cover amendments, capital changes, restructuring, dissolution, admission of new shareholders and matters requiring enhanced approval.</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Les associés prennent leurs décisions en assemblée, par résolution écrite, approbation électronique ou tout moyen légalement permis. Chaque part donne droit à une voix. Les décisions ordinaires concernent les comptes annuels, l'affectation du résultat, les approbations de gestion ordinaire et la nomination ou révocation du Gérant lorsqu'elles ne sont pas autrement réservées. Les décisions extraordinaires concernent les modifications statutaires, changements de capital, restructurations, dissolution, admission de nouveaux associés et matières exigeant une approbation renforcée.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13  —  RESERVED MATTERS  /  DÉCISIONS RÉSERVÉES</w:t>
            </w:r>
          </w:p>
        </w:tc>
      </w:tr>
    </w:tbl>
    <w:p>
      <w:pPr>
        <w:spacing w:after="80" w:before="100"/>
        <w:ind/>
        <w:jc w:val="both"/>
      </w:pPr>
      <w:r>
        <w:rPr>
          <w:rFonts w:ascii="Arial" w:cs="Arial" w:eastAsia="Arial" w:hAnsi="Arial"/>
          <w:i w:val="false"/>
          <w:iCs w:val="false"/>
          <w:color w:val="1A1A2E"/>
          <w:sz w:val="20"/>
          <w:szCs w:val="20"/>
        </w:rPr>
        <w:t xml:space="preserve">The following require prior approval of shareholders representing at least 75% of share capital, unless a higher threshold is required by law: amendment of Articles; capital increase or reduction; issuance of new shares; admission of investors; transfer of shares to third parties; merger, split, transformation, restructuring or dissolution; sale of substantial assets; disposal, pledge or exclusive license of core intellectual property; sale or transfer of source code, Health ID infrastructure, OPESCare platform, interoperability infrastructure, OPES CDSS or core architecture; borrowing or guarantees above 10,000,000 FCFA; creation of subsidiaries; joint ventures affecting control of core technology; related-party transactions; commercial launch of regulated medical devices; biometric Health ID processing requiring authorization; national health data exchange agreements; and sale of the company. Unanimous approval is required, where legally permissible, for sale of the company's core Health ID infrastructure, OPESCare platform, OPES CDSS, EMR/HIS source code, or any transaction materially prejudicing the economic rights of either minor shareholder, Nshome Jienceston Morningstar AfoFeyin or Tang Dominion Chia.</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Les décisions suivantes exigent l'approbation préalable des associés représentant au moins 75% du capital social, sauf majorité supérieure exigée par la loi : modification des Statuts ; augmentation ou réduction du capital ; émission de nouvelles parts ; admission d'investisseurs ; cession de parts à des tiers ; fusion, scission, transformation, restructuration ou dissolution ; vente d'actifs substantiels ; cession, nantissement ou licence exclusive de propriété intellectuelle essentielle ; vente ou transfert du code source, de l'infrastructure Health ID, de la plateforme OPESCare, de l'interopérabilité, de l'OPES CDSS ou de l'architecture essentielle ; emprunts ou garanties supérieurs à 10 000 000 FCFA ; création de filiales ; joint-ventures affectant le contrôle de la technologie essentielle ; transactions avec parties liées ; lancement commercial de dispositifs médicaux réglementés ; traitement biométrique Health ID nécessitant autorisation ; accords nationaux d'échange de données de santé ; et vente de la société. L'unanimité est requise, lorsque la loi le permet, pour la vente de l'infrastructure Health ID essentielle, de l'OPES CDSS, du code source EMR/HIS ou toute opération portant atteinte substantielle aux droits économiques de l'un ou l'autre des associés mineurs, Nshome Jienceston Morningstar AfoFeyin ou Tang Dominion Chia.</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14  —  SHARE TRANSFER  /  CESSION DES PARTS SOCIALES</w:t>
            </w:r>
          </w:p>
        </w:tc>
      </w:tr>
    </w:tbl>
    <w:p>
      <w:pPr>
        <w:spacing w:after="80" w:before="100"/>
        <w:ind/>
        <w:jc w:val="both"/>
      </w:pPr>
      <w:r>
        <w:rPr>
          <w:rFonts w:ascii="Arial" w:cs="Arial" w:eastAsia="Arial" w:hAnsi="Arial"/>
          <w:i w:val="false"/>
          <w:iCs w:val="false"/>
          <w:color w:val="1A1A2E"/>
          <w:sz w:val="20"/>
          <w:szCs w:val="20"/>
        </w:rPr>
        <w:t xml:space="preserve">Shares may be transferred subject to OHADA law, these Articles, approval procedures and pre-emption rights. Any shareholder intending to transfer shares shall notify the company and other shareholders of the number of shares, proposed buyer, price, payment terms and conditions. Existing shareholders have a right of first refusal for thirty (30) days unless another period is approved. No transfer is effective against the company until documented and entered in the shareholder register. Transfers involving a minor shareholder shall comply with applicable law and any authorization required to protect the minor's interest.</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Les parts sociales peuvent être cédées sous réserve du droit OHADA, des présents Statuts, procédures d'agrément et droits de préemption. Tout associé souhaitant céder ses parts notifie à la société et aux autres associés le nombre de parts, l'acquéreur proposé, le prix, les modalités de paiement et conditions. Les associés existants disposent d'un droit de préemption pendant trente (30) jours sauf autre délai approuvé. Aucune cession n'est opposable à la société tant qu'elle n'est pas documentée et inscrite au registre des associés. Les cessions concernant l'associé mineur respectent la loi applicable et toute autorisation requise pour protéger son intérêt.</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none" w:color="FFFFFF" w:sz="0"/>
              <w:bottom w:val="none" w:color="FFFFFF" w:sz="0"/>
              <w:right w:val="none" w:color="FFFFFF" w:sz="0"/>
            </w:tcBorders>
            <w:shd w:fill="0E692E" w:val="clear"/>
            <w:tcMar>
              <w:top w:type="dxa" w:w="140"/>
              <w:left w:type="dxa" w:w="200"/>
              <w:bottom w:type="dxa" w:w="140"/>
              <w:right w:type="dxa" w:w="200"/>
            </w:tcMar>
          </w:tcPr>
          <w:p>
            <w:pPr>
              <w:spacing w:after="0" w:before="0"/>
              <w:jc w:val="center"/>
            </w:pPr>
            <w:r>
              <w:rPr>
                <w:rFonts w:ascii="Arial" w:cs="Arial" w:eastAsia="Arial" w:hAnsi="Arial"/>
                <w:b/>
                <w:bCs/>
                <w:color w:val="FFFFFF"/>
                <w:sz w:val="26"/>
                <w:szCs w:val="26"/>
              </w:rPr>
              <w:t xml:space="preserve">PART III  —  COMPLIANCE AND HEALTH TECHNOLOGY GOVERNANCE  /  CONFORMITÉ ET GOUVERNANCE</w:t>
            </w:r>
          </w:p>
        </w:tc>
      </w:tr>
    </w:tbl>
    <w:p>
      <w:pPr>
        <w:spacing w:after="28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15  —  FUTURE INVESTORS AND CAPITAL RAISING  /  FUTURS INVESTISSEURS ET LEVÉES DE FONDS</w:t>
            </w:r>
          </w:p>
        </w:tc>
      </w:tr>
    </w:tbl>
    <w:p>
      <w:pPr>
        <w:spacing w:after="80" w:before="100"/>
        <w:ind/>
        <w:jc w:val="both"/>
      </w:pPr>
      <w:r>
        <w:rPr>
          <w:rFonts w:ascii="Arial" w:cs="Arial" w:eastAsia="Arial" w:hAnsi="Arial"/>
          <w:i w:val="false"/>
          <w:iCs w:val="false"/>
          <w:color w:val="1A1A2E"/>
          <w:sz w:val="20"/>
          <w:szCs w:val="20"/>
        </w:rPr>
        <w:t xml:space="preserve">The company may admit angel investors, venture capital investors, institutional investors, development finance institutions, strategic partners, corporate investors, grant-making bodies, public health partners and other lawful investors. Investment may be structured through capital increase, issuance of new shares, transfer of existing shares, convertible instruments, shareholder loans, grants, strategic partnerships, revenue sharing, technology licensing or other lawful instruments. Investor rights may include information rights, anti-dilution protections, reserved matters, observer rights, liquidation preferences, tag-along, drag-along, lock-in, valuation mechanisms, founder vesting and performance milestones, subject to law and lawful amendment of these Articles where required.</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peut admettre des business angels, fonds de capital-risque, investisseurs institutionnels, institutions de financement du développement, partenaires stratégiques, investisseurs corporate, organismes de subvention, partenaires de santé publique et autres investisseurs licites. L'investissement peut être structuré par augmentation de capital, émission de nouvelles parts, cession de parts existantes, instruments convertibles, prêts d'associés, subventions, partenariats stratégiques, partage de revenus, licences technologiques ou autres instruments licites. Les droits des investisseurs peuvent comprendre droits d'information, protections anti-dilution, décisions réservées, droits d'observateur, préférences de liquidation, sortie conjointe, entraînement, inaliénabilité, mécanismes de valorisation, vesting fondateur et jalons de performance, sous réserve de la loi et de la modification régulière des Statuts si nécessaire.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16  —  DILUTION AND PRE-EMPTIVE RIGHTS  /  DILUTION ET DROITS PRÉFÉRENTIELS</w:t>
            </w:r>
          </w:p>
        </w:tc>
      </w:tr>
    </w:tbl>
    <w:p>
      <w:pPr>
        <w:spacing w:after="80" w:before="100"/>
        <w:ind/>
        <w:jc w:val="both"/>
      </w:pPr>
      <w:r>
        <w:rPr>
          <w:rFonts w:ascii="Arial" w:cs="Arial" w:eastAsia="Arial" w:hAnsi="Arial"/>
          <w:i w:val="false"/>
          <w:iCs w:val="false"/>
          <w:color w:val="1A1A2E"/>
          <w:sz w:val="20"/>
          <w:szCs w:val="20"/>
        </w:rPr>
        <w:t xml:space="preserve">When new shares are issued, existing shareholders may be diluted unless they subscribe pro rata or waive their pre-emptive rights. The company shall notify shareholders of the number of shares, price, investor identity, terms and deadline. Shareholders have thirty (30) days to exercise pre-emptive rights unless otherwise approved. Failure to exercise within the period constitutes waiver for that issuance.</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Lors de l'émission de nouvelles parts, les associés existants peuvent être dilués sauf souscription proportionnelle ou renonciation à leurs droits préférentiels. La société notifie aux associés le nombre de parts, le prix, l'identité de l'investisseur, les conditions et le délai. Les associés disposent de trente (30) jours pour exercer leurs droits préférentiels sauf approbation contraire. Le défaut d'exercice dans le délai vaut renonciation pour l'émission concernée.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17  —  INTELLECTUAL PROPERTY OWNERSHIP  /  PROPRIÉTÉ INTELLECTUELLE</w:t>
            </w:r>
          </w:p>
        </w:tc>
      </w:tr>
    </w:tbl>
    <w:p>
      <w:pPr>
        <w:spacing w:after="80" w:before="100"/>
        <w:ind/>
        <w:jc w:val="both"/>
      </w:pPr>
      <w:r>
        <w:rPr>
          <w:rFonts w:ascii="Arial" w:cs="Arial" w:eastAsia="Arial" w:hAnsi="Arial"/>
          <w:i w:val="false"/>
          <w:iCs w:val="false"/>
          <w:color w:val="1A1A2E"/>
          <w:sz w:val="20"/>
          <w:szCs w:val="20"/>
        </w:rPr>
        <w:t xml:space="preserve">All intellectual property created, acquired, commissioned, funded or developed for the company belongs to the company unless otherwise agreed in writing. This includes source code, databases, APIs, architecture, algorithms, AI workflows, documentation, UI designs, trademarks, logos, domain names, product names, patents, designs, firmware, hardware designs, health monitoring watch concepts, device specifications, trade secrets and business processes, including all OPES CDSS algorithms, clinical logic models and datasets, the OPESCare platform and all its modules including telemedicine, appointment management, electronic prescriptions, laboratory request systems, blood bank availability, medicines availability and patient communication components. Founders, employees, consultants, contractors and partners shall sign confidentiality, IP assignment, invention assignment, data protection and contractor agreements as required.</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Toute propriété intellectuelle créée, acquise, commandée, financée ou développée pour la société appartient à la société sauf accord écrit contraire. Cela inclut code source, bases de données, API, architecture, algorithmes, flux IA, documentation, interfaces, marques, logos, noms de domaine, noms de produits, brevets, dessins, firmware, conceptions matérielles, concepts de montre de suivi de santé, spécifications de dispositifs, secrets d'affaires et processus commerciaux, y compris tous les algorithmes, modèles de logique clinique et jeux de données de l'OPES CDSS, la plateforme OPESCare et tous ses modules notamment télémédecine, gestion des rendez-vous, ordonnances électroniques, systèmes de demandes de laboratoire, disponibilité de la banque de sang, disponibilité des médicaments et composants de communication patient. Fondateurs, employés, consultants, prestataires et partenaires signent les accords de confidentialité, cession de propriété intellectuelle, cession d'inventions, protection des données et prestation requis.</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18  —  FOUNDER IP ASSIGNMENT  /  CESSION DES DROITS DU FONDATEUR</w:t>
            </w:r>
          </w:p>
        </w:tc>
      </w:tr>
    </w:tbl>
    <w:p>
      <w:pPr>
        <w:spacing w:after="80" w:before="100"/>
        <w:ind/>
        <w:jc w:val="both"/>
      </w:pPr>
      <w:r>
        <w:rPr>
          <w:rFonts w:ascii="Arial" w:cs="Arial" w:eastAsia="Arial" w:hAnsi="Arial"/>
          <w:i w:val="false"/>
          <w:iCs w:val="false"/>
          <w:color w:val="1A1A2E"/>
          <w:sz w:val="20"/>
          <w:szCs w:val="20"/>
        </w:rPr>
        <w:t xml:space="preserve">Jude Nshome and any other contributor shall assign, transfer or license to the company all technology, brands and assets created for or used by OPES Health Systems, including EMR, HIS, UHC software, Health ID, OPESCare and all its modules, interoperability layers, OPES CDSS, APIs, public health reporting, insurance integration, pharmacy, laboratory, telemedicine, clinical decision support, analytics, source code, databases, product documentation, hardware concepts, health monitoring watches, vital sign devices, domains and marks. Separate written assignments may be executed where necessary for enforceability.</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Jude Nshome et tout autre contributeur cèdent, transfèrent ou concèdent à la société toute technologie, marque et actif créé pour ou utilisé par OPES Health Systems, notamment EMR, HIS, logiciels UHC, Health ID, OPESCare et tous ses modules, couches d'interopérabilité, OPES CDSS, API, reporting de santé publique, intégration assurance, pharmacie, laboratoire, télémédecine, aide à la décision clinique, analyses, code source, bases de données, documentation produit, concepts matériels, montres de suivi de santé, dispositifs de signes vitaux, domaines et marques. Des actes écrits séparés peuvent être signés lorsque nécessaire pour l'opposabilité.</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19  —  SOFTWARE REPOSITORIES AND SECURITY ASSETS  /  RÉFÉRENTIELS LOGICIELS ET ACTIFS DE SÉCURITÉ</w:t>
            </w:r>
          </w:p>
        </w:tc>
      </w:tr>
    </w:tbl>
    <w:p>
      <w:pPr>
        <w:spacing w:after="80" w:before="100"/>
        <w:ind/>
        <w:jc w:val="both"/>
      </w:pPr>
      <w:r>
        <w:rPr>
          <w:rFonts w:ascii="Arial" w:cs="Arial" w:eastAsia="Arial" w:hAnsi="Arial"/>
          <w:i w:val="false"/>
          <w:iCs w:val="false"/>
          <w:color w:val="1A1A2E"/>
          <w:sz w:val="20"/>
          <w:szCs w:val="20"/>
        </w:rPr>
        <w:t xml:space="preserve">Official repositories, code, deployment environments, encryption keys, API keys, credentials, cloud accounts, domain accounts, production data, backups and infrastructure access are company assets. No person may hold or control them personally without authorization. The company shall maintain rules for source control, deployment, access revocation, backup, disaster recovery, audit trails, incident response and change management.</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Les référentiels officiels, code, environnements de déploiement, clés de chiffrement, clés API, identifiants, comptes cloud, comptes de domaine, données de production, sauvegardes et accès infrastructure sont des actifs de la société. Nul ne peut les détenir ou contrôler personnellement sans autorisation. La société tient des règles de gestion du code, déploiement, révocation d'accès, sauvegarde, reprise après sinistre, audit, réponse aux incidents et gestion des changements.</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20  —  DATA PROTECTION AND HEALTH INFORMATION GOVERNANCE  /  PROTECTION DES DONNÉES ET GOUVERNANCE DE L'INFORMATION DE SANTÉ</w:t>
            </w:r>
          </w:p>
        </w:tc>
      </w:tr>
    </w:tbl>
    <w:p>
      <w:pPr>
        <w:spacing w:after="80" w:before="100"/>
        <w:ind/>
        <w:jc w:val="both"/>
      </w:pPr>
      <w:r>
        <w:rPr>
          <w:rFonts w:ascii="Arial" w:cs="Arial" w:eastAsia="Arial" w:hAnsi="Arial"/>
          <w:i w:val="false"/>
          <w:iCs w:val="false"/>
          <w:color w:val="1A1A2E"/>
          <w:sz w:val="20"/>
          <w:szCs w:val="20"/>
        </w:rPr>
        <w:t xml:space="preserve">The company shall establish health data governance appropriate to its activities and may appoint a Data Protection and Health Information Governance Officer. Policies shall cover patient privacy, health data confidentiality, data sovereignty, data residency, lawful processing, consent where required, role-based access, audit logs, encryption where appropriate, retention, deletion, breach response, cyber controls, health information exchange, insurance data and public health reporting. The company shall not sell identifiable patient health data without lawful basis, authorization and compliance.</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met en place une gouvernance des données de santé adaptée à ses activités et peut nommer un Responsable de la Protection des Données et de la Gouvernance de l'Information de Santé. Les politiques couvrent vie privée des patients, confidentialité des données de santé, souveraineté et résidence des données, traitement licite, consentement lorsque requis, accès par rôle, journaux d'audit, chiffrement lorsque approprié, conservation, suppression, réponse aux violations, contrôles cyber, échange d'informations de santé, données d'assurance et reporting de santé publique. La société ne vend pas de données identifiables de patients sans base légale, autorisation et conformité.</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21  —  MEDICAL DEVICE AND WEARABLE COMPLIANCE  /  CONFORMITÉ DISPOSITIFS MÉDICAUX ET OBJETS CONNECTÉS</w:t>
            </w:r>
          </w:p>
        </w:tc>
      </w:tr>
    </w:tbl>
    <w:p>
      <w:pPr>
        <w:spacing w:after="80" w:before="100"/>
        <w:ind/>
        <w:jc w:val="both"/>
      </w:pPr>
      <w:r>
        <w:rPr>
          <w:rFonts w:ascii="Arial" w:cs="Arial" w:eastAsia="Arial" w:hAnsi="Arial"/>
          <w:i w:val="false"/>
          <w:iCs w:val="false"/>
          <w:color w:val="1A1A2E"/>
          <w:sz w:val="20"/>
          <w:szCs w:val="20"/>
        </w:rPr>
        <w:t xml:space="preserve">The company may research, design, prototype, assemble, import, distribute, commercialize and support health monitoring watches, vital-sign monitors, heart monitoring devices, connected health devices, hospital appliances and medical-grade computing devices. Any product qualifying as a regulated medical device, diagnostic device, monitoring device or health product shall not be commercially deployed until required authorization, registration, certification, validation or approval is obtained. The company shall not market any wearable, software, AI system or device as a diagnostic medical device unless legally authorized. Clinical decisions remain the responsibility of licensed healthcare professionals.</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peut rechercher, concevoir, prototyper, assembler, importer, distribuer, commercialiser et maintenir des montres de suivi de santé, moniteurs de signes vitaux, dispositifs de suivi cardiaque, dispositifs de santé connectés, appliances hospitalières et équipements informatiques de grade médical. Tout produit qualifié de dispositif médical réglementé, dispositif de diagnostic, dispositif de surveillance ou produit de santé ne sera commercialement déployé qu'après obtention des autorisations, enregistrements, certifications, validations ou approbations requis. La société ne présente aucun objet connecté, logiciel, système IA ou dispositif comme dispositif médical de diagnostic sauf autorisation légale. Les décisions cliniques demeurent sous la responsabilité des professionnels de santé habilités.</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22  —  AI AND CLINICAL DECISION SUPPORT  /  IA ET AIDE À LA DÉCISION CLINIQUE</w:t>
            </w:r>
          </w:p>
        </w:tc>
      </w:tr>
    </w:tbl>
    <w:p>
      <w:pPr>
        <w:spacing w:after="80" w:before="100"/>
        <w:ind/>
        <w:jc w:val="both"/>
      </w:pPr>
      <w:r>
        <w:rPr>
          <w:rFonts w:ascii="Arial" w:cs="Arial" w:eastAsia="Arial" w:hAnsi="Arial"/>
          <w:i w:val="false"/>
          <w:iCs w:val="false"/>
          <w:color w:val="1A1A2E"/>
          <w:sz w:val="20"/>
          <w:szCs w:val="20"/>
        </w:rPr>
        <w:t xml:space="preserve">The company has developed and is actively testing OPES CDSS, a proprietary clinical decision support system, alongside other artificial intelligence, machine learning, automation, triage support, risk scoring, clinical documentation support and public health analytics tools. OPES CDSS is a company-owned technology asset currently in the development and testing phase, with commercial deployment subject to the completion of validation, regulatory compliance and any required authorizations. All such tools are designed and operated as clinical support systems and shall not replace the judgment of licensed healthcare professionals. They shall be subject to ongoing validation, audit, documentation, risk management and applicable regulatory requirements prior to and following any commercial deployment.</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a développé et teste activement l'OPES CDSS, un système propriétaire d'aide à la décision clinique, ainsi que d'autres outils d'intelligence artificielle, d'apprentissage automatique, d'automatisation, de support au triage, de scores de risque, d'aide à la documentation clinique et d'analyses de santé publique. L'OPES CDSS est un actif technologique appartenant à la société, actuellement en phase de développement et de test, dont le déploiement commercial est subordonné à l'achèvement de la validation, à la conformité réglementaire et à l'obtention des autorisations requises. Tous ces outils sont conçus et exploités comme systèmes d'appui clinique et ne remplacent pas le jugement des professionnels de santé habilités. Ils sont soumis à une validation, un audit, une documentation, une gestion des risques et aux exigences réglementaires applicables, avant et après tout déploiement commercial.</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23  —  PUBLIC HEALTH, INSTITUTIONAL AND RESEARCH INTEGRATIONS  /  INTÉGRATIONS SANTÉ PUBLIQUE, INSTITUTIONNELLES ET DE RECHERCHE</w:t>
            </w:r>
          </w:p>
        </w:tc>
      </w:tr>
    </w:tbl>
    <w:p>
      <w:pPr>
        <w:spacing w:after="80" w:before="100"/>
        <w:ind/>
        <w:jc w:val="both"/>
      </w:pPr>
      <w:r>
        <w:rPr>
          <w:rFonts w:ascii="Arial" w:cs="Arial" w:eastAsia="Arial" w:hAnsi="Arial"/>
          <w:i w:val="false"/>
          <w:iCs w:val="false"/>
          <w:color w:val="1A1A2E"/>
          <w:sz w:val="20"/>
          <w:szCs w:val="20"/>
        </w:rPr>
        <w:t xml:space="preserve">The company may integrate with health ministries, public health agencies, UHC systems, insurance schemes, disease surveillance systems, national health repositories and other government institutional systems where authorized. The company may also integrate with public and private hospitals, teaching hospitals, university hospitals, academic medical centers, clinics, diagnostic centers, medical faculties, nursing schools, research institutions and professional bodies for clinical validation, academic research, training delivery and technology evaluation purposes. Such integrations shall be governed by written partnership or collaboration agreements, data sharing protocols, security measures, technical specifications, confidentiality obligations, auditability requirements and applicable law.</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peut s'intégrer avec des ministères de la santé, agences de santé publique, systèmes UHC, régimes d'assurance, systèmes de surveillance épidémiologique, référentiels nationaux de santé et autres systèmes institutionnels gouvernementaux lorsqu'elle y est autorisée. La société peut également s'intégrer avec des hôpitaux publics et privés, hôpitaux universitaires, centres médicaux académiques, cliniques, centres de diagnostic, facultés de médecine, écoles d'infirmiers, institutions de recherche et ordres professionnels aux fins de validation clinique, recherche académique, formation et évaluation technologique. Ces intégrations sont régies par des accords écrits de partenariat ou de collaboration, des protocoles de partage de données, des mesures de sécurité, des spécifications techniques, des obligations de confidentialité, des exigences d'auditabilité et la loi applicable.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24  —  ADVISORY COMMITTEES  /  COMITÉS CONSULTATIFS</w:t>
            </w:r>
          </w:p>
        </w:tc>
      </w:tr>
    </w:tbl>
    <w:p>
      <w:pPr>
        <w:spacing w:after="80" w:before="100"/>
        <w:ind/>
        <w:jc w:val="both"/>
      </w:pPr>
      <w:r>
        <w:rPr>
          <w:rFonts w:ascii="Arial" w:cs="Arial" w:eastAsia="Arial" w:hAnsi="Arial"/>
          <w:i w:val="false"/>
          <w:iCs w:val="false"/>
          <w:color w:val="1A1A2E"/>
          <w:sz w:val="20"/>
          <w:szCs w:val="20"/>
        </w:rPr>
        <w:t xml:space="preserve">The company may establish the following advisory committees: Clinical Advisory Committee; Technical and Engineering Committee; Public Health and Epidemiology Committee; Data Protection and Cybersecurity Committee; Medical Device and Hardware Committee; Ethics and Compliance Committee; Investor and Finance Committee; Clinical Validation and Partnership Committee, responsible for overseeing clinical testing, validation partnerships with hospitals, teaching hospitals, clinics, diagnostic centers and independent healthcare professionals; and Education, Training and Certification Committee, responsible for overseeing curriculum development, training delivery, certification programs, partnerships with nursing schools, medical universities and professional accreditation bodies. These committees advise and do not replace the legal powers of the Manager or shareholders unless expressly authorized. Members may include doctors, nurses, pharmacists, radiologists, oncologists, laboratory professionals, public health specialists, engineers, cybersecurity specialists, lawyers, regulators, insurance experts, hospital administrators, academic faculty, training professionals and investor representatives.</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peut créer les comités consultatifs suivants : Comité clinique consultatif ; Comité technique et ingénierie ; Comité santé publique et épidémiologie ; Comité protection des données et cybersécurité ; Comité dispositifs médicaux et matériel ; Comité éthique et conformité ; Comité investisseurs et finances ; Comité de validation clinique et partenariats, chargé de superviser les tests cliniques, les partenariats de validation avec hôpitaux, hôpitaux universitaires, cliniques, centres de diagnostic et professionnels de santé indépendants ; et Comité formation, enseignement et certification, chargé de superviser le développement des programmes, la dispensation des formations, les programmes de certification et les partenariats avec écoles d'infirmiers, universités médicales et organismes d'accréditation professionnelle. Ces comités conseillent et ne remplacent pas les pouvoirs légaux du Gérant ou des associés sauf autorisation expresse. Leurs membres peuvent inclure médecins, infirmiers, pharmaciens, radiologues, oncologues, professionnels de laboratoire, spécialistes santé publique, ingénieurs, spécialistes cybersécurité, juristes, régulateurs, experts assurance, administrateurs hospitaliers, enseignants, professionnels de la formation et représentants d'investisseurs.</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none" w:color="FFFFFF" w:sz="0"/>
              <w:bottom w:val="none" w:color="FFFFFF" w:sz="0"/>
              <w:right w:val="none" w:color="FFFFFF" w:sz="0"/>
            </w:tcBorders>
            <w:shd w:fill="0E692E" w:val="clear"/>
            <w:tcMar>
              <w:top w:type="dxa" w:w="140"/>
              <w:left w:type="dxa" w:w="200"/>
              <w:bottom w:type="dxa" w:w="140"/>
              <w:right w:type="dxa" w:w="200"/>
            </w:tcMar>
          </w:tcPr>
          <w:p>
            <w:pPr>
              <w:spacing w:after="0" w:before="0"/>
              <w:jc w:val="center"/>
            </w:pPr>
            <w:r>
              <w:rPr>
                <w:rFonts w:ascii="Arial" w:cs="Arial" w:eastAsia="Arial" w:hAnsi="Arial"/>
                <w:b/>
                <w:bCs/>
                <w:color w:val="FFFFFF"/>
                <w:sz w:val="26"/>
                <w:szCs w:val="26"/>
              </w:rPr>
              <w:t xml:space="preserve">PART IV  —  INVESTOR, SHARE TRANSFER AND EXIT PROVISIONS  /  INVESTISSEURS, CESSIONS ET SORTIES</w:t>
            </w:r>
          </w:p>
        </w:tc>
      </w:tr>
    </w:tbl>
    <w:p>
      <w:pPr>
        <w:spacing w:after="28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25  —  CONFIDENTIALITY  /  CONFIDENTIALITÉ</w:t>
            </w:r>
          </w:p>
        </w:tc>
      </w:tr>
    </w:tbl>
    <w:p>
      <w:pPr>
        <w:spacing w:after="80" w:before="100"/>
        <w:ind/>
        <w:jc w:val="both"/>
      </w:pPr>
      <w:r>
        <w:rPr>
          <w:rFonts w:ascii="Arial" w:cs="Arial" w:eastAsia="Arial" w:hAnsi="Arial"/>
          <w:i w:val="false"/>
          <w:iCs w:val="false"/>
          <w:color w:val="1A1A2E"/>
          <w:sz w:val="20"/>
          <w:szCs w:val="20"/>
        </w:rPr>
        <w:t xml:space="preserve">Shareholders, Managers, employees, consultants, contractors and advisers shall keep confidential all non-public company information, including source code, data, patient information, facility data, insurance data, public health data, client lists, pricing, business plans, technical architecture, cybersecurity measures, trade secrets, product roadmaps and investor information. Confidentiality survives termination of employment, engagement or shareholding.</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Les associés, Gérants, employés, consultants, prestataires et conseillers gardent confidentielles toutes les informations non publiques de la société, notamment code source, données, informations patients, données d'établissements, données d'assurance, données de santé publique, listes clients, prix, plans d'affaires, architecture technique, mesures cybersécurité, secrets d'affaires, roadmaps produit et informations investisseurs. La confidentialité survit à la fin de l'emploi, prestation ou qualité d'associé.</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26  —  NON-COMPETITION AND NON-SOLICITATION  /  NON-CONCURRENCE ET NON-SOLLICITATION</w:t>
            </w:r>
          </w:p>
        </w:tc>
      </w:tr>
    </w:tbl>
    <w:p>
      <w:pPr>
        <w:spacing w:after="80" w:before="100"/>
        <w:ind/>
        <w:jc w:val="both"/>
      </w:pPr>
      <w:r>
        <w:rPr>
          <w:rFonts w:ascii="Arial" w:cs="Arial" w:eastAsia="Arial" w:hAnsi="Arial"/>
          <w:i w:val="false"/>
          <w:iCs w:val="false"/>
          <w:color w:val="1A1A2E"/>
          <w:sz w:val="20"/>
          <w:szCs w:val="20"/>
        </w:rPr>
        <w:t xml:space="preserve">Subject to applicable law, no shareholder, founder, Manager, employee, consultant, contractor or adviser may misuse company confidential information, IP, source code, client relationships, hospital relationships, insurer relationships, technical architecture or business opportunities. They shall not create or support a competing EMR, HIS, UHC, Health ID, OPES CDSS, interoperability, health data exchange or health monitoring device business using company assets or confidential information, nor solicit company clients, employees, contractors or partners for a competing business. Any restriction shall be reasonable in time, territory and scope and enforceable only to the extent permitted by law.</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Sous réserve de la loi applicable, aucun associé, fondateur, Gérant, employé, consultant, prestataire ou conseiller ne peut utiliser abusivement les informations confidentielles, propriété intellectuelle, code source, relations clients, relations hospitalières, relations assureurs, architecture technique ou opportunités de la société. Ils ne doivent pas créer ou soutenir une activité concurrente EMR, HIS, UHC, Health ID, OPES CDSS, interopérabilité, échange de données de santé ou dispositif de suivi de santé en utilisant les actifs ou informations confidentielles de la société, ni solliciter clients, employés, prestataires ou partenaires pour une activité concurrente. Toute restriction doit être raisonnable quant à la durée, au territoire et à l'objet et n'est applicable que dans la mesure permise par la loi.</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27  —  CONFLICTS OF INTEREST  /  CONFLITS D'INTÉRÊTS</w:t>
            </w:r>
          </w:p>
        </w:tc>
      </w:tr>
    </w:tbl>
    <w:p>
      <w:pPr>
        <w:spacing w:after="80" w:before="100"/>
        <w:ind/>
        <w:jc w:val="both"/>
      </w:pPr>
      <w:r>
        <w:rPr>
          <w:rFonts w:ascii="Arial" w:cs="Arial" w:eastAsia="Arial" w:hAnsi="Arial"/>
          <w:i w:val="false"/>
          <w:iCs w:val="false"/>
          <w:color w:val="1A1A2E"/>
          <w:sz w:val="20"/>
          <w:szCs w:val="20"/>
        </w:rPr>
        <w:t xml:space="preserve">Any shareholder, Manager, founder, employee, consultant, adviser or related party having a direct or indirect interest in a company transaction shall disclose it before approval. Related-party transactions must be fair, transparent and commercially reasonable. No related party shall receive improper advantage to the detriment of the company, minority shareholders or the minor shareholder.</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Tout associé, Gérant, fondateur, employé, consultant, conseiller ou partie liée ayant un intérêt direct ou indirect dans une transaction de la société doit le déclarer avant approbation. Les transactions avec parties liées doivent être équitables, transparentes et commercialement raisonnables. Aucune partie liée ne doit recevoir un avantage indu au détriment de la société, des associés minoritaires ou de l'associé mineur.</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28  —  ACCOUNTS AND FINANCIAL YEAR  /  COMPTES ET EXERCICE SOCIAL</w:t>
            </w:r>
          </w:p>
        </w:tc>
      </w:tr>
    </w:tbl>
    <w:p>
      <w:pPr>
        <w:spacing w:after="80" w:before="100"/>
        <w:ind/>
        <w:jc w:val="both"/>
      </w:pPr>
      <w:r>
        <w:rPr>
          <w:rFonts w:ascii="Arial" w:cs="Arial" w:eastAsia="Arial" w:hAnsi="Arial"/>
          <w:i w:val="false"/>
          <w:iCs w:val="false"/>
          <w:color w:val="1A1A2E"/>
          <w:sz w:val="20"/>
          <w:szCs w:val="20"/>
        </w:rPr>
        <w:t xml:space="preserve">The financial year begins on 1 January and ends on 31 December. The first financial year begins on the date of registration and ends on 31 December of the same year unless legally permitted otherwise. The company shall keep accounting records in accordance with OHADA accounting rules, tax law and applicable financial reporting obligations. Annual accounts and profit allocation shall be approved by shareholders.</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L'exercice social commence le 1er janvier et se termine le 31 décembre. Le premier exercice commence à la date d'immatriculation et se termine le 31 décembre de la même année sauf disposition légale contraire. La société tient sa comptabilité conformément aux règles comptables OHADA, à la législation fiscale et aux obligations de reporting financier applicables. Les comptes annuels et l'affectation du résultat sont approuvés par les associés.</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29  —  PROFITS, LOSSES AND DIVIDENDS  /  BÉNÉFICES, PERTES ET DIVIDENDES</w:t>
            </w:r>
          </w:p>
        </w:tc>
      </w:tr>
    </w:tbl>
    <w:p>
      <w:pPr>
        <w:spacing w:after="80" w:before="100"/>
        <w:ind/>
        <w:jc w:val="both"/>
      </w:pPr>
      <w:r>
        <w:rPr>
          <w:rFonts w:ascii="Arial" w:cs="Arial" w:eastAsia="Arial" w:hAnsi="Arial"/>
          <w:i w:val="false"/>
          <w:iCs w:val="false"/>
          <w:color w:val="1A1A2E"/>
          <w:sz w:val="20"/>
          <w:szCs w:val="20"/>
        </w:rPr>
        <w:t xml:space="preserve">Net profits, after expenses, depreciation, provisions, taxes, statutory reserves and lawful charges, may be distributed as dividends, allocated to reserves, reinvested or carried forward by shareholder decision. Dividends may be paid only from distributable profits and shall not render the company insolvent. Losses are borne by shareholders in proportion to their shares, limited to their contributions except where law provides otherwise.</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Les bénéfices nets, après charges, amortissements, provisions, impôts, réserves légales et prélèvements licites, peuvent être distribués en dividendes, affectés aux réserves, réinvestis ou reportés par décision des associés. Les dividendes ne peuvent être payés que sur bénéfices distribuables et ne doivent pas rendre la société insolvable. Les pertes sont supportées par les associés proportionnellement à leurs parts, dans la limite de leurs apports sauf disposition légale contraire.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30  —  BANKING AND FINANCIAL CONTROL  /  BANQUE ET CONTRÔLE FINANCIER</w:t>
            </w:r>
          </w:p>
        </w:tc>
      </w:tr>
    </w:tbl>
    <w:p>
      <w:pPr>
        <w:spacing w:after="80" w:before="100"/>
        <w:ind/>
        <w:jc w:val="both"/>
      </w:pPr>
      <w:r>
        <w:rPr>
          <w:rFonts w:ascii="Arial" w:cs="Arial" w:eastAsia="Arial" w:hAnsi="Arial"/>
          <w:i w:val="false"/>
          <w:iCs w:val="false"/>
          <w:color w:val="1A1A2E"/>
          <w:sz w:val="20"/>
          <w:szCs w:val="20"/>
        </w:rPr>
        <w:t xml:space="preserve">The company may open and operate bank accounts, mobile money accounts, payment accounts and other lawful financial accounts. Authorized signatories and approval thresholds may be determined by the Manager or shareholders. The company may adopt internal controls for procurement, payroll, payments, tax, debt, grants, investor funds, hardware procurement and client collections.</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peut ouvrir et utiliser des comptes bancaires, comptes mobile money, comptes de paiement et autres comptes financiers licites. Les signataires autorisés et seuils d'approbation sont déterminés par le Gérant ou les associés. La société peut adopter des contrôles internes pour achats, paie, paiements, fiscalité, dettes, subventions, fonds investisseurs, achats matériels et recouvrement clients.</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31  —  BORROWING  /  EMPRUNTS</w:t>
            </w:r>
          </w:p>
        </w:tc>
      </w:tr>
    </w:tbl>
    <w:p>
      <w:pPr>
        <w:spacing w:after="80" w:before="100"/>
        <w:ind/>
        <w:jc w:val="both"/>
      </w:pPr>
      <w:r>
        <w:rPr>
          <w:rFonts w:ascii="Arial" w:cs="Arial" w:eastAsia="Arial" w:hAnsi="Arial"/>
          <w:i w:val="false"/>
          <w:iCs w:val="false"/>
          <w:color w:val="1A1A2E"/>
          <w:sz w:val="20"/>
          <w:szCs w:val="20"/>
        </w:rPr>
        <w:t xml:space="preserve">The company may borrow, obtain credit, lease equipment, receive grants or financing, and secure obligations for business purposes. Borrowing or guarantees above 10,000,000 FCFA require shareholder approval. Security over core intellectual property or essential technology infrastructure requires reserved matter approval.</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peut emprunter, obtenir du crédit, louer des équipements, recevoir des subventions ou financements et garantir des obligations pour les besoins de l'activité. Les emprunts ou garanties supérieurs à 10 000 000 FCFA nécessitent l'approbation des associés. Les sûretés sur propriété intellectuelle essentielle ou infrastructure technologique essentielle exigent l'approbation au titre des décisions réservées.</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32  —  INSURANCE AND RISK MANAGEMENT  /  ASSURANCE ET GESTION DES RISQUES</w:t>
            </w:r>
          </w:p>
        </w:tc>
      </w:tr>
    </w:tbl>
    <w:p>
      <w:pPr>
        <w:spacing w:after="80" w:before="100"/>
        <w:ind/>
        <w:jc w:val="both"/>
      </w:pPr>
      <w:r>
        <w:rPr>
          <w:rFonts w:ascii="Arial" w:cs="Arial" w:eastAsia="Arial" w:hAnsi="Arial"/>
          <w:i w:val="false"/>
          <w:iCs w:val="false"/>
          <w:color w:val="1A1A2E"/>
          <w:sz w:val="20"/>
          <w:szCs w:val="20"/>
        </w:rPr>
        <w:t xml:space="preserve">The company may obtain professional liability, cybersecurity, product liability, medical device liability, directors and officers, employee, hardware warranty, general business, data breach and other appropriate insurance. The Manager shall periodically review risks related to technology, health data, medical devices, public health, insurance integrations, government integrations, cybersecurity and commercial operations.</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peut souscrire assurance responsabilité professionnelle, cybersécurité, responsabilité produit, responsabilité dispositifs médicaux, dirigeants, personnel, garantie matériel, assurance générale, violation de données et autres assurances appropriées. Le Gérant examine périodiquement les risques liés à la technologie, données de santé, dispositifs médicaux, santé publique, intégrations assurance, intégrations gouvernementales, cybersécurité et opérations commerciales.</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33  —  EMPLOYMENT AND CONTRACTORS  /  EMPLOI ET PRESTATAIRES</w:t>
            </w:r>
          </w:p>
        </w:tc>
      </w:tr>
    </w:tbl>
    <w:p>
      <w:pPr>
        <w:spacing w:after="80" w:before="100"/>
        <w:ind/>
        <w:jc w:val="both"/>
      </w:pPr>
      <w:r>
        <w:rPr>
          <w:rFonts w:ascii="Arial" w:cs="Arial" w:eastAsia="Arial" w:hAnsi="Arial"/>
          <w:i w:val="false"/>
          <w:iCs w:val="false"/>
          <w:color w:val="1A1A2E"/>
          <w:sz w:val="20"/>
          <w:szCs w:val="20"/>
        </w:rPr>
        <w:t xml:space="preserve">The company may hire employees and engage consultants, contractors, advisers, developers, clinicians, engineers, compliance officers, data protection officers, sales teams, trainers and support personnel. Workers may be required to sign employment, contractor, confidentiality, IP assignment, data protection, cybersecurity, conflict of interest and return-of-property agreements.</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peut recruter des employés et engager consultants, prestataires, conseillers, développeurs, cliniciens, ingénieurs, responsables conformité, responsables protection des données, équipes commerciales, formateurs et support. Les travailleurs peuvent être tenus de signer contrats de travail ou prestation, confidentialité, cession de propriété intellectuelle, protection des données, cybersécurité, conflits d'intérêts et restitution des biens.</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34  —  ETHICS AND ANTI-CORRUPTION  /  ÉTHIQUE ET ANTI-CORRUPTION</w:t>
            </w:r>
          </w:p>
        </w:tc>
      </w:tr>
    </w:tbl>
    <w:p>
      <w:pPr>
        <w:spacing w:after="40" w:before="100"/>
        <w:ind/>
        <w:jc w:val="both"/>
      </w:pPr>
      <w:r>
        <w:rPr>
          <w:rFonts w:ascii="Arial" w:cs="Arial" w:eastAsia="Arial" w:hAnsi="Arial"/>
          <w:b/>
          <w:bCs/>
          <w:i w:val="false"/>
          <w:iCs w:val="false"/>
          <w:color w:val="1B3A5C"/>
          <w:sz w:val="20"/>
          <w:szCs w:val="20"/>
        </w:rPr>
        <w:t xml:space="preserve">The company shall operate lawfully, ethically and professionally.</w:t>
      </w:r>
    </w:p>
    <w:p>
      <w:pPr>
        <w:spacing w:after="80" w:before="0"/>
        <w:ind w:left="160"/>
        <w:jc w:val="both"/>
      </w:pPr>
      <w:r>
        <w:rPr>
          <w:rFonts w:ascii="Arial" w:cs="Arial" w:eastAsia="Arial" w:hAnsi="Arial"/>
          <w:i w:val="false"/>
          <w:iCs w:val="false"/>
          <w:color w:val="1A1A2E"/>
          <w:sz w:val="20"/>
          <w:szCs w:val="20"/>
        </w:rPr>
        <w:t xml:space="preserve">It shall not engage in bribery, corruption, fraudulent billing, illegal procurement, unauthorized health data sale, falsification of medical records, unauthorized system access or unlawful conduct. The company may adopt anti-corruption, procurement integrity, professional ethics and whistleblowing policies.</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40" w:before="100"/>
        <w:ind w:left="200"/>
        <w:jc w:val="both"/>
      </w:pPr>
      <w:r>
        <w:rPr>
          <w:rFonts w:ascii="Arial" w:cs="Arial" w:eastAsia="Arial" w:hAnsi="Arial"/>
          <w:b/>
          <w:bCs/>
          <w:i/>
          <w:iCs/>
          <w:color w:val="0E692E"/>
          <w:sz w:val="19"/>
          <w:szCs w:val="19"/>
        </w:rPr>
        <w:t xml:space="preserve">La société agit légalement, éthiquement et professionnellement.</w:t>
      </w:r>
    </w:p>
    <w:p>
      <w:pPr>
        <w:spacing w:after="80" w:before="0"/>
        <w:ind w:left="360"/>
        <w:jc w:val="both"/>
      </w:pPr>
      <w:r>
        <w:rPr>
          <w:rFonts w:ascii="Arial" w:cs="Arial" w:eastAsia="Arial" w:hAnsi="Arial"/>
          <w:i/>
          <w:iCs/>
          <w:color w:val="3D3D5C"/>
          <w:sz w:val="19"/>
          <w:szCs w:val="19"/>
        </w:rPr>
        <w:t xml:space="preserve">Elle ne pratique pas corruption, fraude de facturation, marchés illicites, vente non autorisée de données de santé, falsification de dossiers médicaux, accès système non autorisé ou conduite illégale. La société peut adopter des politiques anti-corruption, intégrité des achats, éthique professionnelle et alerte interne.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none" w:color="FFFFFF" w:sz="0"/>
              <w:bottom w:val="none" w:color="FFFFFF" w:sz="0"/>
              <w:right w:val="none" w:color="FFFFFF" w:sz="0"/>
            </w:tcBorders>
            <w:shd w:fill="0E692E" w:val="clear"/>
            <w:tcMar>
              <w:top w:type="dxa" w:w="140"/>
              <w:left w:type="dxa" w:w="200"/>
              <w:bottom w:type="dxa" w:w="140"/>
              <w:right w:type="dxa" w:w="200"/>
            </w:tcMar>
          </w:tcPr>
          <w:p>
            <w:pPr>
              <w:spacing w:after="0" w:before="0"/>
              <w:jc w:val="center"/>
            </w:pPr>
            <w:r>
              <w:rPr>
                <w:rFonts w:ascii="Arial" w:cs="Arial" w:eastAsia="Arial" w:hAnsi="Arial"/>
                <w:b/>
                <w:bCs/>
                <w:color w:val="FFFFFF"/>
                <w:sz w:val="26"/>
                <w:szCs w:val="26"/>
              </w:rPr>
              <w:t xml:space="preserve">PART V  —  FINAL CLAUSES, SIGNATURES AND ANNEXES  /  CLAUSES FINALES, SIGNATURES ET ANNEXES</w:t>
            </w:r>
          </w:p>
        </w:tc>
      </w:tr>
    </w:tbl>
    <w:p>
      <w:pPr>
        <w:spacing w:after="28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35  —  DEATH, INCAPACITY AND SUCCESSION  /  DÉCÈS, INCAPACITÉ ET SUCCESSION</w:t>
            </w:r>
          </w:p>
        </w:tc>
      </w:tr>
    </w:tbl>
    <w:p>
      <w:pPr>
        <w:spacing w:after="80" w:before="100"/>
        <w:ind/>
        <w:jc w:val="both"/>
      </w:pPr>
      <w:r>
        <w:rPr>
          <w:rFonts w:ascii="Arial" w:cs="Arial" w:eastAsia="Arial" w:hAnsi="Arial"/>
          <w:i w:val="false"/>
          <w:iCs w:val="false"/>
          <w:color w:val="1A1A2E"/>
          <w:sz w:val="20"/>
          <w:szCs w:val="20"/>
        </w:rPr>
        <w:t xml:space="preserve">The death, incapacity, bankruptcy or legal incapacity of a shareholder does not automatically dissolve the company. Shares pass to lawful heirs or successors subject to law and approval procedures. The company may require documentation proving succession, representation or authority before updating the register. Where the successor is a minor or incapacitated person, rights are exercised through a lawful representative.</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 décès, l'incapacité, la faillite ou l'incapacité juridique d'un associé n'entraîne pas automatiquement la dissolution de la société. Les parts sont transmises aux héritiers ou ayants droit sous réserve de la loi et des procédures d'agrément. La société peut exiger documents prouvant succession, représentation ou autorité avant mise à jour du registre. Lorsque le successeur est mineur ou incapable, les droits sont exercés par un représentant légal.</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36  —  DEADLOCK RESOLUTION  /  RÉSOLUTION DES BLOCAGES</w:t>
            </w:r>
          </w:p>
        </w:tc>
      </w:tr>
    </w:tbl>
    <w:p>
      <w:pPr>
        <w:spacing w:after="80" w:before="100"/>
        <w:ind/>
        <w:jc w:val="both"/>
      </w:pPr>
      <w:r>
        <w:rPr>
          <w:rFonts w:ascii="Arial" w:cs="Arial" w:eastAsia="Arial" w:hAnsi="Arial"/>
          <w:i w:val="false"/>
          <w:iCs w:val="false"/>
          <w:color w:val="1A1A2E"/>
          <w:sz w:val="20"/>
          <w:szCs w:val="20"/>
        </w:rPr>
        <w:t xml:space="preserve">Where shareholders cannot agree on a reserved or major matter, they shall first negotiate in good faith, then issue written notice of the dispute, then attempt mediation with an agreed mediator. If unresolved, the dispute may be submitted to the competent court or agreed arbitration. No shareholder may use deadlock to block essential compliance, payment of lawful debts, cybersecurity action, patient safety obligations or urgent public health obligations.</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Lorsque les associés ne peuvent s'accorder sur une décision réservée ou majeure, ils négocient d'abord de bonne foi, puis notifient le différend par écrit, puis tentent une médiation avec médiateur convenu. À défaut de résolution, le différend peut être soumis à la juridiction compétente ou à l'arbitrage convenu. Aucun associé ne peut utiliser un blocage pour empêcher conformité essentielle, paiement de dettes légales, action cybersécurité, obligations de sécurité patient ou obligations urgentes de santé publique.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37  —  DISSOLUTION AND LIQUIDATION  /  DISSOLUTION ET LIQUIDATION</w:t>
            </w:r>
          </w:p>
        </w:tc>
      </w:tr>
    </w:tbl>
    <w:p>
      <w:pPr>
        <w:spacing w:after="80" w:before="100"/>
        <w:ind/>
        <w:jc w:val="both"/>
      </w:pPr>
      <w:r>
        <w:rPr>
          <w:rFonts w:ascii="Arial" w:cs="Arial" w:eastAsia="Arial" w:hAnsi="Arial"/>
          <w:i w:val="false"/>
          <w:iCs w:val="false"/>
          <w:color w:val="1A1A2E"/>
          <w:sz w:val="20"/>
          <w:szCs w:val="20"/>
        </w:rPr>
        <w:t xml:space="preserve">The company may be dissolved by expiry of duration, shareholder decision, judicial decision, merger, legal cause or any cause provided by law. Upon dissolution, one or more liquidators shall be appointed unless otherwise provided by law. After payment of debts, taxes, liquidation costs and liabilities, any surplus shall be distributed to shareholders in proportion to their shares unless lawfully agreed otherwise.</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La société peut être dissoute par expiration de durée, décision des associés, décision judiciaire, fusion, cause légale ou toute cause prévue par la loi. En cas de dissolution, un ou plusieurs liquidateurs sont nommés sauf disposition légale contraire. Après paiement des dettes, impôts, frais de liquidation et passifs, le boni éventuel est distribué aux associés proportionnellement à leurs parts sauf accord légal contraire.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38  —  GOVERNING LAW AND DISPUTES  /  DROIT APPLICABLE ET LITIGES</w:t>
            </w:r>
          </w:p>
        </w:tc>
      </w:tr>
    </w:tbl>
    <w:p>
      <w:pPr>
        <w:spacing w:after="80" w:before="100"/>
        <w:ind/>
        <w:jc w:val="both"/>
      </w:pPr>
      <w:r>
        <w:rPr>
          <w:rFonts w:ascii="Arial" w:cs="Arial" w:eastAsia="Arial" w:hAnsi="Arial"/>
          <w:i w:val="false"/>
          <w:iCs w:val="false"/>
          <w:color w:val="1A1A2E"/>
          <w:sz w:val="20"/>
          <w:szCs w:val="20"/>
        </w:rPr>
        <w:t xml:space="preserve">These Articles are governed by OHADA law and the laws of the Republic of Cameroon. Disputes shall first be settled amicably. Failing amicable resolution, disputes may be brought before the competent courts or submitted to arbitration where agreed by the parties and permitted by law.</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Les présents Statuts sont régis par le droit OHADA et les lois de la République du Cameroun. Les litiges sont d'abord réglés à l'amiable. À défaut, ils peuvent être portés devant les juridictions compétentes ou soumis à arbitrage lorsque les parties en conviennent et que la loi le permet.</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39  —  LANGUAGE AND INTERPRETATION  /  LANGUE ET INTERPRÉTATION</w:t>
            </w:r>
          </w:p>
        </w:tc>
      </w:tr>
    </w:tbl>
    <w:p>
      <w:pPr>
        <w:spacing w:after="40" w:before="100"/>
        <w:ind/>
        <w:jc w:val="both"/>
      </w:pPr>
      <w:r>
        <w:rPr>
          <w:rFonts w:ascii="Arial" w:cs="Arial" w:eastAsia="Arial" w:hAnsi="Arial"/>
          <w:b/>
          <w:bCs/>
          <w:i w:val="false"/>
          <w:iCs w:val="false"/>
          <w:color w:val="1B3A5C"/>
          <w:sz w:val="20"/>
          <w:szCs w:val="20"/>
        </w:rPr>
        <w:t xml:space="preserve">These Articles are prepared in English and French.</w:t>
      </w:r>
    </w:p>
    <w:p>
      <w:pPr>
        <w:spacing w:after="80" w:before="0"/>
        <w:ind w:left="160"/>
        <w:jc w:val="both"/>
      </w:pPr>
      <w:r>
        <w:rPr>
          <w:rFonts w:ascii="Arial" w:cs="Arial" w:eastAsia="Arial" w:hAnsi="Arial"/>
          <w:i w:val="false"/>
          <w:iCs w:val="false"/>
          <w:color w:val="1A1A2E"/>
          <w:sz w:val="20"/>
          <w:szCs w:val="20"/>
        </w:rPr>
        <w:t xml:space="preserve">Where a public authority, notary, bank, tax office, registry, regulator, court or investor requires a specific version, a certified version may be prepared. If both versions are signed and filed, both are authoritative; in case of inconsistency, the version accepted by the registration authority prevails for filing purposes, subject to mandatory law.</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Les présents Statuts sont établis en anglais et en français. Lorsqu'une autorité publique, notaire, banque, administration fiscale, registre, régulateur, tribunal ou investisseur exige une version spécifique, une version certifiée peut être préparée. Si les deux versions sont signées et déposées, les deux font foi ; en cas de divergence, la version acceptée par l'autorité d'immatriculation prévaut pour les besoins du dépôt, sous réserve de la loi impérative.</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Borders>
              <w:top w:val="none" w:color="FFFFFF" w:sz="0"/>
              <w:left w:val="single" w:color="0E692E" w:sz="20"/>
              <w:bottom w:val="none" w:color="FFFFFF" w:sz="0"/>
              <w:right w:val="none" w:color="FFFFFF" w:sz="0"/>
            </w:tcBorders>
            <w:shd w:fill="1B3A5C" w:val="clear"/>
            <w:tcMar>
              <w:top w:type="dxa" w:w="100"/>
              <w:left w:type="dxa" w:w="180"/>
              <w:bottom w:type="dxa" w:w="100"/>
              <w:right w:type="dxa" w:w="180"/>
            </w:tcMar>
          </w:tcPr>
          <w:p>
            <w:pPr>
              <w:spacing w:after="0" w:before="0"/>
            </w:pPr>
            <w:r>
              <w:rPr>
                <w:rFonts w:ascii="Arial" w:cs="Arial" w:eastAsia="Arial" w:hAnsi="Arial"/>
                <w:b/>
                <w:bCs/>
                <w:color w:val="FFFFFF"/>
                <w:sz w:val="21"/>
                <w:szCs w:val="21"/>
              </w:rPr>
              <w:t xml:space="preserve">ARTICLE 40  —  FINAL PROVISIONS  /  DISPOSITIONS FINALES</w:t>
            </w:r>
          </w:p>
        </w:tc>
      </w:tr>
    </w:tbl>
    <w:p>
      <w:pPr>
        <w:spacing w:after="80" w:before="100"/>
        <w:ind/>
        <w:jc w:val="both"/>
      </w:pPr>
      <w:r>
        <w:rPr>
          <w:rFonts w:ascii="Arial" w:cs="Arial" w:eastAsia="Arial" w:hAnsi="Arial"/>
          <w:i w:val="false"/>
          <w:iCs w:val="false"/>
          <w:color w:val="1A1A2E"/>
          <w:sz w:val="20"/>
          <w:szCs w:val="20"/>
        </w:rPr>
        <w:t xml:space="preserve">All matters not expressly covered by these Articles are governed by applicable OHADA law and Cameroon law. If any provision is invalid or unenforceable, the remaining provisions remain effective. Incorporation expenses, including registration, legal, notarial, publication, banking, tax, translation and administrative costs, may be borne by the company after registration.</w:t>
      </w:r>
    </w:p>
    <w:p>
      <w:pPr>
        <w:spacing w:after="40" w:before="0"/>
      </w:pPr>
      <w:r>
        <w:t xml:space="preserve"/>
      </w:r>
    </w:p>
    <w:p>
      <w:pPr>
        <w:pBdr>
          <w:bottom w:val="single" w:color="DDDDDD" w:sz="2"/>
        </w:pBdr>
        <w:spacing w:after="0" w:before="0"/>
      </w:pPr>
      <w:r>
        <w:t xml:space="preserve"/>
      </w:r>
    </w:p>
    <w:p>
      <w:pPr>
        <w:spacing w:after="40" w:before="0"/>
      </w:pPr>
      <w:r>
        <w:t xml:space="preserve"/>
      </w:r>
    </w:p>
    <w:p>
      <w:pPr>
        <w:spacing w:after="80" w:before="100"/>
        <w:ind w:left="200"/>
        <w:jc w:val="both"/>
      </w:pPr>
      <w:r>
        <w:rPr>
          <w:rFonts w:ascii="Arial" w:cs="Arial" w:eastAsia="Arial" w:hAnsi="Arial"/>
          <w:i/>
          <w:iCs/>
          <w:color w:val="3D3D5C"/>
          <w:sz w:val="19"/>
          <w:szCs w:val="19"/>
        </w:rPr>
        <w:t xml:space="preserve">Toutes matières non expressément prévues par les présents Statuts sont régies par le droit OHADA et le droit camerounais applicables. Si une disposition est invalide ou inapplicable, les autres demeurent en vigueur. Les frais de constitution, notamment enregistrement, juridiques, notariaux, publication, banque, fiscaux, traduction et administration, peuvent être supportés par la société après immatriculation.</w:t>
      </w:r>
    </w:p>
    <w:p>
      <w:pPr>
        <w:spacing w:after="160" w:before="0"/>
      </w:pPr>
      <w:r>
        <w:t xml:space="preserve"/>
      </w:r>
    </w:p>
    <w:p>
      <w:r>
        <w:br w:type="page"/>
      </w:r>
    </w:p>
    <w:p>
      <w:pPr>
        <w:spacing w:after="80" w:before="0"/>
        <w:jc w:val="center"/>
      </w:pPr>
      <w:r>
        <w:rPr>
          <w:rFonts w:ascii="Arial" w:cs="Arial" w:eastAsia="Arial" w:hAnsi="Arial"/>
          <w:b/>
          <w:bCs/>
          <w:color w:val="1B3A5C"/>
          <w:sz w:val="32"/>
          <w:szCs w:val="32"/>
        </w:rPr>
        <w:t xml:space="preserve">ANNEXES</w:t>
      </w:r>
    </w:p>
    <w:p>
      <w:pPr>
        <w:pBdr>
          <w:bottom w:val="single" w:color="0E692E" w:sz="10"/>
        </w:pBdr>
        <w:spacing w:after="60" w:before="0"/>
      </w:pPr>
      <w:r>
        <w:t xml:space="preserve"/>
      </w:r>
    </w:p>
    <w:p>
      <w:pPr>
        <w:spacing w:after="320" w:before="0"/>
      </w:pPr>
      <w:r>
        <w:t xml:space="preserve"/>
      </w:r>
    </w:p>
    <w:p>
      <w:pPr>
        <w:pBdr>
          <w:bottom w:val="single" w:color="0E692E" w:sz="8"/>
        </w:pBdr>
        <w:spacing w:after="80" w:before="260"/>
      </w:pPr>
      <w:r>
        <w:rPr>
          <w:rFonts w:ascii="Arial" w:cs="Arial" w:eastAsia="Arial" w:hAnsi="Arial"/>
          <w:b/>
          <w:bCs/>
          <w:color w:val="1B3A5C"/>
          <w:sz w:val="24"/>
          <w:szCs w:val="24"/>
        </w:rPr>
        <w:t xml:space="preserve">ANNEX 1  —  SHARE CAPITAL TABLE  /  ANNEXE 1  —  TABLEAU DU CAPITAL SOCIAL</w:t>
      </w:r>
    </w:p>
    <w:p>
      <w:pPr>
        <w:spacing w:after="160" w:before="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28"/>
        <w:gridCol w:w="2514"/>
        <w:gridCol w:w="1490"/>
        <w:gridCol w:w="1490"/>
        <w:gridCol w:w="1490"/>
      </w:tblGrid>
      <w:tr>
        <w:tc>
          <w:tcPr>
            <w:tcW w:type="dxa" w:w="2328"/>
            <w:tcBorders>
              <w:top w:val="single" w:color="D0D5DD" w:sz="4"/>
              <w:left w:val="single" w:color="D0D5DD" w:sz="4"/>
              <w:bottom w:val="single" w:color="D0D5DD" w:sz="4"/>
              <w:right w:val="single" w:color="D0D5DD" w:sz="4"/>
            </w:tcBorders>
            <w:shd w:fill="1B3A5C"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Shareholder / Associé</w:t>
            </w:r>
          </w:p>
        </w:tc>
        <w:tc>
          <w:tcPr>
            <w:tcW w:type="dxa" w:w="2514"/>
            <w:tcBorders>
              <w:top w:val="single" w:color="D0D5DD" w:sz="4"/>
              <w:left w:val="single" w:color="D0D5DD" w:sz="4"/>
              <w:bottom w:val="single" w:color="D0D5DD" w:sz="4"/>
              <w:right w:val="single" w:color="D0D5DD" w:sz="4"/>
            </w:tcBorders>
            <w:shd w:fill="1B3A5C"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Status / Statut</w:t>
            </w:r>
          </w:p>
        </w:tc>
        <w:tc>
          <w:tcPr>
            <w:tcW w:type="dxa" w:w="1490"/>
            <w:tcBorders>
              <w:top w:val="single" w:color="D0D5DD" w:sz="4"/>
              <w:left w:val="single" w:color="D0D5DD" w:sz="4"/>
              <w:bottom w:val="single" w:color="D0D5DD" w:sz="4"/>
              <w:right w:val="single" w:color="D0D5DD" w:sz="4"/>
            </w:tcBorders>
            <w:shd w:fill="1B3A5C"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Shares / Parts</w:t>
            </w:r>
          </w:p>
        </w:tc>
        <w:tc>
          <w:tcPr>
            <w:tcW w:type="dxa" w:w="1490"/>
            <w:tcBorders>
              <w:top w:val="single" w:color="D0D5DD" w:sz="4"/>
              <w:left w:val="single" w:color="D0D5DD" w:sz="4"/>
              <w:bottom w:val="single" w:color="D0D5DD" w:sz="4"/>
              <w:right w:val="single" w:color="D0D5DD" w:sz="4"/>
            </w:tcBorders>
            <w:shd w:fill="1B3A5C"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Value / Valeur</w:t>
            </w:r>
          </w:p>
        </w:tc>
        <w:tc>
          <w:tcPr>
            <w:tcW w:type="dxa" w:w="1490"/>
            <w:tcBorders>
              <w:top w:val="single" w:color="D0D5DD" w:sz="4"/>
              <w:left w:val="single" w:color="D0D5DD" w:sz="4"/>
              <w:bottom w:val="single" w:color="D0D5DD" w:sz="4"/>
              <w:right w:val="single" w:color="D0D5DD" w:sz="4"/>
            </w:tcBorders>
            <w:shd w:fill="1B3A5C" w:val="clear"/>
            <w:tcMar>
              <w:top w:type="dxa" w:w="80"/>
              <w:left w:type="dxa" w:w="80"/>
              <w:bottom w:type="dxa" w:w="80"/>
              <w:right w:type="dxa" w:w="80"/>
            </w:tcMar>
          </w:tcPr>
          <w:p>
            <w:pPr>
              <w:spacing w:after="0" w:before="0"/>
              <w:jc w:val="center"/>
            </w:pPr>
            <w:r>
              <w:rPr>
                <w:rFonts w:ascii="Arial" w:cs="Arial" w:eastAsia="Arial" w:hAnsi="Arial"/>
                <w:b/>
                <w:bCs/>
                <w:color w:val="FFFFFF"/>
                <w:sz w:val="17"/>
                <w:szCs w:val="17"/>
              </w:rPr>
              <w:t xml:space="preserve">% Capital</w:t>
            </w:r>
          </w:p>
        </w:tc>
      </w:tr>
      <w:tr>
        <w:tc>
          <w:tcPr>
            <w:tcW w:type="dxa" w:w="2328"/>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2E"/>
                <w:sz w:val="17"/>
                <w:szCs w:val="17"/>
              </w:rPr>
              <w:t xml:space="preserve">Jude Nshome</w:t>
            </w:r>
          </w:p>
        </w:tc>
        <w:tc>
          <w:tcPr>
            <w:tcW w:type="dxa" w:w="2514"/>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2E"/>
                <w:sz w:val="17"/>
                <w:szCs w:val="17"/>
              </w:rPr>
              <w:t xml:space="preserve">Founder, majority shareholder &amp; first Manager</w:t>
            </w:r>
          </w:p>
        </w:tc>
        <w:tc>
          <w:tcPr>
            <w:tcW w:type="dxa" w:w="149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150</w:t>
            </w:r>
          </w:p>
        </w:tc>
        <w:tc>
          <w:tcPr>
            <w:tcW w:type="dxa" w:w="149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749,999.25 FCFA</w:t>
            </w:r>
          </w:p>
        </w:tc>
        <w:tc>
          <w:tcPr>
            <w:tcW w:type="dxa" w:w="149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75%</w:t>
            </w:r>
          </w:p>
        </w:tc>
      </w:tr>
      <w:tr>
        <w:tc>
          <w:tcPr>
            <w:tcW w:type="dxa" w:w="232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2E"/>
                <w:sz w:val="17"/>
                <w:szCs w:val="17"/>
              </w:rPr>
              <w:t xml:space="preserve">Nshome Jienceston Morningstar AfoFeyin</w:t>
            </w:r>
          </w:p>
        </w:tc>
        <w:tc>
          <w:tcPr>
            <w:tcW w:type="dxa" w:w="251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2E"/>
                <w:sz w:val="17"/>
                <w:szCs w:val="17"/>
              </w:rPr>
              <w:t xml:space="preserve">Minor shareholder, represented by Jude Nshome (father)</w:t>
            </w:r>
          </w:p>
        </w:tc>
        <w:tc>
          <w:tcPr>
            <w:tcW w:type="dxa" w:w="149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20</w:t>
            </w:r>
          </w:p>
        </w:tc>
        <w:tc>
          <w:tcPr>
            <w:tcW w:type="dxa" w:w="149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99,999.90 FCFA</w:t>
            </w:r>
          </w:p>
        </w:tc>
        <w:tc>
          <w:tcPr>
            <w:tcW w:type="dxa" w:w="149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10%</w:t>
            </w:r>
          </w:p>
        </w:tc>
      </w:tr>
      <w:tr>
        <w:tc>
          <w:tcPr>
            <w:tcW w:type="dxa" w:w="2328"/>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2E"/>
                <w:sz w:val="17"/>
                <w:szCs w:val="17"/>
              </w:rPr>
              <w:t xml:space="preserve">Mbu Trustine Nyuwikeh</w:t>
            </w:r>
          </w:p>
        </w:tc>
        <w:tc>
          <w:tcPr>
            <w:tcW w:type="dxa" w:w="2514"/>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2E"/>
                <w:sz w:val="17"/>
                <w:szCs w:val="17"/>
              </w:rPr>
              <w:t xml:space="preserve">Shareholder / Associé</w:t>
            </w:r>
          </w:p>
        </w:tc>
        <w:tc>
          <w:tcPr>
            <w:tcW w:type="dxa" w:w="149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10</w:t>
            </w:r>
          </w:p>
        </w:tc>
        <w:tc>
          <w:tcPr>
            <w:tcW w:type="dxa" w:w="149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49,999.95 FCFA</w:t>
            </w:r>
          </w:p>
        </w:tc>
        <w:tc>
          <w:tcPr>
            <w:tcW w:type="dxa" w:w="149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5%</w:t>
            </w:r>
          </w:p>
        </w:tc>
      </w:tr>
      <w:tr>
        <w:tc>
          <w:tcPr>
            <w:tcW w:type="dxa" w:w="232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2E"/>
                <w:sz w:val="17"/>
                <w:szCs w:val="17"/>
              </w:rPr>
              <w:t xml:space="preserve">Tang Nestor Che</w:t>
            </w:r>
          </w:p>
        </w:tc>
        <w:tc>
          <w:tcPr>
            <w:tcW w:type="dxa" w:w="251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pPr>
              <w:spacing w:after="0" w:before="0"/>
              <w:jc w:val="left"/>
            </w:pPr>
            <w:r>
              <w:rPr>
                <w:rFonts w:ascii="Arial" w:cs="Arial" w:eastAsia="Arial" w:hAnsi="Arial"/>
                <w:b w:val="false"/>
                <w:bCs w:val="false"/>
                <w:i w:val="false"/>
                <w:iCs w:val="false"/>
                <w:color w:val="1A1A2E"/>
                <w:sz w:val="17"/>
                <w:szCs w:val="17"/>
              </w:rPr>
              <w:t xml:space="preserve">Shareholder &amp; father/legal rep of Tang Dominion Chia  /  Associé et père/représentant légal</w:t>
            </w:r>
          </w:p>
        </w:tc>
        <w:tc>
          <w:tcPr>
            <w:tcW w:type="dxa" w:w="149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10</w:t>
            </w:r>
          </w:p>
        </w:tc>
        <w:tc>
          <w:tcPr>
            <w:tcW w:type="dxa" w:w="149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49,999.95 FCFA</w:t>
            </w:r>
          </w:p>
        </w:tc>
        <w:tc>
          <w:tcPr>
            <w:tcW w:type="dxa" w:w="149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1A1A2E"/>
                <w:sz w:val="17"/>
                <w:szCs w:val="17"/>
              </w:rPr>
              <w:t xml:space="preserve">5%</w:t>
            </w:r>
          </w:p>
        </w:tc>
      </w:tr>
      <w:tr>
        <w:tc>
          <w:tcPr>
            <w:tcW w:type="dxa" w:w="2328"/>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left"/>
            </w:pPr>
            <w:r>
              <w:rPr>
                <w:rFonts w:ascii="Arial" w:cs="Arial" w:eastAsia="Arial" w:hAnsi="Arial"/>
                <w:b w:val="false"/>
                <w:bCs w:val="false"/>
                <w:i/>
                <w:iCs/>
                <w:color w:val="555555"/>
                <w:sz w:val="17"/>
                <w:szCs w:val="17"/>
              </w:rPr>
              <w:t xml:space="preserve">Tang Dominion Chia</w:t>
            </w:r>
          </w:p>
        </w:tc>
        <w:tc>
          <w:tcPr>
            <w:tcW w:type="dxa" w:w="2514"/>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left"/>
            </w:pPr>
            <w:r>
              <w:rPr>
                <w:rFonts w:ascii="Arial" w:cs="Arial" w:eastAsia="Arial" w:hAnsi="Arial"/>
                <w:b w:val="false"/>
                <w:bCs w:val="false"/>
                <w:i/>
                <w:iCs/>
                <w:color w:val="555555"/>
                <w:sz w:val="17"/>
                <w:szCs w:val="17"/>
              </w:rPr>
              <w:t xml:space="preserve">Minor shareholder, represented by Tang Nestor Che (father)</w:t>
            </w:r>
          </w:p>
        </w:tc>
        <w:tc>
          <w:tcPr>
            <w:tcW w:type="dxa" w:w="149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center"/>
            </w:pPr>
            <w:r>
              <w:rPr>
                <w:rFonts w:ascii="Arial" w:cs="Arial" w:eastAsia="Arial" w:hAnsi="Arial"/>
                <w:b w:val="false"/>
                <w:bCs w:val="false"/>
                <w:i/>
                <w:iCs/>
                <w:color w:val="555555"/>
                <w:sz w:val="17"/>
                <w:szCs w:val="17"/>
              </w:rPr>
              <w:t xml:space="preserve">10</w:t>
            </w:r>
          </w:p>
        </w:tc>
        <w:tc>
          <w:tcPr>
            <w:tcW w:type="dxa" w:w="149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center"/>
            </w:pPr>
            <w:r>
              <w:rPr>
                <w:rFonts w:ascii="Arial" w:cs="Arial" w:eastAsia="Arial" w:hAnsi="Arial"/>
                <w:b w:val="false"/>
                <w:bCs w:val="false"/>
                <w:i/>
                <w:iCs/>
                <w:color w:val="555555"/>
                <w:sz w:val="17"/>
                <w:szCs w:val="17"/>
              </w:rPr>
              <w:t xml:space="preserve">49,999.95 FCFA</w:t>
            </w:r>
          </w:p>
        </w:tc>
        <w:tc>
          <w:tcPr>
            <w:tcW w:type="dxa" w:w="1490"/>
            <w:tcBorders>
              <w:top w:val="single" w:color="D0D5DD" w:sz="4"/>
              <w:left w:val="single" w:color="D0D5DD" w:sz="4"/>
              <w:bottom w:val="single" w:color="D0D5DD" w:sz="4"/>
              <w:right w:val="single" w:color="D0D5DD" w:sz="4"/>
            </w:tcBorders>
            <w:shd w:fill="F2F4F7" w:val="clear"/>
            <w:tcMar>
              <w:top w:type="dxa" w:w="60"/>
              <w:left w:type="dxa" w:w="80"/>
              <w:bottom w:type="dxa" w:w="60"/>
              <w:right w:type="dxa" w:w="80"/>
            </w:tcMar>
          </w:tcPr>
          <w:p>
            <w:pPr>
              <w:spacing w:after="0" w:before="0"/>
              <w:jc w:val="center"/>
            </w:pPr>
            <w:r>
              <w:rPr>
                <w:rFonts w:ascii="Arial" w:cs="Arial" w:eastAsia="Arial" w:hAnsi="Arial"/>
                <w:b w:val="false"/>
                <w:bCs w:val="false"/>
                <w:i/>
                <w:iCs/>
                <w:color w:val="555555"/>
                <w:sz w:val="17"/>
                <w:szCs w:val="17"/>
              </w:rPr>
              <w:t xml:space="preserve">5%</w:t>
            </w:r>
          </w:p>
        </w:tc>
      </w:tr>
      <w:tr>
        <w:tc>
          <w:tcPr>
            <w:tcW w:type="dxa" w:w="2328"/>
            <w:tcBorders>
              <w:top w:val="single" w:color="D0D5DD" w:sz="4"/>
              <w:left w:val="single" w:color="D0D5DD" w:sz="4"/>
              <w:bottom w:val="single" w:color="D0D5DD" w:sz="4"/>
              <w:right w:val="single" w:color="D0D5DD" w:sz="4"/>
            </w:tcBorders>
            <w:shd w:fill="0E692E" w:val="clear"/>
            <w:tcMar>
              <w:top w:type="dxa" w:w="60"/>
              <w:left w:type="dxa" w:w="80"/>
              <w:bottom w:type="dxa" w:w="60"/>
              <w:right w:type="dxa" w:w="80"/>
            </w:tcMar>
          </w:tcPr>
          <w:p>
            <w:pPr>
              <w:spacing w:after="0" w:before="0"/>
              <w:jc w:val="left"/>
            </w:pPr>
            <w:r>
              <w:rPr>
                <w:rFonts w:ascii="Arial" w:cs="Arial" w:eastAsia="Arial" w:hAnsi="Arial"/>
                <w:b/>
                <w:bCs/>
                <w:i w:val="false"/>
                <w:iCs w:val="false"/>
                <w:color w:val="FFFFFF"/>
                <w:sz w:val="17"/>
                <w:szCs w:val="17"/>
              </w:rPr>
              <w:t xml:space="preserve">TOTAL</w:t>
            </w:r>
          </w:p>
        </w:tc>
        <w:tc>
          <w:tcPr>
            <w:tcW w:type="dxa" w:w="2514"/>
            <w:tcBorders>
              <w:top w:val="single" w:color="D0D5DD" w:sz="4"/>
              <w:left w:val="single" w:color="D0D5DD" w:sz="4"/>
              <w:bottom w:val="single" w:color="D0D5DD" w:sz="4"/>
              <w:right w:val="single" w:color="D0D5DD" w:sz="4"/>
            </w:tcBorders>
            <w:shd w:fill="0E692E" w:val="clear"/>
            <w:tcMar>
              <w:top w:type="dxa" w:w="60"/>
              <w:left w:type="dxa" w:w="80"/>
              <w:bottom w:type="dxa" w:w="60"/>
              <w:right w:type="dxa" w:w="80"/>
            </w:tcMar>
          </w:tcPr>
          <w:p>
            <w:pPr>
              <w:spacing w:after="0" w:before="0"/>
              <w:jc w:val="left"/>
            </w:pPr>
            <w:r>
              <w:rPr>
                <w:rFonts w:ascii="Arial" w:cs="Arial" w:eastAsia="Arial" w:hAnsi="Arial"/>
                <w:b/>
                <w:bCs/>
                <w:i w:val="false"/>
                <w:iCs w:val="false"/>
                <w:color w:val="FFFFFF"/>
                <w:sz w:val="17"/>
                <w:szCs w:val="17"/>
              </w:rPr>
              <w:t xml:space="preserve">—</w:t>
            </w:r>
          </w:p>
        </w:tc>
        <w:tc>
          <w:tcPr>
            <w:tcW w:type="dxa" w:w="1490"/>
            <w:tcBorders>
              <w:top w:val="single" w:color="D0D5DD" w:sz="4"/>
              <w:left w:val="single" w:color="D0D5DD" w:sz="4"/>
              <w:bottom w:val="single" w:color="D0D5DD" w:sz="4"/>
              <w:right w:val="single" w:color="D0D5DD" w:sz="4"/>
            </w:tcBorders>
            <w:shd w:fill="0E692E"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7"/>
                <w:szCs w:val="17"/>
              </w:rPr>
              <w:t xml:space="preserve">200</w:t>
            </w:r>
          </w:p>
        </w:tc>
        <w:tc>
          <w:tcPr>
            <w:tcW w:type="dxa" w:w="1490"/>
            <w:tcBorders>
              <w:top w:val="single" w:color="D0D5DD" w:sz="4"/>
              <w:left w:val="single" w:color="D0D5DD" w:sz="4"/>
              <w:bottom w:val="single" w:color="D0D5DD" w:sz="4"/>
              <w:right w:val="single" w:color="D0D5DD" w:sz="4"/>
            </w:tcBorders>
            <w:shd w:fill="0E692E"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7"/>
                <w:szCs w:val="17"/>
              </w:rPr>
              <w:t xml:space="preserve">999,999 FCFA</w:t>
            </w:r>
          </w:p>
        </w:tc>
        <w:tc>
          <w:tcPr>
            <w:tcW w:type="dxa" w:w="1490"/>
            <w:tcBorders>
              <w:top w:val="single" w:color="D0D5DD" w:sz="4"/>
              <w:left w:val="single" w:color="D0D5DD" w:sz="4"/>
              <w:bottom w:val="single" w:color="D0D5DD" w:sz="4"/>
              <w:right w:val="single" w:color="D0D5DD" w:sz="4"/>
            </w:tcBorders>
            <w:shd w:fill="0E692E" w:val="clear"/>
            <w:tcMar>
              <w:top w:type="dxa" w:w="60"/>
              <w:left w:type="dxa" w:w="80"/>
              <w:bottom w:type="dxa" w:w="60"/>
              <w:right w:type="dxa" w:w="80"/>
            </w:tcMar>
          </w:tcPr>
          <w:p>
            <w:pPr>
              <w:spacing w:after="0" w:before="0"/>
              <w:jc w:val="center"/>
            </w:pPr>
            <w:r>
              <w:rPr>
                <w:rFonts w:ascii="Arial" w:cs="Arial" w:eastAsia="Arial" w:hAnsi="Arial"/>
                <w:b/>
                <w:bCs/>
                <w:i w:val="false"/>
                <w:iCs w:val="false"/>
                <w:color w:val="FFFFFF"/>
                <w:sz w:val="17"/>
                <w:szCs w:val="17"/>
              </w:rPr>
              <w:t xml:space="preserve">100%</w:t>
            </w:r>
          </w:p>
        </w:tc>
      </w:tr>
    </w:tbl>
    <w:p>
      <w:pPr>
        <w:spacing w:after="400" w:before="0"/>
      </w:pPr>
      <w:r>
        <w:t xml:space="preserve"/>
      </w:r>
    </w:p>
    <w:p>
      <w:pPr>
        <w:pBdr>
          <w:bottom w:val="single" w:color="0E692E" w:sz="8"/>
        </w:pBdr>
        <w:spacing w:after="80" w:before="260"/>
      </w:pPr>
      <w:r>
        <w:rPr>
          <w:rFonts w:ascii="Arial" w:cs="Arial" w:eastAsia="Arial" w:hAnsi="Arial"/>
          <w:b/>
          <w:bCs/>
          <w:color w:val="1B3A5C"/>
          <w:sz w:val="24"/>
          <w:szCs w:val="24"/>
        </w:rPr>
        <w:t xml:space="preserve">ANNEX 2  —  DOCUMENTS TO PRESENT  /  ANNEXE 2  —  PIÈCES À PRÉSENTER</w:t>
      </w:r>
    </w:p>
    <w:p>
      <w:pPr>
        <w:spacing w:after="160" w:before="0"/>
      </w:pPr>
      <w:r>
        <w:t xml:space="preserve"/>
      </w:r>
    </w:p>
    <w:p>
      <w:pPr>
        <w:spacing w:after="60" w:before="200"/>
      </w:pPr>
      <w:r>
        <w:rPr>
          <w:rFonts w:ascii="Arial" w:cs="Arial" w:eastAsia="Arial" w:hAnsi="Arial"/>
          <w:b/>
          <w:bCs/>
          <w:color w:val="1B3A5C"/>
          <w:sz w:val="22"/>
          <w:szCs w:val="22"/>
        </w:rPr>
        <w:t xml:space="preserve">Jude Nshome</w:t>
      </w:r>
    </w:p>
    <w:p>
      <w:pPr>
        <w:spacing w:after="80" w:before="0"/>
      </w:pPr>
      <w:r>
        <w:rPr>
          <w:rFonts w:ascii="Arial" w:cs="Arial" w:eastAsia="Arial" w:hAnsi="Arial"/>
          <w:i/>
          <w:iCs/>
          <w:color w:val="3D3D5C"/>
          <w:sz w:val="19"/>
          <w:szCs w:val="19"/>
        </w:rPr>
        <w:t xml:space="preserve">Founder, majority shareholder and first Manager  /  Fondateur, associé majoritaire et premier Gérant</w:t>
      </w:r>
    </w:p>
    <w:p>
      <w:pPr>
        <w:pBdr>
          <w:bottom w:val="single" w:color="D0D5DD" w:sz="4"/>
        </w:pBdr>
        <w:spacing w:after="60" w:before="0"/>
      </w:pPr>
      <w:r>
        <w:t xml:space="preserve"/>
      </w:r>
    </w:p>
    <w:p>
      <w:pPr>
        <w:tabs>
          <w:tab w:val="left" w:pos="3800"/>
        </w:tabs>
        <w:spacing w:after="60" w:before="100"/>
      </w:pPr>
      <w:r>
        <w:rPr>
          <w:rFonts w:ascii="Arial" w:cs="Arial" w:eastAsia="Arial" w:hAnsi="Arial"/>
          <w:b/>
          <w:bCs/>
          <w:color w:val="1B3A5C"/>
          <w:sz w:val="20"/>
          <w:szCs w:val="20"/>
        </w:rPr>
        <w:t xml:space="preserve">National ID / CNI Number:</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ID Issue Date  /  Date d'émission:</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ID Expiry Date  /  Date d'expiration:</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ID Issued At  /  Lieu d'émission:</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Passport Number (if applicable / le cas échéant):</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Taxpayer ID / Numéro contribuable (NIF):</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Date of Birth / Date de naissance: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Place of Birth / Lieu de naissance:</w:t>
      </w:r>
      <w:r>
        <w:rPr>
          <w:rFonts w:ascii="Arial" w:cs="Arial" w:eastAsia="Arial" w:hAnsi="Arial"/>
          <w:color w:val="D0D5DD"/>
          <w:sz w:val="20"/>
          <w:szCs w:val="20"/>
        </w:rPr>
        <w:t xml:space="preserve">	_______________________________________________</w:t>
      </w:r>
    </w:p>
    <w:p>
      <w:pPr>
        <w:spacing w:after="200" w:before="0"/>
      </w:pPr>
      <w:r>
        <w:t xml:space="preserve"/>
      </w:r>
    </w:p>
    <w:p>
      <w:pPr>
        <w:spacing w:after="60" w:before="200"/>
      </w:pPr>
      <w:r>
        <w:rPr>
          <w:rFonts w:ascii="Arial" w:cs="Arial" w:eastAsia="Arial" w:hAnsi="Arial"/>
          <w:b/>
          <w:bCs/>
          <w:color w:val="1B3A5C"/>
          <w:sz w:val="22"/>
          <w:szCs w:val="22"/>
        </w:rPr>
        <w:t xml:space="preserve">Nshome Jienceston Morningstar AfoFeyin</w:t>
      </w:r>
    </w:p>
    <w:p>
      <w:pPr>
        <w:spacing w:after="80" w:before="0"/>
      </w:pPr>
      <w:r>
        <w:rPr>
          <w:rFonts w:ascii="Arial" w:cs="Arial" w:eastAsia="Arial" w:hAnsi="Arial"/>
          <w:i/>
          <w:iCs/>
          <w:color w:val="3D3D5C"/>
          <w:sz w:val="19"/>
          <w:szCs w:val="19"/>
        </w:rPr>
        <w:t xml:space="preserve">Minor shareholder  /  Associé mineur</w:t>
      </w:r>
    </w:p>
    <w:p>
      <w:pPr>
        <w:pBdr>
          <w:bottom w:val="single" w:color="D0D5DD" w:sz="4"/>
        </w:pBdr>
        <w:spacing w:after="60" w:before="0"/>
      </w:pPr>
      <w:r>
        <w:t xml:space="preserve"/>
      </w:r>
    </w:p>
    <w:p>
      <w:pPr>
        <w:spacing w:after="20" w:before="80"/>
      </w:pPr>
      <w:r>
        <w:rPr>
          <w:rFonts w:ascii="Arial" w:cs="Arial" w:eastAsia="Arial" w:hAnsi="Arial"/>
          <w:color w:val="1A1A2E"/>
          <w:sz w:val="20"/>
          <w:szCs w:val="20"/>
        </w:rPr>
        <w:t xml:space="preserve">This shareholder is a minor. Birth certificate details are required and must be recorded below.</w:t>
      </w:r>
    </w:p>
    <w:p>
      <w:pPr>
        <w:spacing w:after="60" w:before="0"/>
        <w:ind w:left="200"/>
      </w:pPr>
      <w:r>
        <w:rPr>
          <w:rFonts w:ascii="Arial" w:cs="Arial" w:eastAsia="Arial" w:hAnsi="Arial"/>
          <w:i/>
          <w:iCs/>
          <w:color w:val="3D3D5C"/>
          <w:sz w:val="19"/>
          <w:szCs w:val="19"/>
        </w:rPr>
        <w:t xml:space="preserve">Cet associé est mineur. Les références de l'acte de naissance ci-dessous sont obligatoires.</w:t>
      </w:r>
    </w:p>
    <w:p>
      <w:pPr>
        <w:tabs>
          <w:tab w:val="left" w:pos="3800"/>
        </w:tabs>
        <w:spacing w:after="60" w:before="100"/>
      </w:pPr>
      <w:r>
        <w:rPr>
          <w:rFonts w:ascii="Arial" w:cs="Arial" w:eastAsia="Arial" w:hAnsi="Arial"/>
          <w:b/>
          <w:bCs/>
          <w:color w:val="1B3A5C"/>
          <w:sz w:val="20"/>
          <w:szCs w:val="20"/>
        </w:rPr>
        <w:t xml:space="preserve">Birth Certificate Number  /  Numéro acte de naissance: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Date Issued  /  Date de délivrance: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Issuing Authority  /  Autorité délivrante: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Date of Birth  /  Date de naissance: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Place of Birth  /  Lieu de naissance: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Father's Full Name  /  Nom complet du père: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Mother's Full Name  /  Nom complet de la mère:</w:t>
      </w:r>
      <w:r>
        <w:rPr>
          <w:rFonts w:ascii="Arial" w:cs="Arial" w:eastAsia="Arial" w:hAnsi="Arial"/>
          <w:color w:val="D0D5DD"/>
          <w:sz w:val="20"/>
          <w:szCs w:val="20"/>
        </w:rPr>
        <w:t xml:space="preserve">	_______________________________________________</w:t>
      </w:r>
    </w:p>
    <w:p>
      <w:pPr>
        <w:spacing w:after="120" w:before="0"/>
      </w:pPr>
      <w:r>
        <w:t xml:space="preserve"/>
      </w:r>
    </w:p>
    <w:p>
      <w:pPr>
        <w:spacing w:after="20" w:before="0"/>
      </w:pPr>
      <w:r>
        <w:rPr>
          <w:rFonts w:ascii="Arial" w:cs="Arial" w:eastAsia="Arial" w:hAnsi="Arial"/>
          <w:b/>
          <w:bCs/>
          <w:color w:val="1B3A5C"/>
          <w:sz w:val="20"/>
          <w:szCs w:val="20"/>
        </w:rPr>
        <w:t xml:space="preserve">Legal Representative:  Jude Nshome  (father  /  père)</w:t>
      </w:r>
    </w:p>
    <w:p>
      <w:pPr>
        <w:tabs>
          <w:tab w:val="left" w:pos="3800"/>
        </w:tabs>
        <w:spacing w:after="60" w:before="100"/>
      </w:pPr>
      <w:r>
        <w:rPr>
          <w:rFonts w:ascii="Arial" w:cs="Arial" w:eastAsia="Arial" w:hAnsi="Arial"/>
          <w:b/>
          <w:bCs/>
          <w:color w:val="1B3A5C"/>
          <w:sz w:val="20"/>
          <w:szCs w:val="20"/>
        </w:rPr>
        <w:t xml:space="preserve">Legal Representative National ID / CNI:</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Legal Representative Taxpayer ID / NIF:</w:t>
      </w:r>
      <w:r>
        <w:rPr>
          <w:rFonts w:ascii="Arial" w:cs="Arial" w:eastAsia="Arial" w:hAnsi="Arial"/>
          <w:color w:val="D0D5DD"/>
          <w:sz w:val="20"/>
          <w:szCs w:val="20"/>
        </w:rPr>
        <w:t xml:space="preserve">	_______________________________________________</w:t>
      </w:r>
    </w:p>
    <w:p>
      <w:pPr>
        <w:spacing w:after="200" w:before="0"/>
      </w:pPr>
      <w:r>
        <w:t xml:space="preserve"/>
      </w:r>
    </w:p>
    <w:p>
      <w:pPr>
        <w:spacing w:after="60" w:before="200"/>
      </w:pPr>
      <w:r>
        <w:rPr>
          <w:rFonts w:ascii="Arial" w:cs="Arial" w:eastAsia="Arial" w:hAnsi="Arial"/>
          <w:b/>
          <w:bCs/>
          <w:color w:val="1B3A5C"/>
          <w:sz w:val="22"/>
          <w:szCs w:val="22"/>
        </w:rPr>
        <w:t xml:space="preserve">Mbu Trustine Nyuwikeh</w:t>
      </w:r>
    </w:p>
    <w:p>
      <w:pPr>
        <w:spacing w:after="80" w:before="0"/>
      </w:pPr>
      <w:r>
        <w:rPr>
          <w:rFonts w:ascii="Arial" w:cs="Arial" w:eastAsia="Arial" w:hAnsi="Arial"/>
          <w:i/>
          <w:iCs/>
          <w:color w:val="3D3D5C"/>
          <w:sz w:val="19"/>
          <w:szCs w:val="19"/>
        </w:rPr>
        <w:t xml:space="preserve">Shareholder  /  Associé</w:t>
      </w:r>
    </w:p>
    <w:p>
      <w:pPr>
        <w:pBdr>
          <w:bottom w:val="single" w:color="D0D5DD" w:sz="4"/>
        </w:pBdr>
        <w:spacing w:after="60" w:before="0"/>
      </w:pPr>
      <w:r>
        <w:t xml:space="preserve"/>
      </w:r>
    </w:p>
    <w:p>
      <w:pPr>
        <w:tabs>
          <w:tab w:val="left" w:pos="3800"/>
        </w:tabs>
        <w:spacing w:after="60" w:before="100"/>
      </w:pPr>
      <w:r>
        <w:rPr>
          <w:rFonts w:ascii="Arial" w:cs="Arial" w:eastAsia="Arial" w:hAnsi="Arial"/>
          <w:b/>
          <w:bCs/>
          <w:color w:val="1B3A5C"/>
          <w:sz w:val="20"/>
          <w:szCs w:val="20"/>
        </w:rPr>
        <w:t xml:space="preserve">National ID / CNI Number:</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ID Issue Date  /  Date d'émission:</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ID Expiry Date  /  Date d'expiration:</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ID Issued At  /  Lieu d'émission:</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Passport Number (if applicable / le cas échéant):</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Taxpayer ID / Numéro contribuable (NIF):</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Date of Birth / Date de naissance: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Place of Birth / Lieu de naissance:</w:t>
      </w:r>
      <w:r>
        <w:rPr>
          <w:rFonts w:ascii="Arial" w:cs="Arial" w:eastAsia="Arial" w:hAnsi="Arial"/>
          <w:color w:val="D0D5DD"/>
          <w:sz w:val="20"/>
          <w:szCs w:val="20"/>
        </w:rPr>
        <w:t xml:space="preserve">	_______________________________________________</w:t>
      </w:r>
    </w:p>
    <w:p>
      <w:pPr>
        <w:spacing w:after="200" w:before="0"/>
      </w:pPr>
      <w:r>
        <w:t xml:space="preserve"/>
      </w:r>
    </w:p>
    <w:p>
      <w:pPr>
        <w:spacing w:after="60" w:before="200"/>
      </w:pPr>
      <w:r>
        <w:rPr>
          <w:rFonts w:ascii="Arial" w:cs="Arial" w:eastAsia="Arial" w:hAnsi="Arial"/>
          <w:b/>
          <w:bCs/>
          <w:color w:val="1B3A5C"/>
          <w:sz w:val="22"/>
          <w:szCs w:val="22"/>
        </w:rPr>
        <w:t xml:space="preserve">Tang Nestor Che</w:t>
      </w:r>
    </w:p>
    <w:p>
      <w:pPr>
        <w:spacing w:after="80" w:before="0"/>
      </w:pPr>
      <w:r>
        <w:rPr>
          <w:rFonts w:ascii="Arial" w:cs="Arial" w:eastAsia="Arial" w:hAnsi="Arial"/>
          <w:i/>
          <w:iCs/>
          <w:color w:val="3D3D5C"/>
          <w:sz w:val="19"/>
          <w:szCs w:val="19"/>
        </w:rPr>
        <w:t xml:space="preserve">Shareholder and father/legal representative of Tang Dominion Chia  /  Associé et père/représentant légal de Tang Dominion Chia</w:t>
      </w:r>
    </w:p>
    <w:p>
      <w:pPr>
        <w:pBdr>
          <w:bottom w:val="single" w:color="D0D5DD" w:sz="4"/>
        </w:pBdr>
        <w:spacing w:after="60" w:before="0"/>
      </w:pPr>
      <w:r>
        <w:t xml:space="preserve"/>
      </w:r>
    </w:p>
    <w:p>
      <w:pPr>
        <w:tabs>
          <w:tab w:val="left" w:pos="3800"/>
        </w:tabs>
        <w:spacing w:after="60" w:before="100"/>
      </w:pPr>
      <w:r>
        <w:rPr>
          <w:rFonts w:ascii="Arial" w:cs="Arial" w:eastAsia="Arial" w:hAnsi="Arial"/>
          <w:b/>
          <w:bCs/>
          <w:color w:val="1B3A5C"/>
          <w:sz w:val="20"/>
          <w:szCs w:val="20"/>
        </w:rPr>
        <w:t xml:space="preserve">National ID / CNI Number:</w:t>
      </w:r>
      <w:r>
        <w:rPr>
          <w:rFonts w:ascii="Arial" w:cs="Arial" w:eastAsia="Arial" w:hAnsi="Arial"/>
          <w:b/>
          <w:bCs/>
          <w:color w:val="1A1A2E"/>
          <w:sz w:val="20"/>
          <w:szCs w:val="20"/>
        </w:rPr>
        <w:t xml:space="preserve">	101111358</w:t>
      </w:r>
    </w:p>
    <w:p>
      <w:pPr>
        <w:tabs>
          <w:tab w:val="left" w:pos="3800"/>
        </w:tabs>
        <w:spacing w:after="60" w:before="100"/>
      </w:pPr>
      <w:r>
        <w:rPr>
          <w:rFonts w:ascii="Arial" w:cs="Arial" w:eastAsia="Arial" w:hAnsi="Arial"/>
          <w:b/>
          <w:bCs/>
          <w:color w:val="1B3A5C"/>
          <w:sz w:val="20"/>
          <w:szCs w:val="20"/>
        </w:rPr>
        <w:t xml:space="preserve">ID Issue Date  /  Date d'émission:</w:t>
      </w:r>
      <w:r>
        <w:rPr>
          <w:rFonts w:ascii="Arial" w:cs="Arial" w:eastAsia="Arial" w:hAnsi="Arial"/>
          <w:b/>
          <w:bCs/>
          <w:color w:val="1A1A2E"/>
          <w:sz w:val="20"/>
          <w:szCs w:val="20"/>
        </w:rPr>
        <w:t xml:space="preserve">	19/10/2018</w:t>
      </w:r>
    </w:p>
    <w:p>
      <w:pPr>
        <w:tabs>
          <w:tab w:val="left" w:pos="3800"/>
        </w:tabs>
        <w:spacing w:after="60" w:before="100"/>
      </w:pPr>
      <w:r>
        <w:rPr>
          <w:rFonts w:ascii="Arial" w:cs="Arial" w:eastAsia="Arial" w:hAnsi="Arial"/>
          <w:b/>
          <w:bCs/>
          <w:color w:val="1B3A5C"/>
          <w:sz w:val="20"/>
          <w:szCs w:val="20"/>
        </w:rPr>
        <w:t xml:space="preserve">ID Expiry Date  /  Date d'expiration:</w:t>
      </w:r>
      <w:r>
        <w:rPr>
          <w:rFonts w:ascii="Arial" w:cs="Arial" w:eastAsia="Arial" w:hAnsi="Arial"/>
          <w:b/>
          <w:bCs/>
          <w:color w:val="1A1A2E"/>
          <w:sz w:val="20"/>
          <w:szCs w:val="20"/>
        </w:rPr>
        <w:t xml:space="preserve">	19/10/2028</w:t>
      </w:r>
    </w:p>
    <w:p>
      <w:pPr>
        <w:tabs>
          <w:tab w:val="left" w:pos="3800"/>
        </w:tabs>
        <w:spacing w:after="60" w:before="100"/>
      </w:pPr>
      <w:r>
        <w:rPr>
          <w:rFonts w:ascii="Arial" w:cs="Arial" w:eastAsia="Arial" w:hAnsi="Arial"/>
          <w:b/>
          <w:bCs/>
          <w:color w:val="1B3A5C"/>
          <w:sz w:val="20"/>
          <w:szCs w:val="20"/>
        </w:rPr>
        <w:t xml:space="preserve">ID Issued At  /  Lieu d'émission:</w:t>
      </w:r>
      <w:r>
        <w:rPr>
          <w:rFonts w:ascii="Arial" w:cs="Arial" w:eastAsia="Arial" w:hAnsi="Arial"/>
          <w:b/>
          <w:bCs/>
          <w:color w:val="1A1A2E"/>
          <w:sz w:val="20"/>
          <w:szCs w:val="20"/>
        </w:rPr>
        <w:t xml:space="preserve">	LT03</w:t>
      </w:r>
    </w:p>
    <w:p>
      <w:pPr>
        <w:tabs>
          <w:tab w:val="left" w:pos="3800"/>
        </w:tabs>
        <w:spacing w:after="60" w:before="100"/>
      </w:pPr>
      <w:r>
        <w:rPr>
          <w:rFonts w:ascii="Arial" w:cs="Arial" w:eastAsia="Arial" w:hAnsi="Arial"/>
          <w:b/>
          <w:bCs/>
          <w:color w:val="1B3A5C"/>
          <w:sz w:val="20"/>
          <w:szCs w:val="20"/>
        </w:rPr>
        <w:t xml:space="preserve">Passport Number (if applicable / le cas échéant):</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Taxpayer ID / Numéro contribuable (NIF):</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Date of Birth / Date de naissance: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Place of Birth / Lieu de naissance:</w:t>
      </w:r>
      <w:r>
        <w:rPr>
          <w:rFonts w:ascii="Arial" w:cs="Arial" w:eastAsia="Arial" w:hAnsi="Arial"/>
          <w:color w:val="D0D5DD"/>
          <w:sz w:val="20"/>
          <w:szCs w:val="20"/>
        </w:rPr>
        <w:t xml:space="preserve">	_______________________________________________</w:t>
      </w:r>
    </w:p>
    <w:p>
      <w:pPr>
        <w:spacing w:after="200" w:before="0"/>
      </w:pPr>
      <w:r>
        <w:t xml:space="preserve"/>
      </w:r>
    </w:p>
    <w:p>
      <w:pPr>
        <w:spacing w:after="60" w:before="200"/>
      </w:pPr>
      <w:r>
        <w:rPr>
          <w:rFonts w:ascii="Arial" w:cs="Arial" w:eastAsia="Arial" w:hAnsi="Arial"/>
          <w:b/>
          <w:bCs/>
          <w:color w:val="1B3A5C"/>
          <w:sz w:val="22"/>
          <w:szCs w:val="22"/>
        </w:rPr>
        <w:t xml:space="preserve">Tang Dominion Chia</w:t>
      </w:r>
    </w:p>
    <w:p>
      <w:pPr>
        <w:spacing w:after="80" w:before="0"/>
      </w:pPr>
      <w:r>
        <w:rPr>
          <w:rFonts w:ascii="Arial" w:cs="Arial" w:eastAsia="Arial" w:hAnsi="Arial"/>
          <w:i/>
          <w:iCs/>
          <w:color w:val="3D3D5C"/>
          <w:sz w:val="19"/>
          <w:szCs w:val="19"/>
        </w:rPr>
        <w:t xml:space="preserve">Minor shareholder  /  Associé mineur</w:t>
      </w:r>
    </w:p>
    <w:p>
      <w:pPr>
        <w:pBdr>
          <w:bottom w:val="single" w:color="D0D5DD" w:sz="4"/>
        </w:pBdr>
        <w:spacing w:after="60" w:before="0"/>
      </w:pPr>
      <w:r>
        <w:t xml:space="preserve"/>
      </w:r>
    </w:p>
    <w:p>
      <w:pPr>
        <w:spacing w:after="20" w:before="80"/>
      </w:pPr>
      <w:r>
        <w:rPr>
          <w:rFonts w:ascii="Arial" w:cs="Arial" w:eastAsia="Arial" w:hAnsi="Arial"/>
          <w:color w:val="1A1A2E"/>
          <w:sz w:val="20"/>
          <w:szCs w:val="20"/>
        </w:rPr>
        <w:t xml:space="preserve">This shareholder is a minor. Birth certificate details are required and must be recorded below.</w:t>
      </w:r>
    </w:p>
    <w:p>
      <w:pPr>
        <w:spacing w:after="60" w:before="0"/>
        <w:ind w:left="200"/>
      </w:pPr>
      <w:r>
        <w:rPr>
          <w:rFonts w:ascii="Arial" w:cs="Arial" w:eastAsia="Arial" w:hAnsi="Arial"/>
          <w:i/>
          <w:iCs/>
          <w:color w:val="3D3D5C"/>
          <w:sz w:val="19"/>
          <w:szCs w:val="19"/>
        </w:rPr>
        <w:t xml:space="preserve">Cet associé est mineur. Les références de l'acte de naissance ci-dessous sont obligatoires.</w:t>
      </w:r>
    </w:p>
    <w:p>
      <w:pPr>
        <w:tabs>
          <w:tab w:val="left" w:pos="3800"/>
        </w:tabs>
        <w:spacing w:after="60" w:before="100"/>
      </w:pPr>
      <w:r>
        <w:rPr>
          <w:rFonts w:ascii="Arial" w:cs="Arial" w:eastAsia="Arial" w:hAnsi="Arial"/>
          <w:b/>
          <w:bCs/>
          <w:color w:val="1B3A5C"/>
          <w:sz w:val="20"/>
          <w:szCs w:val="20"/>
        </w:rPr>
        <w:t xml:space="preserve">Birth Certificate Number  /  Numéro acte de naissance:</w:t>
      </w:r>
      <w:r>
        <w:rPr>
          <w:rFonts w:ascii="Arial" w:cs="Arial" w:eastAsia="Arial" w:hAnsi="Arial"/>
          <w:b/>
          <w:bCs/>
          <w:color w:val="1A1A2E"/>
          <w:sz w:val="20"/>
          <w:szCs w:val="20"/>
        </w:rPr>
        <w:t xml:space="preserve">	2022/LT1606/N/089</w:t>
      </w:r>
    </w:p>
    <w:p>
      <w:pPr>
        <w:tabs>
          <w:tab w:val="left" w:pos="3800"/>
        </w:tabs>
        <w:spacing w:after="60" w:before="100"/>
      </w:pPr>
      <w:r>
        <w:rPr>
          <w:rFonts w:ascii="Arial" w:cs="Arial" w:eastAsia="Arial" w:hAnsi="Arial"/>
          <w:b/>
          <w:bCs/>
          <w:color w:val="1B3A5C"/>
          <w:sz w:val="20"/>
          <w:szCs w:val="20"/>
        </w:rPr>
        <w:t xml:space="preserve">Date Issued  /  Date de délivrance: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Issuing Authority  /  Autorité délivrante: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Date of Birth  /  Date de naissance: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Place of Birth  /  Lieu de naissance: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Father's Full Name  /  Nom complet du père:</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Mother's Full Name  /  Nom complet de la mère:</w:t>
      </w:r>
      <w:r>
        <w:rPr>
          <w:rFonts w:ascii="Arial" w:cs="Arial" w:eastAsia="Arial" w:hAnsi="Arial"/>
          <w:color w:val="D0D5DD"/>
          <w:sz w:val="20"/>
          <w:szCs w:val="20"/>
        </w:rPr>
        <w:t xml:space="preserve">	_______________________________________________</w:t>
      </w:r>
    </w:p>
    <w:p>
      <w:pPr>
        <w:spacing w:after="120" w:before="0"/>
      </w:pPr>
      <w:r>
        <w:t xml:space="preserve"/>
      </w:r>
    </w:p>
    <w:p>
      <w:pPr>
        <w:spacing w:after="20" w:before="0"/>
      </w:pPr>
      <w:r>
        <w:rPr>
          <w:rFonts w:ascii="Arial" w:cs="Arial" w:eastAsia="Arial" w:hAnsi="Arial"/>
          <w:b/>
          <w:bCs/>
          <w:color w:val="1B3A5C"/>
          <w:sz w:val="20"/>
          <w:szCs w:val="20"/>
        </w:rPr>
        <w:t xml:space="preserve">Legal Representative:  Tang Nestor Che  (father  /  père)</w:t>
      </w:r>
    </w:p>
    <w:p>
      <w:pPr>
        <w:tabs>
          <w:tab w:val="left" w:pos="3800"/>
        </w:tabs>
        <w:spacing w:after="60" w:before="100"/>
      </w:pPr>
      <w:r>
        <w:rPr>
          <w:rFonts w:ascii="Arial" w:cs="Arial" w:eastAsia="Arial" w:hAnsi="Arial"/>
          <w:b/>
          <w:bCs/>
          <w:color w:val="1B3A5C"/>
          <w:sz w:val="20"/>
          <w:szCs w:val="20"/>
        </w:rPr>
        <w:t xml:space="preserve">Legal Representative National ID / CNI:</w:t>
      </w:r>
      <w:r>
        <w:rPr>
          <w:rFonts w:ascii="Arial" w:cs="Arial" w:eastAsia="Arial" w:hAnsi="Arial"/>
          <w:color w:val="D0D5DD"/>
          <w:sz w:val="20"/>
          <w:szCs w:val="20"/>
        </w:rPr>
        <w:t xml:space="preserve">	_______________________________________________</w:t>
      </w:r>
    </w:p>
    <w:p>
      <w:pPr>
        <w:tabs>
          <w:tab w:val="left" w:pos="3800"/>
        </w:tabs>
        <w:spacing w:after="60" w:before="100"/>
      </w:pPr>
      <w:r>
        <w:rPr>
          <w:rFonts w:ascii="Arial" w:cs="Arial" w:eastAsia="Arial" w:hAnsi="Arial"/>
          <w:b/>
          <w:bCs/>
          <w:color w:val="1B3A5C"/>
          <w:sz w:val="20"/>
          <w:szCs w:val="20"/>
        </w:rPr>
        <w:t xml:space="preserve">Legal Representative Taxpayer ID / NIF:</w:t>
      </w:r>
      <w:r>
        <w:rPr>
          <w:rFonts w:ascii="Arial" w:cs="Arial" w:eastAsia="Arial" w:hAnsi="Arial"/>
          <w:color w:val="D0D5DD"/>
          <w:sz w:val="20"/>
          <w:szCs w:val="20"/>
        </w:rPr>
        <w:t xml:space="preserve">	_______________________________________________</w:t>
      </w:r>
    </w:p>
    <w:p>
      <w:pPr>
        <w:spacing w:after="200" w:before="0"/>
      </w:pPr>
      <w:r>
        <w:t xml:space="preserve"/>
      </w:r>
    </w:p>
    <w:p>
      <w:pPr>
        <w:spacing w:after="60" w:before="160"/>
      </w:pPr>
      <w:r>
        <w:rPr>
          <w:rFonts w:ascii="Arial" w:cs="Arial" w:eastAsia="Arial" w:hAnsi="Arial"/>
          <w:b/>
          <w:bCs/>
          <w:color w:val="1B3A5C"/>
          <w:sz w:val="20"/>
          <w:szCs w:val="20"/>
        </w:rPr>
        <w:t xml:space="preserve">Other Required Documents  /  Autres pièces requises</w:t>
      </w:r>
    </w:p>
    <w:p>
      <w:pPr>
        <w:pBdr>
          <w:bottom w:val="single" w:color="D0D5DD" w:sz="4"/>
        </w:pBdr>
        <w:spacing w:after="60" w:before="0"/>
      </w:pPr>
      <w:r>
        <w:t xml:space="preserve"/>
      </w:r>
    </w:p>
    <w:p>
      <w:pPr>
        <w:pStyle w:val="ListParagraph"/>
        <w:numPr>
          <w:ilvl w:val="0"/>
          <w:numId w:val="2"/>
        </w:numPr>
        <w:spacing w:after="40" w:before="60"/>
      </w:pPr>
      <w:r>
        <w:rPr>
          <w:rFonts w:ascii="Arial" w:cs="Arial" w:eastAsia="Arial" w:hAnsi="Arial"/>
          <w:color w:val="1A1A2E"/>
          <w:sz w:val="20"/>
          <w:szCs w:val="20"/>
        </w:rPr>
        <w:t xml:space="preserve">Proof of registered office or address declaration for Bonamousadi, Douala  /  Justificatif ou déclaration d'adresse du siège</w:t>
      </w:r>
    </w:p>
    <w:p>
      <w:pPr>
        <w:pStyle w:val="ListParagraph"/>
        <w:numPr>
          <w:ilvl w:val="0"/>
          <w:numId w:val="2"/>
        </w:numPr>
        <w:spacing w:after="40" w:before="60"/>
      </w:pPr>
      <w:r>
        <w:rPr>
          <w:rFonts w:ascii="Arial" w:cs="Arial" w:eastAsia="Arial" w:hAnsi="Arial"/>
          <w:color w:val="1A1A2E"/>
          <w:sz w:val="20"/>
          <w:szCs w:val="20"/>
        </w:rPr>
        <w:t xml:space="preserve">Capital deposit or payment evidence  /  Preuve de dépôt ou libération du capital</w:t>
      </w:r>
    </w:p>
    <w:p>
      <w:pPr>
        <w:pStyle w:val="ListParagraph"/>
        <w:numPr>
          <w:ilvl w:val="0"/>
          <w:numId w:val="2"/>
        </w:numPr>
        <w:spacing w:after="40" w:before="60"/>
      </w:pPr>
      <w:r>
        <w:rPr>
          <w:rFonts w:ascii="Arial" w:cs="Arial" w:eastAsia="Arial" w:hAnsi="Arial"/>
          <w:color w:val="1A1A2E"/>
          <w:sz w:val="20"/>
          <w:szCs w:val="20"/>
        </w:rPr>
        <w:t xml:space="preserve">Manager acceptance declaration  /  Déclaration d'acceptation du Gérant</w:t>
      </w:r>
    </w:p>
    <w:p>
      <w:pPr>
        <w:pStyle w:val="ListParagraph"/>
        <w:numPr>
          <w:ilvl w:val="0"/>
          <w:numId w:val="2"/>
        </w:numPr>
        <w:spacing w:after="40" w:before="60"/>
      </w:pPr>
      <w:r>
        <w:rPr>
          <w:rFonts w:ascii="Arial" w:cs="Arial" w:eastAsia="Arial" w:hAnsi="Arial"/>
          <w:color w:val="1A1A2E"/>
          <w:sz w:val="20"/>
          <w:szCs w:val="20"/>
        </w:rPr>
        <w:t xml:space="preserve">Beneficial ownership declaration  /  Déclaration des bénéficiaires effectifs</w:t>
      </w:r>
    </w:p>
    <w:p>
      <w:pPr>
        <w:pStyle w:val="ListParagraph"/>
        <w:numPr>
          <w:ilvl w:val="0"/>
          <w:numId w:val="2"/>
        </w:numPr>
        <w:spacing w:after="40" w:before="60"/>
      </w:pPr>
      <w:r>
        <w:rPr>
          <w:rFonts w:ascii="Arial" w:cs="Arial" w:eastAsia="Arial" w:hAnsi="Arial"/>
          <w:color w:val="1A1A2E"/>
          <w:sz w:val="20"/>
          <w:szCs w:val="20"/>
        </w:rPr>
        <w:t xml:space="preserve">Any sector-specific authorization required for regulated health, device, data or insurance activities  /  Toute autorisation sectorielle requise</w:t>
      </w:r>
    </w:p>
    <w:p>
      <w:pPr>
        <w:spacing w:after="400" w:before="0"/>
      </w:pPr>
      <w:r>
        <w:t xml:space="preserve"/>
      </w:r>
    </w:p>
    <w:p>
      <w:pPr>
        <w:pBdr>
          <w:bottom w:val="single" w:color="0E692E" w:sz="8"/>
        </w:pBdr>
        <w:spacing w:after="80" w:before="260"/>
      </w:pPr>
      <w:r>
        <w:rPr>
          <w:rFonts w:ascii="Arial" w:cs="Arial" w:eastAsia="Arial" w:hAnsi="Arial"/>
          <w:b/>
          <w:bCs/>
          <w:color w:val="1B3A5C"/>
          <w:sz w:val="24"/>
          <w:szCs w:val="24"/>
        </w:rPr>
        <w:t xml:space="preserve">ANNEX 3  —  FOUNDER IP DECLARATION  /  ANNEXE 3  —  DÉCLARATION DE PROPRIÉTÉ INTELLECTUELLE DU FONDATEUR</w:t>
      </w:r>
    </w:p>
    <w:p>
      <w:pPr>
        <w:spacing w:after="160" w:before="0"/>
      </w:pPr>
      <w:r>
        <w:t xml:space="preserve"/>
      </w:r>
    </w:p>
    <w:p>
      <w:pPr>
        <w:spacing w:after="60" w:before="0"/>
        <w:jc w:val="both"/>
      </w:pPr>
      <w:r>
        <w:rPr>
          <w:rFonts w:ascii="Arial" w:cs="Arial" w:eastAsia="Arial" w:hAnsi="Arial"/>
          <w:color w:val="1A1A2E"/>
          <w:sz w:val="20"/>
          <w:szCs w:val="20"/>
        </w:rPr>
        <w:t xml:space="preserve">Jude Nshome declares that all technologies, product concepts, brands, documentation, domain names, source code, databases, software architecture, hardware concepts and related assets created for OPES Health Systems shall be assigned, transferred or licensed to OPES HEALTH SYSTEMS SARL through appropriate written instruments where necessary.</w:t>
      </w:r>
    </w:p>
    <w:p>
      <w:pPr>
        <w:spacing w:after="100" w:before="0"/>
        <w:ind w:left="200"/>
        <w:jc w:val="both"/>
      </w:pPr>
      <w:r>
        <w:rPr>
          <w:rFonts w:ascii="Arial" w:cs="Arial" w:eastAsia="Arial" w:hAnsi="Arial"/>
          <w:i/>
          <w:iCs/>
          <w:color w:val="3D3D5C"/>
          <w:sz w:val="19"/>
          <w:szCs w:val="19"/>
        </w:rPr>
        <w:t xml:space="preserve">Jude Nshome déclare que toutes les technologies, concepts produits, marques, documentations, noms de domaine, code source, bases de données, architecture logicielle, concepts matériels et actifs connexes créés pour OPES Health Systems seront cédés, transférés ou concédés à OPES HEALTH SYSTEMS SARL par actes écrits appropriés lorsque nécessaire.</w:t>
      </w:r>
    </w:p>
    <w:p>
      <w:pPr>
        <w:pStyle w:val="ListParagraph"/>
        <w:numPr>
          <w:ilvl w:val="0"/>
          <w:numId w:val="2"/>
        </w:numPr>
        <w:spacing w:after="40" w:before="60"/>
      </w:pPr>
      <w:r>
        <w:rPr>
          <w:rFonts w:ascii="Arial" w:cs="Arial" w:eastAsia="Arial" w:hAnsi="Arial"/>
          <w:color w:val="1A1A2E"/>
          <w:sz w:val="20"/>
          <w:szCs w:val="20"/>
        </w:rPr>
        <w:t xml:space="preserve">OPES EMR  /  Dossier médical électronique OPES</w:t>
      </w:r>
    </w:p>
    <w:p>
      <w:pPr>
        <w:pStyle w:val="ListParagraph"/>
        <w:numPr>
          <w:ilvl w:val="0"/>
          <w:numId w:val="2"/>
        </w:numPr>
        <w:spacing w:after="40" w:before="60"/>
      </w:pPr>
      <w:r>
        <w:rPr>
          <w:rFonts w:ascii="Arial" w:cs="Arial" w:eastAsia="Arial" w:hAnsi="Arial"/>
          <w:color w:val="1A1A2E"/>
          <w:sz w:val="20"/>
          <w:szCs w:val="20"/>
        </w:rPr>
        <w:t xml:space="preserve">OPES HIS  /  Système d'information hospitalier OPES</w:t>
      </w:r>
    </w:p>
    <w:p>
      <w:pPr>
        <w:pStyle w:val="ListParagraph"/>
        <w:numPr>
          <w:ilvl w:val="0"/>
          <w:numId w:val="2"/>
        </w:numPr>
        <w:spacing w:after="40" w:before="60"/>
      </w:pPr>
      <w:r>
        <w:rPr>
          <w:rFonts w:ascii="Arial" w:cs="Arial" w:eastAsia="Arial" w:hAnsi="Arial"/>
          <w:color w:val="1A1A2E"/>
          <w:sz w:val="20"/>
          <w:szCs w:val="20"/>
        </w:rPr>
        <w:t xml:space="preserve">OPES UHC Software  /  Logiciel couverture santé universelle OPES</w:t>
      </w:r>
    </w:p>
    <w:p>
      <w:pPr>
        <w:pStyle w:val="ListParagraph"/>
        <w:numPr>
          <w:ilvl w:val="0"/>
          <w:numId w:val="2"/>
        </w:numPr>
        <w:spacing w:after="40" w:before="60"/>
      </w:pPr>
      <w:r>
        <w:rPr>
          <w:rFonts w:ascii="Arial" w:cs="Arial" w:eastAsia="Arial" w:hAnsi="Arial"/>
          <w:color w:val="1A1A2E"/>
          <w:sz w:val="20"/>
          <w:szCs w:val="20"/>
        </w:rPr>
        <w:t xml:space="preserve">OPES Health ID  /  Identifiant santé OPES</w:t>
      </w:r>
    </w:p>
    <w:p>
      <w:pPr>
        <w:pStyle w:val="ListParagraph"/>
        <w:numPr>
          <w:ilvl w:val="0"/>
          <w:numId w:val="2"/>
        </w:numPr>
        <w:spacing w:after="40" w:before="60"/>
      </w:pPr>
      <w:r>
        <w:rPr>
          <w:rFonts w:ascii="Arial" w:cs="Arial" w:eastAsia="Arial" w:hAnsi="Arial"/>
          <w:color w:val="1A1A2E"/>
          <w:sz w:val="20"/>
          <w:szCs w:val="20"/>
        </w:rPr>
        <w:t xml:space="preserve">OPESCare — Integrated Telemedicine and Patient Care Platform  /  Plateforme intégrée de télémédecine et soins OPES</w:t>
      </w:r>
    </w:p>
    <w:p>
      <w:pPr>
        <w:pStyle w:val="ListParagraph"/>
        <w:numPr>
          <w:ilvl w:val="0"/>
          <w:numId w:val="2"/>
        </w:numPr>
        <w:spacing w:after="40" w:before="60"/>
      </w:pPr>
      <w:r>
        <w:rPr>
          <w:rFonts w:ascii="Arial" w:cs="Arial" w:eastAsia="Arial" w:hAnsi="Arial"/>
          <w:color w:val="1A1A2E"/>
          <w:sz w:val="20"/>
          <w:szCs w:val="20"/>
        </w:rPr>
        <w:t xml:space="preserve">OPES Interoperability Layer  /  Couche d'interopérabilité OPES</w:t>
      </w:r>
    </w:p>
    <w:p>
      <w:pPr>
        <w:pStyle w:val="ListParagraph"/>
        <w:numPr>
          <w:ilvl w:val="0"/>
          <w:numId w:val="2"/>
        </w:numPr>
        <w:spacing w:after="40" w:before="60"/>
      </w:pPr>
      <w:r>
        <w:rPr>
          <w:rFonts w:ascii="Arial" w:cs="Arial" w:eastAsia="Arial" w:hAnsi="Arial"/>
          <w:color w:val="1A1A2E"/>
          <w:sz w:val="20"/>
          <w:szCs w:val="20"/>
        </w:rPr>
        <w:t xml:space="preserve">OPES CDSS  /  Système d'aide à la décision clinique OPES</w:t>
      </w:r>
    </w:p>
    <w:p>
      <w:pPr>
        <w:pStyle w:val="ListParagraph"/>
        <w:numPr>
          <w:ilvl w:val="0"/>
          <w:numId w:val="2"/>
        </w:numPr>
        <w:spacing w:after="40" w:before="60"/>
      </w:pPr>
      <w:r>
        <w:rPr>
          <w:rFonts w:ascii="Arial" w:cs="Arial" w:eastAsia="Arial" w:hAnsi="Arial"/>
          <w:color w:val="1A1A2E"/>
          <w:sz w:val="20"/>
          <w:szCs w:val="20"/>
        </w:rPr>
        <w:t xml:space="preserve">OPES Public Health Reporting  /  Reporting santé publique OPES</w:t>
      </w:r>
    </w:p>
    <w:p>
      <w:pPr>
        <w:pStyle w:val="ListParagraph"/>
        <w:numPr>
          <w:ilvl w:val="0"/>
          <w:numId w:val="2"/>
        </w:numPr>
        <w:spacing w:after="40" w:before="60"/>
      </w:pPr>
      <w:r>
        <w:rPr>
          <w:rFonts w:ascii="Arial" w:cs="Arial" w:eastAsia="Arial" w:hAnsi="Arial"/>
          <w:color w:val="1A1A2E"/>
          <w:sz w:val="20"/>
          <w:szCs w:val="20"/>
        </w:rPr>
        <w:t xml:space="preserve">OPES Hospital Server Appliance  /  Appliance serveur hospitalière OPES</w:t>
      </w:r>
    </w:p>
    <w:p>
      <w:pPr>
        <w:pStyle w:val="ListParagraph"/>
        <w:numPr>
          <w:ilvl w:val="0"/>
          <w:numId w:val="2"/>
        </w:numPr>
        <w:spacing w:after="40" w:before="60"/>
      </w:pPr>
      <w:r>
        <w:rPr>
          <w:rFonts w:ascii="Arial" w:cs="Arial" w:eastAsia="Arial" w:hAnsi="Arial"/>
          <w:color w:val="1A1A2E"/>
          <w:sz w:val="20"/>
          <w:szCs w:val="20"/>
        </w:rPr>
        <w:t xml:space="preserve">OPES Health Monitoring Watch  /  Montre de suivi de santé OPES</w:t>
      </w:r>
    </w:p>
    <w:p>
      <w:pPr>
        <w:pStyle w:val="ListParagraph"/>
        <w:numPr>
          <w:ilvl w:val="0"/>
          <w:numId w:val="2"/>
        </w:numPr>
        <w:spacing w:after="40" w:before="60"/>
      </w:pPr>
      <w:r>
        <w:rPr>
          <w:rFonts w:ascii="Arial" w:cs="Arial" w:eastAsia="Arial" w:hAnsi="Arial"/>
          <w:color w:val="1A1A2E"/>
          <w:sz w:val="20"/>
          <w:szCs w:val="20"/>
        </w:rPr>
        <w:t xml:space="preserve">OPES Vital Signs and Heart Monitoring Devices  /  Dispositifs de signes vitaux et suivi cardiaque OPES</w:t>
      </w:r>
    </w:p>
    <w:p>
      <w:r>
        <w:br w:type="page"/>
      </w:r>
    </w:p>
    <w:p>
      <w:pPr>
        <w:spacing w:after="60" w:before="0"/>
        <w:jc w:val="center"/>
      </w:pPr>
      <w:r>
        <w:rPr>
          <w:rFonts w:ascii="Arial" w:cs="Arial" w:eastAsia="Arial" w:hAnsi="Arial"/>
          <w:b/>
          <w:bCs/>
          <w:color w:val="1B3A5C"/>
          <w:sz w:val="28"/>
          <w:szCs w:val="28"/>
        </w:rPr>
        <w:t xml:space="preserve">SIGNATURE PAGE  /  PAGE DE SIGNATURE</w:t>
      </w:r>
    </w:p>
    <w:p>
      <w:pPr>
        <w:pBdr>
          <w:bottom w:val="single" w:color="0E692E" w:sz="10"/>
        </w:pBdr>
        <w:spacing w:after="60" w:before="0"/>
      </w:pPr>
      <w:r>
        <w:t xml:space="preserve"/>
      </w:r>
    </w:p>
    <w:p>
      <w:pPr>
        <w:spacing w:after="200" w:before="0"/>
      </w:pPr>
      <w:r>
        <w:t xml:space="preserve"/>
      </w:r>
    </w:p>
    <w:p>
      <w:pPr>
        <w:spacing w:after="40" w:before="0"/>
      </w:pPr>
      <w:r>
        <w:rPr>
          <w:rFonts w:ascii="Arial" w:cs="Arial" w:eastAsia="Arial" w:hAnsi="Arial"/>
          <w:color w:val="1A1A2E"/>
          <w:sz w:val="20"/>
          <w:szCs w:val="20"/>
        </w:rPr>
        <w:t xml:space="preserve">Made and signed at Douala, Republic of Cameroon, on:  ___________________________________</w:t>
      </w:r>
    </w:p>
    <w:p>
      <w:pPr>
        <w:spacing w:after="180" w:before="0"/>
        <w:ind w:left="200"/>
      </w:pPr>
      <w:r>
        <w:rPr>
          <w:rFonts w:ascii="Arial" w:cs="Arial" w:eastAsia="Arial" w:hAnsi="Arial"/>
          <w:i/>
          <w:iCs/>
          <w:color w:val="3D3D5C"/>
          <w:sz w:val="19"/>
          <w:szCs w:val="19"/>
        </w:rPr>
        <w:t xml:space="preserve">Fait et signé à Douala, République du Cameroun, le :  ___________________________________</w:t>
      </w:r>
    </w:p>
    <w:p>
      <w:pPr>
        <w:spacing w:after="40" w:before="220"/>
      </w:pPr>
      <w:r>
        <w:rPr>
          <w:rFonts w:ascii="Arial" w:cs="Arial" w:eastAsia="Arial" w:hAnsi="Arial"/>
          <w:b/>
          <w:bCs/>
          <w:color w:val="1B3A5C"/>
          <w:sz w:val="22"/>
          <w:szCs w:val="22"/>
        </w:rPr>
        <w:t xml:space="preserve">Jude Nshome</w:t>
      </w:r>
    </w:p>
    <w:p>
      <w:pPr>
        <w:spacing w:after="80" w:before="0"/>
      </w:pPr>
      <w:r>
        <w:rPr>
          <w:rFonts w:ascii="Arial" w:cs="Arial" w:eastAsia="Arial" w:hAnsi="Arial"/>
          <w:color w:val="1A1A2E"/>
          <w:sz w:val="20"/>
          <w:szCs w:val="20"/>
        </w:rPr>
        <w:t xml:space="preserve">Capacity / Qualité:  Founder, majority shareholder, first Manager and father/legal representative of minor shareholder  /  Fondateur, associé majoritaire, premier Gérant et père/représentant légal de l'associé mineur</w:t>
      </w:r>
    </w:p>
    <w:p>
      <w:pPr>
        <w:spacing w:after="40" w:before="0"/>
      </w:pPr>
      <w:r>
        <w:rPr>
          <w:rFonts w:ascii="Arial" w:cs="Arial" w:eastAsia="Arial" w:hAnsi="Arial"/>
          <w:color w:val="1A1A2E"/>
          <w:sz w:val="20"/>
          <w:szCs w:val="20"/>
        </w:rPr>
        <w:t xml:space="preserve">Signature:  ___________________________________________________</w:t>
      </w:r>
    </w:p>
    <w:p>
      <w:pPr>
        <w:spacing w:after="0" w:before="0"/>
      </w:pPr>
      <w:r>
        <w:rPr>
          <w:rFonts w:ascii="Arial" w:cs="Arial" w:eastAsia="Arial" w:hAnsi="Arial"/>
          <w:color w:val="1A1A2E"/>
          <w:sz w:val="20"/>
          <w:szCs w:val="20"/>
        </w:rPr>
        <w:t xml:space="preserve">Date:  ___________________________</w:t>
      </w:r>
    </w:p>
    <w:p>
      <w:pPr>
        <w:spacing w:after="40" w:before="220"/>
      </w:pPr>
      <w:r>
        <w:rPr>
          <w:rFonts w:ascii="Arial" w:cs="Arial" w:eastAsia="Arial" w:hAnsi="Arial"/>
          <w:b/>
          <w:bCs/>
          <w:color w:val="1B3A5C"/>
          <w:sz w:val="22"/>
          <w:szCs w:val="22"/>
        </w:rPr>
        <w:t xml:space="preserve">Nshome Jienceston Morningstar AfoFeyin</w:t>
      </w:r>
    </w:p>
    <w:p>
      <w:pPr>
        <w:spacing w:after="80" w:before="0"/>
      </w:pPr>
      <w:r>
        <w:rPr>
          <w:rFonts w:ascii="Arial" w:cs="Arial" w:eastAsia="Arial" w:hAnsi="Arial"/>
          <w:color w:val="1A1A2E"/>
          <w:sz w:val="20"/>
          <w:szCs w:val="20"/>
        </w:rPr>
        <w:t xml:space="preserve">Capacity / Qualité:  Minor shareholder, represented by Jude Nshome his father  /  Associé mineur, représenté par Jude Nshome son père</w:t>
      </w:r>
    </w:p>
    <w:p>
      <w:pPr>
        <w:spacing w:after="40" w:before="0"/>
      </w:pPr>
      <w:r>
        <w:rPr>
          <w:rFonts w:ascii="Arial" w:cs="Arial" w:eastAsia="Arial" w:hAnsi="Arial"/>
          <w:color w:val="1A1A2E"/>
          <w:sz w:val="20"/>
          <w:szCs w:val="20"/>
        </w:rPr>
        <w:t xml:space="preserve">Signature:  ___________________________________________________</w:t>
      </w:r>
    </w:p>
    <w:p>
      <w:pPr>
        <w:spacing w:after="0" w:before="0"/>
      </w:pPr>
      <w:r>
        <w:rPr>
          <w:rFonts w:ascii="Arial" w:cs="Arial" w:eastAsia="Arial" w:hAnsi="Arial"/>
          <w:color w:val="1A1A2E"/>
          <w:sz w:val="20"/>
          <w:szCs w:val="20"/>
        </w:rPr>
        <w:t xml:space="preserve">Date:  ___________________________</w:t>
      </w:r>
    </w:p>
    <w:p>
      <w:pPr>
        <w:spacing w:after="40" w:before="220"/>
      </w:pPr>
      <w:r>
        <w:rPr>
          <w:rFonts w:ascii="Arial" w:cs="Arial" w:eastAsia="Arial" w:hAnsi="Arial"/>
          <w:b/>
          <w:bCs/>
          <w:color w:val="1B3A5C"/>
          <w:sz w:val="22"/>
          <w:szCs w:val="22"/>
        </w:rPr>
        <w:t xml:space="preserve">Mbu Trustine Nyuwikeh</w:t>
      </w:r>
    </w:p>
    <w:p>
      <w:pPr>
        <w:spacing w:after="80" w:before="0"/>
      </w:pPr>
      <w:r>
        <w:rPr>
          <w:rFonts w:ascii="Arial" w:cs="Arial" w:eastAsia="Arial" w:hAnsi="Arial"/>
          <w:color w:val="1A1A2E"/>
          <w:sz w:val="20"/>
          <w:szCs w:val="20"/>
        </w:rPr>
        <w:t xml:space="preserve">Capacity / Qualité:  Shareholder  /  Associée</w:t>
      </w:r>
    </w:p>
    <w:p>
      <w:pPr>
        <w:spacing w:after="40" w:before="0"/>
      </w:pPr>
      <w:r>
        <w:rPr>
          <w:rFonts w:ascii="Arial" w:cs="Arial" w:eastAsia="Arial" w:hAnsi="Arial"/>
          <w:color w:val="1A1A2E"/>
          <w:sz w:val="20"/>
          <w:szCs w:val="20"/>
        </w:rPr>
        <w:t xml:space="preserve">Signature:  ___________________________________________________</w:t>
      </w:r>
    </w:p>
    <w:p>
      <w:pPr>
        <w:spacing w:after="0" w:before="0"/>
      </w:pPr>
      <w:r>
        <w:rPr>
          <w:rFonts w:ascii="Arial" w:cs="Arial" w:eastAsia="Arial" w:hAnsi="Arial"/>
          <w:color w:val="1A1A2E"/>
          <w:sz w:val="20"/>
          <w:szCs w:val="20"/>
        </w:rPr>
        <w:t xml:space="preserve">Date:  ___________________________</w:t>
      </w:r>
    </w:p>
    <w:p>
      <w:pPr>
        <w:spacing w:after="40" w:before="220"/>
      </w:pPr>
      <w:r>
        <w:rPr>
          <w:rFonts w:ascii="Arial" w:cs="Arial" w:eastAsia="Arial" w:hAnsi="Arial"/>
          <w:b/>
          <w:bCs/>
          <w:color w:val="1B3A5C"/>
          <w:sz w:val="22"/>
          <w:szCs w:val="22"/>
        </w:rPr>
        <w:t xml:space="preserve">Tang Nestor Che</w:t>
      </w:r>
    </w:p>
    <w:p>
      <w:pPr>
        <w:spacing w:after="80" w:before="0"/>
      </w:pPr>
      <w:r>
        <w:rPr>
          <w:rFonts w:ascii="Arial" w:cs="Arial" w:eastAsia="Arial" w:hAnsi="Arial"/>
          <w:color w:val="1A1A2E"/>
          <w:sz w:val="20"/>
          <w:szCs w:val="20"/>
        </w:rPr>
        <w:t xml:space="preserve">Capacity / Qualité:  Shareholder in his own name, and father/legal representative of minor shareholder Tang Dominion Chia  /  Associé en son nom propre, et père/représentant légal de l'associé mineur Tang Dominion Chia</w:t>
      </w:r>
    </w:p>
    <w:p>
      <w:pPr>
        <w:spacing w:after="40" w:before="0"/>
      </w:pPr>
      <w:r>
        <w:rPr>
          <w:rFonts w:ascii="Arial" w:cs="Arial" w:eastAsia="Arial" w:hAnsi="Arial"/>
          <w:color w:val="1A1A2E"/>
          <w:sz w:val="20"/>
          <w:szCs w:val="20"/>
        </w:rPr>
        <w:t xml:space="preserve">Signature:  ___________________________________________________</w:t>
      </w:r>
    </w:p>
    <w:p>
      <w:pPr>
        <w:spacing w:after="0" w:before="0"/>
      </w:pPr>
      <w:r>
        <w:rPr>
          <w:rFonts w:ascii="Arial" w:cs="Arial" w:eastAsia="Arial" w:hAnsi="Arial"/>
          <w:color w:val="1A1A2E"/>
          <w:sz w:val="20"/>
          <w:szCs w:val="20"/>
        </w:rPr>
        <w:t xml:space="preserve">Date:  ___________________________</w:t>
      </w:r>
    </w:p>
    <w:p>
      <w:pPr>
        <w:spacing w:after="40" w:before="220"/>
      </w:pPr>
      <w:r>
        <w:rPr>
          <w:rFonts w:ascii="Arial" w:cs="Arial" w:eastAsia="Arial" w:hAnsi="Arial"/>
          <w:b/>
          <w:bCs/>
          <w:color w:val="1B3A5C"/>
          <w:sz w:val="22"/>
          <w:szCs w:val="22"/>
        </w:rPr>
        <w:t xml:space="preserve">Tang Dominion Chia</w:t>
      </w:r>
    </w:p>
    <w:p>
      <w:pPr>
        <w:spacing w:after="80" w:before="0"/>
      </w:pPr>
      <w:r>
        <w:rPr>
          <w:rFonts w:ascii="Arial" w:cs="Arial" w:eastAsia="Arial" w:hAnsi="Arial"/>
          <w:color w:val="1A1A2E"/>
          <w:sz w:val="20"/>
          <w:szCs w:val="20"/>
        </w:rPr>
        <w:t xml:space="preserve">Capacity / Qualité:  Minor shareholder, represented by Tang Nestor Che his father  /  Associé mineur, représenté par Tang Nestor Che son père</w:t>
      </w:r>
    </w:p>
    <w:p>
      <w:pPr>
        <w:spacing w:after="40" w:before="0"/>
      </w:pPr>
      <w:r>
        <w:rPr>
          <w:rFonts w:ascii="Arial" w:cs="Arial" w:eastAsia="Arial" w:hAnsi="Arial"/>
          <w:color w:val="1A1A2E"/>
          <w:sz w:val="20"/>
          <w:szCs w:val="20"/>
        </w:rPr>
        <w:t xml:space="preserve">Signature:  ___________________________________________________</w:t>
      </w:r>
    </w:p>
    <w:p>
      <w:pPr>
        <w:spacing w:after="0" w:before="0"/>
      </w:pPr>
      <w:r>
        <w:rPr>
          <w:rFonts w:ascii="Arial" w:cs="Arial" w:eastAsia="Arial" w:hAnsi="Arial"/>
          <w:color w:val="1A1A2E"/>
          <w:sz w:val="20"/>
          <w:szCs w:val="20"/>
        </w:rPr>
        <w:t xml:space="preserve">Date:  ___________________________</w:t>
      </w:r>
    </w:p>
    <w:p>
      <w:pPr>
        <w:spacing w:after="480" w:before="0"/>
      </w:pPr>
      <w:r>
        <w:t xml:space="preserve"/>
      </w:r>
    </w:p>
    <w:p>
      <w:pPr>
        <w:pBdr>
          <w:bottom w:val="single" w:color="0E692E" w:sz="8"/>
        </w:pBdr>
        <w:spacing w:after="60" w:before="0"/>
      </w:pPr>
      <w:r>
        <w:t xml:space="preserve"/>
      </w:r>
    </w:p>
    <w:p>
      <w:pPr>
        <w:spacing w:after="80" w:before="180"/>
      </w:pPr>
      <w:r>
        <w:rPr>
          <w:rFonts w:ascii="Arial" w:cs="Arial" w:eastAsia="Arial" w:hAnsi="Arial"/>
          <w:b/>
          <w:bCs/>
          <w:color w:val="1B3A5C"/>
          <w:sz w:val="22"/>
          <w:szCs w:val="22"/>
        </w:rPr>
        <w:t xml:space="preserve">MANAGER ACCEPTANCE  /  ACCEPTATION DU GÉRANT</w:t>
      </w:r>
    </w:p>
    <w:p>
      <w:pPr>
        <w:spacing w:after="60" w:before="0"/>
        <w:jc w:val="both"/>
      </w:pPr>
      <w:r>
        <w:rPr>
          <w:rFonts w:ascii="Arial" w:cs="Arial" w:eastAsia="Arial" w:hAnsi="Arial"/>
          <w:color w:val="1A1A2E"/>
          <w:sz w:val="20"/>
          <w:szCs w:val="20"/>
        </w:rPr>
        <w:t xml:space="preserve">I, Jude Nshome, accept appointment as first Manager/Gérant of OPES HEALTH SYSTEMS SARL and declare that, to the best of my knowledge, no legal prohibition prevents me from managing the company.</w:t>
      </w:r>
    </w:p>
    <w:p>
      <w:pPr>
        <w:spacing w:after="140" w:before="0"/>
        <w:ind w:left="200"/>
        <w:jc w:val="both"/>
      </w:pPr>
      <w:r>
        <w:rPr>
          <w:rFonts w:ascii="Arial" w:cs="Arial" w:eastAsia="Arial" w:hAnsi="Arial"/>
          <w:i/>
          <w:iCs/>
          <w:color w:val="3D3D5C"/>
          <w:sz w:val="19"/>
          <w:szCs w:val="19"/>
        </w:rPr>
        <w:t xml:space="preserve">Je soussigné Jude Nshome accepte ma nomination comme premier Gérant de OPES HEALTH SYSTEMS SARL et déclare, à ma connaissance, qu'aucune interdiction légale ne m'empêche de gérer la société.</w:t>
      </w:r>
    </w:p>
    <w:p>
      <w:pPr>
        <w:spacing w:after="40" w:before="0"/>
      </w:pPr>
      <w:r>
        <w:rPr>
          <w:rFonts w:ascii="Arial" w:cs="Arial" w:eastAsia="Arial" w:hAnsi="Arial"/>
          <w:b/>
          <w:bCs/>
          <w:color w:val="1B3A5C"/>
          <w:sz w:val="22"/>
          <w:szCs w:val="22"/>
        </w:rPr>
        <w:t xml:space="preserve">Jude Nshome  —  First Manager / Premier Gérant</w:t>
      </w:r>
    </w:p>
    <w:p>
      <w:pPr>
        <w:spacing w:after="40" w:before="0"/>
      </w:pPr>
      <w:r>
        <w:rPr>
          <w:rFonts w:ascii="Arial" w:cs="Arial" w:eastAsia="Arial" w:hAnsi="Arial"/>
          <w:color w:val="1A1A2E"/>
          <w:sz w:val="20"/>
          <w:szCs w:val="20"/>
        </w:rPr>
        <w:t xml:space="preserve">Signature:  ___________________________________________________</w:t>
      </w:r>
    </w:p>
    <w:p>
      <w:pPr>
        <w:spacing w:after="0" w:before="0"/>
      </w:pPr>
      <w:r>
        <w:rPr>
          <w:rFonts w:ascii="Arial" w:cs="Arial" w:eastAsia="Arial" w:hAnsi="Arial"/>
          <w:color w:val="1A1A2E"/>
          <w:sz w:val="20"/>
          <w:szCs w:val="20"/>
        </w:rPr>
        <w:t xml:space="preserve">Date:  ___________________________</w:t>
      </w:r>
    </w:p>
    <w:p>
      <w:pPr>
        <w:spacing w:after="600" w:before="0"/>
      </w:pPr>
      <w:r>
        <w:t xml:space="preserve"/>
      </w:r>
    </w:p>
    <w:p>
      <w:pPr>
        <w:pBdr>
          <w:bottom w:val="single" w:color="0E692E" w:sz="10"/>
        </w:pBdr>
        <w:spacing w:after="60" w:before="0"/>
      </w:pPr>
      <w:r>
        <w:t xml:space="preserve"/>
      </w:r>
    </w:p>
    <w:p>
      <w:pPr>
        <w:spacing w:after="60" w:before="120"/>
        <w:jc w:val="center"/>
      </w:pPr>
      <w:r>
        <w:rPr>
          <w:rFonts w:ascii="Arial" w:cs="Arial" w:eastAsia="Arial" w:hAnsi="Arial"/>
          <w:b/>
          <w:bCs/>
          <w:color w:val="1B3A5C"/>
          <w:sz w:val="20"/>
          <w:szCs w:val="20"/>
        </w:rPr>
        <w:t xml:space="preserve">NOTARY CERTIFICATION  /  CERTIFICATION NOTARIALE</w:t>
      </w:r>
    </w:p>
    <w:p>
      <w:pPr>
        <w:pBdr>
          <w:bottom w:val="single" w:color="0E692E" w:sz="2"/>
        </w:pBdr>
        <w:spacing w:after="0" w:before="0"/>
      </w:pPr>
      <w:r>
        <w:rPr>
          <w:sz w:val="28"/>
          <w:szCs w:val="28"/>
        </w:rPr>
        <w:t xml:space="preserve"> </w:t>
      </w:r>
    </w:p>
    <w:p>
      <w:pPr>
        <w:pBdr>
          <w:bottom w:val="single" w:color="0E692E" w:sz="2"/>
        </w:pBdr>
        <w:spacing w:after="0" w:before="0"/>
      </w:pPr>
      <w:r>
        <w:rPr>
          <w:sz w:val="28"/>
          <w:szCs w:val="28"/>
        </w:rPr>
        <w:t xml:space="preserve"> </w:t>
      </w:r>
    </w:p>
    <w:p>
      <w:pPr>
        <w:pBdr>
          <w:bottom w:val="single" w:color="0E692E" w:sz="2"/>
        </w:pBdr>
        <w:spacing w:after="0" w:before="0"/>
      </w:pPr>
      <w:r>
        <w:rPr>
          <w:sz w:val="28"/>
          <w:szCs w:val="28"/>
        </w:rPr>
        <w:t xml:space="preserve"> </w:t>
      </w:r>
    </w:p>
    <w:p>
      <w:pPr>
        <w:pBdr>
          <w:bottom w:val="single" w:color="0E692E" w:sz="2"/>
        </w:pBdr>
        <w:spacing w:after="0" w:before="0"/>
      </w:pPr>
      <w:r>
        <w:rPr>
          <w:sz w:val="28"/>
          <w:szCs w:val="28"/>
        </w:rPr>
        <w:t xml:space="preserve"> </w:t>
      </w:r>
    </w:p>
    <w:p>
      <w:pPr>
        <w:pBdr>
          <w:bottom w:val="single" w:color="0E692E" w:sz="2"/>
        </w:pBdr>
        <w:spacing w:after="0" w:before="0"/>
      </w:pPr>
      <w:r>
        <w:rPr>
          <w:sz w:val="28"/>
          <w:szCs w:val="28"/>
        </w:rPr>
        <w:t xml:space="preserve"> </w:t>
      </w:r>
    </w:p>
    <w:p>
      <w:pPr>
        <w:pBdr>
          <w:bottom w:val="single" w:color="0E692E" w:sz="2"/>
        </w:pBdr>
        <w:spacing w:after="0" w:before="0"/>
      </w:pPr>
      <w:r>
        <w:rPr>
          <w:sz w:val="28"/>
          <w:szCs w:val="28"/>
        </w:rPr>
        <w:t xml:space="preserve"> </w:t>
      </w:r>
    </w:p>
    <w:p>
      <w:pPr>
        <w:pBdr>
          <w:bottom w:val="single" w:color="0E692E" w:sz="2"/>
        </w:pBdr>
        <w:spacing w:after="0" w:before="0"/>
      </w:pPr>
      <w:r>
        <w:rPr>
          <w:sz w:val="28"/>
          <w:szCs w:val="28"/>
        </w:rPr>
        <w:t xml:space="preserve"> </w:t>
      </w:r>
    </w:p>
    <w:p>
      <w:pPr>
        <w:pBdr>
          <w:bottom w:val="single" w:color="0E692E" w:sz="2"/>
        </w:pBdr>
        <w:spacing w:after="0" w:before="0"/>
      </w:pPr>
      <w:r>
        <w:rPr>
          <w:sz w:val="28"/>
          <w:szCs w:val="28"/>
        </w:rPr>
        <w:t xml:space="preserve"> </w:t>
      </w:r>
    </w:p>
    <w:p>
      <w:pPr>
        <w:spacing w:after="400" w:before="0"/>
      </w:pPr>
      <w:r>
        <w:t xml:space="preserve"/>
      </w:r>
    </w:p>
    <w:p>
      <w:pPr>
        <w:spacing w:after="0" w:before="60"/>
        <w:jc w:val="center"/>
      </w:pPr>
      <w:r>
        <w:rPr>
          <w:rFonts w:ascii="Arial" w:cs="Arial" w:eastAsia="Arial" w:hAnsi="Arial"/>
          <w:b/>
          <w:bCs/>
          <w:color w:val="0E692E"/>
          <w:sz w:val="20"/>
          <w:szCs w:val="20"/>
        </w:rPr>
        <w:t xml:space="preserve">END OF DOCUMENT  /  FIN DU DOCUMENT</w:t>
      </w:r>
    </w:p>
    <w:sectPr>
      <w:headerReference w:type="default" r:id="rId7"/>
      <w:footerReference w:type="default" r:id="rId8"/>
      <w:pgSz w:w="11906" w:h="16838" w:orient="portrait"/>
      <w:pgMar w:top="1260" w:right="1296" w:bottom="126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692E" w:sz="8"/>
      </w:pBdr>
      <w:spacing w:after="0" w:before="60"/>
    </w:pPr>
    <w:r>
      <w:rPr>
        <w:rFonts w:ascii="Arial" w:cs="Arial" w:eastAsia="Arial" w:hAnsi="Arial"/>
        <w:color w:val="1A1A2E"/>
        <w:sz w:val="16"/>
        <w:szCs w:val="16"/>
      </w:rPr>
      <w:t xml:space="preserve">OPES HEALTH SYSTEMS SARL  |  OHADA Law — Republic of Cameroon  |  Page </w:t>
    </w:r>
    <w:r>
      <w:rPr>
        <w:rFonts w:ascii="Arial" w:cs="Arial" w:eastAsia="Arial" w:hAnsi="Arial"/>
        <w:b/>
        <w:bCs/>
        <w:color w:val="1B3A5C"/>
        <w:sz w:val="16"/>
        <w:szCs w:val="16"/>
      </w:rPr>
      <w:fldChar w:fldCharType="begin"/>
      <w:instrText xml:space="preserve">PAGE</w:instrText>
      <w:fldChar w:fldCharType="separate"/>
      <w:fldChar w:fldCharType="end"/>
    </w:r>
    <w:r>
      <w:rPr>
        <w:rFonts w:ascii="Arial" w:cs="Arial" w:eastAsia="Arial" w:hAnsi="Arial"/>
        <w:color w:val="1A1A2E"/>
        <w:sz w:val="16"/>
        <w:szCs w:val="16"/>
      </w:rPr>
      <w:t xml:space="preserve">  |  www.opeshealthsystems.com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92E" w:sz="8"/>
      </w:pBdr>
      <w:spacing w:after="80" w:before="0"/>
    </w:pPr>
    <w:r>
      <w:rPr>
        <w:rFonts w:ascii="Arial" w:cs="Arial" w:eastAsia="Arial" w:hAnsi="Arial"/>
        <w:b/>
        <w:bCs/>
        <w:color w:val="1B3A5C"/>
        <w:sz w:val="16"/>
        <w:szCs w:val="16"/>
      </w:rPr>
      <w:t xml:space="preserve">OPES HEALTH SYSTEMS SARL  </w:t>
    </w:r>
    <w:r>
      <w:rPr>
        <w:rFonts w:ascii="Arial" w:cs="Arial" w:eastAsia="Arial" w:hAnsi="Arial"/>
        <w:color w:val="1A1A2E"/>
        <w:sz w:val="16"/>
        <w:szCs w:val="16"/>
      </w:rPr>
      <w:t xml:space="preserve">Memorandum and Articles of Association  |  Statuts Constitutifs Bilingues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ba3acd1e59c60e55e7c6b929875049f16caab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2026-06-05T20:49:30.524Z</dcterms:created>
  <dcterms:modified xsi:type="dcterms:W3CDTF">2026-06-05T20:49:30.538Z</dcterms:modified>
</cp:coreProperties>
</file>

<file path=docProps/custom.xml><?xml version="1.0" encoding="utf-8"?>
<Properties xmlns="http://schemas.openxmlformats.org/officeDocument/2006/custom-properties" xmlns:vt="http://schemas.openxmlformats.org/officeDocument/2006/docPropsVTypes"/>
</file>