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eastAsia="Calibri" w:cs="Times New Roman"/>
          <w:sz w:val="36"/>
          <w:szCs w:val="36"/>
        </w:rPr>
      </w:pPr>
      <w:bookmarkStart w:id="0" w:name="__DdeLink__72117_552627037"/>
      <w:r>
        <w:rPr>
          <w:rFonts w:eastAsia="Calibri" w:cs="Times New Roman" w:ascii="Times New Roman" w:hAnsi="Times New Roman"/>
          <w:sz w:val="36"/>
          <w:szCs w:val="36"/>
        </w:rPr>
        <w:t>The Importance of Higher Education on Economic Growth</w:t>
      </w:r>
      <w:bookmarkEnd w:id="0"/>
    </w:p>
    <w:p>
      <w:pPr>
        <w:pStyle w:val="Standard"/>
        <w:rPr>
          <w:rFonts w:ascii="Times New Roman" w:hAnsi="Times New Roman" w:cs="Times New Roman"/>
        </w:rPr>
      </w:pPr>
      <w:r>
        <w:rPr>
          <w:rFonts w:cs="Times New Roman" w:ascii="Times New Roman" w:hAnsi="Times New Roman"/>
        </w:rPr>
      </w:r>
    </w:p>
    <w:p>
      <w:pPr>
        <w:pStyle w:val="Standard"/>
        <w:tabs>
          <w:tab w:val="left" w:pos="2805" w:leader="none"/>
          <w:tab w:val="center" w:pos="4680" w:leader="none"/>
        </w:tabs>
        <w:spacing w:lineRule="auto" w:line="360"/>
        <w:jc w:val="center"/>
        <w:rPr>
          <w:rFonts w:ascii="Times New Roman" w:hAnsi="Times New Roman" w:cs="Times New Roman"/>
          <w:b/>
          <w:b/>
          <w:bCs/>
          <w:lang w:val="en-GB"/>
        </w:rPr>
      </w:pPr>
      <w:r>
        <w:rPr>
          <w:rFonts w:cs="Times New Roman" w:ascii="Times New Roman" w:hAnsi="Times New Roman"/>
          <w:b/>
          <w:bCs/>
          <w:lang w:val="en-GB"/>
        </w:rPr>
      </w:r>
    </w:p>
    <w:p>
      <w:pPr>
        <w:pStyle w:val="Standard"/>
        <w:rPr>
          <w:rFonts w:ascii="Times New Roman" w:hAnsi="Times New Roman" w:cs="Times New Roman"/>
        </w:rPr>
      </w:pPr>
      <w:r>
        <w:rPr>
          <w:rFonts w:cs="Times New Roman" w:ascii="Times New Roman" w:hAnsi="Times New Roman"/>
        </w:rPr>
      </w:r>
    </w:p>
    <w:p>
      <w:pPr>
        <w:pStyle w:val="Standard"/>
        <w:jc w:val="both"/>
        <w:rPr/>
      </w:pPr>
      <w:r>
        <w:rPr>
          <w:rFonts w:cs="Times New Roman" w:ascii="Times New Roman" w:hAnsi="Times New Roman"/>
          <w:b/>
          <w:bCs/>
        </w:rPr>
        <w:t>Abstract</w:t>
      </w:r>
      <w:r>
        <w:rPr>
          <w:rFonts w:cs="Times New Roman" w:ascii="Times New Roman" w:hAnsi="Times New Roman"/>
        </w:rPr>
        <w:t>:</w:t>
      </w:r>
    </w:p>
    <w:p>
      <w:pPr>
        <w:pStyle w:val="Standard"/>
        <w:jc w:val="both"/>
        <w:rPr>
          <w:rFonts w:ascii="Times New Roman" w:hAnsi="Times New Roman" w:cs="Times New Roman"/>
        </w:rPr>
      </w:pPr>
      <w:r>
        <w:rPr>
          <w:rFonts w:cs="Times New Roman" w:ascii="Times New Roman" w:hAnsi="Times New Roman"/>
        </w:rPr>
      </w:r>
    </w:p>
    <w:p>
      <w:pPr>
        <w:pStyle w:val="Standard"/>
        <w:ind w:firstLine="360"/>
        <w:jc w:val="both"/>
        <w:rPr/>
      </w:pPr>
      <w:r>
        <w:rPr>
          <w:rFonts w:cs="Times New Roman" w:ascii="Times New Roman" w:hAnsi="Times New Roman"/>
          <w:shd w:fill="FFFFFF" w:val="clear"/>
        </w:rPr>
        <w:t>It is very important for countries to stimulate their economic prosperity and reduce poverty. While it is commonly accepted that education of all forms enhances economic performance of a country, yet the question of which level of education, secondary or tertiary, is more important to fuel the economy is not conclusively answered.</w:t>
      </w:r>
    </w:p>
    <w:p>
      <w:pPr>
        <w:pStyle w:val="Standard"/>
        <w:ind w:firstLine="360"/>
        <w:jc w:val="both"/>
        <w:rPr/>
      </w:pPr>
      <w:r>
        <w:rPr>
          <w:rFonts w:cs="Times New Roman" w:ascii="Times New Roman" w:hAnsi="Times New Roman"/>
          <w:shd w:fill="FFFFFF" w:val="clear"/>
        </w:rPr>
        <w:t xml:space="preserve">The finding in Abraham Cohen’s PhD thesis is that education, as measured by published research, is strongly associated with Artificial Intelligence index of countries. Also, he found that AI is strongly associated with GDP. His findings encourage the idea that higher education, which is needed for </w:t>
      </w:r>
      <w:r>
        <w:rPr>
          <w:rFonts w:cs="Times New Roman" w:ascii="Times New Roman" w:hAnsi="Times New Roman"/>
          <w:shd w:fill="FFFFFF" w:val="clear"/>
          <w:lang w:val="en-GB"/>
        </w:rPr>
        <w:t>Artificial Intelligence</w:t>
      </w:r>
      <w:r>
        <w:rPr>
          <w:rFonts w:cs="Times New Roman" w:ascii="Times New Roman" w:hAnsi="Times New Roman"/>
          <w:shd w:fill="FFFFFF" w:val="clear"/>
        </w:rPr>
        <w:t xml:space="preserve"> (AI), will be a dominant factor for economic growth in general; hereby, policy makers should investment in higher education to ensure economic affluence.</w:t>
      </w:r>
    </w:p>
    <w:p>
      <w:pPr>
        <w:pStyle w:val="Standard"/>
        <w:ind w:firstLine="360"/>
        <w:rPr/>
      </w:pPr>
      <w:r>
        <w:rPr>
          <w:rFonts w:cs="Times New Roman" w:ascii="Times New Roman" w:hAnsi="Times New Roman"/>
        </w:rPr>
        <w:t>Enrollment rates for higher education in Sub-Saharan Africa are by far the lowest in the world and the academic research output in the region is among the world’s lowest.</w:t>
      </w:r>
      <w:r>
        <w:rPr>
          <w:rFonts w:eastAsia="Calibri" w:cs="Times New Roman" w:ascii="Times New Roman" w:hAnsi="Times New Roman"/>
        </w:rPr>
        <w:t xml:space="preserve"> </w:t>
      </w:r>
      <w:r>
        <w:rPr>
          <w:rFonts w:cs="Times New Roman" w:ascii="Times New Roman" w:hAnsi="Times New Roman"/>
        </w:rPr>
        <w:t>Because of a belief that primary and secondary schooling are more important than tertiary education for poverty reduction, the international development community has encouraged African governments’ relative neglect of higher education.</w:t>
      </w:r>
    </w:p>
    <w:p>
      <w:pPr>
        <w:pStyle w:val="Standard"/>
        <w:ind w:firstLine="360"/>
        <w:jc w:val="both"/>
        <w:rPr/>
      </w:pPr>
      <w:r>
        <w:rPr>
          <w:rFonts w:cs="Times New Roman" w:ascii="Times New Roman" w:hAnsi="Times New Roman"/>
        </w:rPr>
        <w:t xml:space="preserve">Using </w:t>
      </w:r>
      <w:r>
        <w:rPr>
          <w:rFonts w:cs="Times New Roman" w:ascii="Times New Roman" w:hAnsi="Times New Roman"/>
          <w:lang w:val="en-GB"/>
        </w:rPr>
        <w:t>methodology of fuzzy logic-based soft regression, t</w:t>
      </w:r>
      <w:r>
        <w:rPr>
          <w:rFonts w:cs="Times New Roman" w:ascii="Times New Roman" w:hAnsi="Times New Roman"/>
        </w:rPr>
        <w:t>his study challenges these beliefs and demonstrates</w:t>
      </w:r>
      <w:r>
        <w:rPr>
          <w:rFonts w:cs="Times New Roman" w:ascii="Times New Roman" w:hAnsi="Times New Roman"/>
          <w:shd w:fill="FFFFFF" w:val="clear"/>
        </w:rPr>
        <w:t xml:space="preserve"> that economic growth is almost exclusively determined by higher education. Also, the importance of higher education relative to secondary education is more so in recent years relative to a decade or two ago.</w:t>
      </w:r>
    </w:p>
    <w:p>
      <w:pPr>
        <w:pStyle w:val="Standard"/>
        <w:ind w:firstLine="360"/>
        <w:jc w:val="both"/>
        <w:rPr>
          <w:rFonts w:ascii="Times New Roman" w:hAnsi="Times New Roman" w:cs="Times New Roman"/>
          <w:highlight w:val="white"/>
        </w:rPr>
      </w:pPr>
      <w:r>
        <w:rPr>
          <w:rFonts w:cs="Times New Roman" w:ascii="Times New Roman" w:hAnsi="Times New Roman"/>
          <w:shd w:fill="FFFFFF" w:val="clear"/>
        </w:rPr>
        <w:t>Motivated by this finding, I propose to find the right branch of higher education for every country based on its economic competitive advantage that will impact its economic growth best.</w:t>
      </w:r>
    </w:p>
    <w:p>
      <w:pPr>
        <w:pStyle w:val="Standard"/>
        <w:jc w:val="both"/>
        <w:rPr>
          <w:rFonts w:ascii="Times New Roman" w:hAnsi="Times New Roman" w:cs="Times New Roman"/>
          <w:highlight w:val="white"/>
        </w:rPr>
      </w:pPr>
      <w:r>
        <w:rPr>
          <w:rFonts w:cs="Times New Roman" w:ascii="Times New Roman" w:hAnsi="Times New Roman"/>
          <w:highlight w:val="white"/>
        </w:rPr>
      </w:r>
    </w:p>
    <w:p>
      <w:pPr>
        <w:pStyle w:val="Standard"/>
        <w:ind w:firstLine="360"/>
        <w:rPr>
          <w:rFonts w:ascii="Times New Roman" w:hAnsi="Times New Roman" w:cs="Times New Roman"/>
          <w:highlight w:val="white"/>
        </w:rPr>
      </w:pPr>
      <w:r>
        <w:rPr>
          <w:rFonts w:cs="Times New Roman" w:ascii="Times New Roman" w:hAnsi="Times New Roman"/>
          <w:highlight w:val="white"/>
        </w:rPr>
      </w:r>
    </w:p>
    <w:p>
      <w:pPr>
        <w:pStyle w:val="Standard"/>
        <w:jc w:val="both"/>
        <w:rPr/>
      </w:pPr>
      <w:r>
        <w:rPr>
          <w:rFonts w:cs="Times New Roman" w:ascii="Times New Roman" w:hAnsi="Times New Roman"/>
          <w:b/>
          <w:shd w:fill="FFFFFF" w:val="clear"/>
          <w:lang w:val="en-GB"/>
        </w:rPr>
        <w:t xml:space="preserve">Keywords: </w:t>
      </w:r>
      <w:r>
        <w:rPr>
          <w:rFonts w:cs="Times New Roman" w:ascii="Times New Roman" w:hAnsi="Times New Roman"/>
          <w:shd w:fill="FFFFFF" w:val="clear"/>
          <w:lang w:val="en-GB"/>
        </w:rPr>
        <w:t>Education, Economic Growth, Artificial Intelligence, fuzzy logic, soft regression</w:t>
      </w:r>
    </w:p>
    <w:p>
      <w:pPr>
        <w:pStyle w:val="Standard"/>
        <w:jc w:val="both"/>
        <w:rPr>
          <w:rFonts w:ascii="Times New Roman" w:hAnsi="Times New Roman" w:cs="Times New Roman"/>
          <w:highlight w:val="white"/>
          <w:lang w:val="en-GB"/>
        </w:rPr>
      </w:pPr>
      <w:r>
        <w:rPr>
          <w:rFonts w:cs="Times New Roman" w:ascii="Times New Roman" w:hAnsi="Times New Roman"/>
          <w:highlight w:val="white"/>
          <w:lang w:val="en-GB"/>
        </w:rPr>
      </w:r>
    </w:p>
    <w:p>
      <w:pPr>
        <w:pStyle w:val="Standard"/>
        <w:rPr>
          <w:rFonts w:ascii="Times New Roman" w:hAnsi="Times New Roman" w:cs="Times New Roman"/>
          <w:highlight w:val="white"/>
        </w:rPr>
      </w:pPr>
      <w:r>
        <w:rPr>
          <w:rFonts w:cs="Times New Roman" w:ascii="Times New Roman" w:hAnsi="Times New Roman"/>
          <w:highlight w:val="white"/>
        </w:rPr>
      </w:r>
      <w:r>
        <w:br w:type="page"/>
      </w:r>
    </w:p>
    <w:p>
      <w:pPr>
        <w:pStyle w:val="Standard"/>
        <w:rPr>
          <w:rFonts w:ascii="Times New Roman" w:hAnsi="Times New Roman" w:cs="Times New Roman"/>
          <w:b/>
          <w:b/>
          <w:bCs/>
          <w:highlight w:val="white"/>
        </w:rPr>
      </w:pPr>
      <w:r>
        <w:rPr>
          <w:rFonts w:cs="Times New Roman" w:ascii="Times New Roman" w:hAnsi="Times New Roman"/>
          <w:b/>
          <w:bCs/>
          <w:shd w:fill="FFFFFF" w:val="clear"/>
        </w:rPr>
        <w:t>Introduction</w:t>
      </w:r>
    </w:p>
    <w:p>
      <w:pPr>
        <w:pStyle w:val="Standard"/>
        <w:rPr>
          <w:rFonts w:ascii="Times New Roman" w:hAnsi="Times New Roman" w:cs="Times New Roman"/>
        </w:rPr>
      </w:pPr>
      <w:r>
        <w:rPr>
          <w:rFonts w:cs="Times New Roman" w:ascii="Times New Roman" w:hAnsi="Times New Roman"/>
        </w:rPr>
      </w:r>
    </w:p>
    <w:p>
      <w:pPr>
        <w:pStyle w:val="Standard"/>
        <w:jc w:val="both"/>
        <w:rPr/>
      </w:pPr>
      <w:r>
        <w:rPr>
          <w:rFonts w:cs="Times New Roman" w:ascii="Times New Roman" w:hAnsi="Times New Roman"/>
        </w:rPr>
        <w:tab/>
      </w:r>
      <w:r>
        <w:rPr>
          <w:rFonts w:cs="Times New Roman" w:ascii="Times New Roman" w:hAnsi="Times New Roman"/>
          <w:lang w:val="en-GB"/>
        </w:rPr>
        <w:t>It is a long and important question that policy makers have to decide when allocating resources for education. Simply stated: to which level of education more resources should be allocated, to secondary education or tertiary level, to stimulate economic growth and prosperity while reducing poverty in a country?</w:t>
      </w:r>
    </w:p>
    <w:p>
      <w:pPr>
        <w:pStyle w:val="Standard"/>
        <w:jc w:val="both"/>
        <w:rPr>
          <w:rFonts w:ascii="Times New Roman" w:hAnsi="Times New Roman" w:cs="Times New Roman"/>
          <w:lang w:val="en-GB"/>
        </w:rPr>
      </w:pPr>
      <w:r>
        <w:rPr>
          <w:rFonts w:cs="Times New Roman" w:ascii="Times New Roman" w:hAnsi="Times New Roman"/>
          <w:lang w:val="en-GB"/>
        </w:rPr>
      </w:r>
    </w:p>
    <w:p>
      <w:pPr>
        <w:pStyle w:val="Standard"/>
        <w:ind w:firstLine="709"/>
        <w:jc w:val="both"/>
        <w:rPr/>
      </w:pPr>
      <w:r>
        <w:rPr>
          <w:rFonts w:cs="Times New Roman" w:ascii="Times New Roman" w:hAnsi="Times New Roman"/>
        </w:rPr>
        <w:t>Enrollment rates for higher education in Sub-Saharan Africa are by far the lowest in the world at 6%. Yet because of conventional beliefs that tertiary education is less important for poverty reduction, the international development community has encouraged African governments’ relative neglect of higher education (</w:t>
      </w:r>
      <w:r>
        <w:rPr>
          <w:rFonts w:cs="Times New Roman" w:ascii="Times New Roman" w:hAnsi="Times New Roman"/>
          <w:shd w:fill="FFFFFF" w:val="clear"/>
        </w:rPr>
        <w:t xml:space="preserve">Bloom et al., 2014).  </w:t>
      </w:r>
      <w:r>
        <w:rPr>
          <w:rFonts w:cs="Times New Roman" w:ascii="Times New Roman" w:hAnsi="Times New Roman"/>
        </w:rPr>
        <w:t xml:space="preserve">(Friedman &amp; Friedman, 1980) claimed that there was no evidence to suggest that “higher education yields ‘social benefits’ over and above the benefits that accrue to the students themselves.”. Moreover, they hypothesized that higher education may promote “social unrest and political instability”.  </w:t>
      </w:r>
    </w:p>
    <w:p>
      <w:pPr>
        <w:pStyle w:val="Standard"/>
        <w:jc w:val="both"/>
        <w:rPr>
          <w:rFonts w:ascii="Times New Roman" w:hAnsi="Times New Roman" w:cs="Times New Roman"/>
        </w:rPr>
      </w:pPr>
      <w:r>
        <w:rPr>
          <w:rFonts w:cs="Times New Roman" w:ascii="Times New Roman" w:hAnsi="Times New Roman"/>
        </w:rPr>
      </w:r>
    </w:p>
    <w:p>
      <w:pPr>
        <w:pStyle w:val="Standard"/>
        <w:ind w:firstLine="709"/>
        <w:jc w:val="both"/>
        <w:rPr/>
      </w:pPr>
      <w:r>
        <w:rPr>
          <w:rFonts w:cs="Times New Roman" w:ascii="Times New Roman" w:hAnsi="Times New Roman"/>
        </w:rPr>
        <w:t>At the same time, (</w:t>
      </w:r>
      <w:r>
        <w:rPr>
          <w:rFonts w:cs="Times New Roman" w:ascii="Times New Roman" w:hAnsi="Times New Roman"/>
          <w:shd w:fill="FFFFFF" w:val="clear"/>
        </w:rPr>
        <w:t>Marquez-Ramos &amp; Mourelle, 2019)</w:t>
      </w:r>
      <w:r>
        <w:rPr>
          <w:rFonts w:cs="Times New Roman" w:ascii="Times New Roman" w:hAnsi="Times New Roman"/>
        </w:rPr>
        <w:t xml:space="preserve"> in their research conclude: “</w:t>
      </w:r>
      <w:r>
        <w:rPr>
          <w:rFonts w:cs="Times New Roman" w:ascii="Times New Roman" w:hAnsi="Times New Roman"/>
          <w:shd w:fill="FFFFFF" w:val="clear"/>
        </w:rPr>
        <w:t>The results show that both secondary and tertiary education matter for economic growth”.  Similarly (Zhang et al., 2021) found ambivalent results on the importance of higher education stating: “</w:t>
      </w:r>
      <w:r>
        <w:rPr>
          <w:rFonts w:cs="Times New Roman" w:ascii="Times New Roman" w:hAnsi="Times New Roman"/>
        </w:rPr>
        <w:t>The study found a fluctuating economic growth indicator during the research period … the result of the sub-sample showed a heterogeneous effect on high GDP per capita countries</w:t>
      </w:r>
      <w:r>
        <w:rPr>
          <w:rFonts w:cs="Times New Roman" w:ascii="Times New Roman" w:hAnsi="Times New Roman"/>
          <w:shd w:fill="FFFFFF" w:val="clear"/>
        </w:rPr>
        <w:t>”.</w:t>
      </w:r>
    </w:p>
    <w:p>
      <w:pPr>
        <w:pStyle w:val="Standard"/>
        <w:jc w:val="both"/>
        <w:rPr>
          <w:rFonts w:ascii="Times New Roman" w:hAnsi="Times New Roman" w:cs="Times New Roman"/>
          <w:highlight w:val="white"/>
        </w:rPr>
      </w:pPr>
      <w:r>
        <w:rPr>
          <w:rFonts w:cs="Times New Roman" w:ascii="Times New Roman" w:hAnsi="Times New Roman"/>
          <w:highlight w:val="white"/>
        </w:rPr>
      </w:r>
    </w:p>
    <w:p>
      <w:pPr>
        <w:pStyle w:val="Standard"/>
        <w:ind w:firstLine="709"/>
        <w:jc w:val="both"/>
        <w:rPr/>
      </w:pPr>
      <w:r>
        <w:rPr>
          <w:rFonts w:cs="Times New Roman" w:ascii="Times New Roman" w:hAnsi="Times New Roman"/>
        </w:rPr>
        <w:t>The above findings which cover the last few decades, are troubling for not finding clear-cut result showing the importance of higher education.  Tertiary education organizations are at the center of the large revolutions required throughout cost-cutting and civilizations. Tertiary education is essential for the development of human capital and innovation.  As the world seeks to advance toward a new age of green and fair economic growth, operational and strategic investments in tertiary education can serve the poorest to the richest countries by increasing its skills, capacity and leadership, creating, and spreading knowledge to local and global encounters, and partaking in the global knowledge economy. Operative tertiary education segments guarantee that countries have well-trained professional engineers, technicians, teachers, doctors, nurses and managers who are the core actors of effective education delivery for private and public sectors development. Years of inadequate and fruitless investment in post-secondary education and the advanced skills advanced through higher learning opportunities have only intensified global equity gaps (</w:t>
      </w:r>
      <w:r>
        <w:rPr>
          <w:rFonts w:cs="Times New Roman" w:ascii="Times New Roman" w:hAnsi="Times New Roman"/>
          <w:shd w:fill="FFFFFF" w:val="clear"/>
        </w:rPr>
        <w:t>Mogas et al., 2022)</w:t>
      </w:r>
      <w:r>
        <w:rPr>
          <w:rFonts w:cs="Times New Roman" w:ascii="Times New Roman" w:hAnsi="Times New Roman"/>
        </w:rPr>
        <w:t>.</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Therefore, to reach a conclusive and robust result on this issue, the main hypothesis of this study is:</w:t>
      </w:r>
    </w:p>
    <w:p>
      <w:pPr>
        <w:pStyle w:val="Standard"/>
        <w:jc w:val="both"/>
        <w:rPr>
          <w:rFonts w:ascii="Times New Roman" w:hAnsi="Times New Roman" w:cs="Times New Roman"/>
        </w:rPr>
      </w:pPr>
      <w:r>
        <w:rPr>
          <w:rFonts w:cs="Times New Roman" w:ascii="Times New Roman" w:hAnsi="Times New Roman"/>
        </w:rPr>
      </w:r>
    </w:p>
    <w:p>
      <w:pPr>
        <w:pStyle w:val="Standard"/>
        <w:jc w:val="both"/>
        <w:rPr/>
      </w:pPr>
      <w:r>
        <w:rPr>
          <w:rFonts w:cs="Times New Roman" w:ascii="Times New Roman" w:hAnsi="Times New Roman"/>
          <w:b/>
          <w:bCs/>
          <w:u w:val="single"/>
        </w:rPr>
        <w:t>Hypothesis</w:t>
      </w:r>
      <w:r>
        <w:rPr>
          <w:rFonts w:cs="Times New Roman" w:ascii="Times New Roman" w:hAnsi="Times New Roman"/>
        </w:rPr>
        <w:t>:  “Secondary</w:t>
      </w:r>
      <w:r>
        <w:rPr>
          <w:rFonts w:cs="Times New Roman" w:ascii="Times New Roman" w:hAnsi="Times New Roman"/>
          <w:b/>
          <w:bCs/>
        </w:rPr>
        <w:t xml:space="preserve"> </w:t>
      </w:r>
      <w:r>
        <w:rPr>
          <w:rFonts w:cs="Times New Roman" w:ascii="Times New Roman" w:hAnsi="Times New Roman"/>
        </w:rPr>
        <w:t>education is more important than tertiary</w:t>
      </w:r>
      <w:r>
        <w:rPr>
          <w:rFonts w:cs="Times New Roman" w:ascii="Times New Roman" w:hAnsi="Times New Roman"/>
          <w:b/>
          <w:bCs/>
        </w:rPr>
        <w:t xml:space="preserve"> </w:t>
      </w:r>
      <w:r>
        <w:rPr>
          <w:rFonts w:cs="Times New Roman" w:ascii="Times New Roman" w:hAnsi="Times New Roman"/>
        </w:rPr>
        <w:t>education to stimulate the economy.”</w:t>
      </w:r>
    </w:p>
    <w:p>
      <w:pPr>
        <w:pStyle w:val="Standard"/>
        <w:jc w:val="both"/>
        <w:rPr>
          <w:rFonts w:ascii="Times New Roman" w:hAnsi="Times New Roman" w:cs="Times New Roman"/>
        </w:rPr>
      </w:pPr>
      <w:r>
        <w:rPr>
          <w:rFonts w:cs="Times New Roman" w:ascii="Times New Roman" w:hAnsi="Times New Roman"/>
        </w:rPr>
      </w:r>
    </w:p>
    <w:p>
      <w:pPr>
        <w:pStyle w:val="Standard"/>
        <w:spacing w:before="0" w:after="120"/>
        <w:jc w:val="both"/>
        <w:rPr/>
      </w:pPr>
      <w:r>
        <w:rPr>
          <w:rFonts w:cs="Times New Roman" w:ascii="Times New Roman" w:hAnsi="Times New Roman"/>
        </w:rPr>
        <w:t xml:space="preserve">In this paper, I focused on large scale, cross country study of over 150 countries.  To substantiate the result and find a trend in the importance of higher education for economic growth, the study includes three periods 2000, 2007 and 2014.  Furthermore, to overcome many limitations of other studies which use variation of Multi Variant Regressions (MVR), this study </w:t>
      </w:r>
      <w:r>
        <w:rPr>
          <w:rFonts w:cs="Times New Roman" w:ascii="Times New Roman" w:hAnsi="Times New Roman"/>
          <w:lang w:val="en-GB"/>
        </w:rPr>
        <w:t>provides an extensive sample analysed with well-established methodology of fuzzy logic-based soft regression as outlined by (Shnaider, E. and Yosef, A., 2018) and implemented in (Cohen A 2023).  Determining the relative importance (weight) of secondary and higher education to be adopted by countries (the explanatory variables in this study) is an important and challenging task. The ability to determine relative importance of these education levels and the reliability of such outcome are of ultimate importance to the policy makers, who apply such models as components of decision support or decision making. Soft regression is definitely more reliable and consistent tool to determine relative importance of explanatory variables then traditional method of multiple linear regression (Shnaider, E. and Yosef, A., 2018).</w:t>
      </w:r>
    </w:p>
    <w:p>
      <w:pPr>
        <w:pStyle w:val="Standard"/>
        <w:ind w:firstLine="360"/>
        <w:jc w:val="both"/>
        <w:rPr>
          <w:rFonts w:ascii="Times New Roman" w:hAnsi="Times New Roman" w:cs="Times New Roman"/>
        </w:rPr>
      </w:pPr>
      <w:r>
        <w:rPr>
          <w:rFonts w:cs="Times New Roman" w:ascii="Times New Roman" w:hAnsi="Times New Roman"/>
        </w:rPr>
      </w:r>
    </w:p>
    <w:p>
      <w:pPr>
        <w:pStyle w:val="Standard"/>
        <w:ind w:firstLine="360"/>
        <w:jc w:val="both"/>
        <w:rPr/>
      </w:pPr>
      <w:r>
        <w:rPr>
          <w:rFonts w:cs="Times New Roman" w:ascii="Times New Roman" w:hAnsi="Times New Roman"/>
        </w:rPr>
        <w:t>Needless to say, that a primary and secondary education is a must in modern society (</w:t>
      </w:r>
      <w:r>
        <w:rPr>
          <w:rFonts w:cs="Times New Roman" w:ascii="Times New Roman" w:hAnsi="Times New Roman"/>
          <w:shd w:fill="FFFFFF" w:val="clear"/>
        </w:rPr>
        <w:t>Boland, 1993</w:t>
      </w:r>
      <w:r>
        <w:rPr>
          <w:rFonts w:cs="Times New Roman" w:ascii="Times New Roman" w:hAnsi="Times New Roman"/>
        </w:rPr>
        <w:t>).  My findings show that secondary and higher education are important for economic growth.  Yet, higher education is substantially more important than secondary education to ensure economic prosperity.  Moreover, this study shows that the importance of higher education relative to secondary education is growing over time.  In fact, it is safe to say that in recent years only higher education is relevant for economic growth.</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b/>
          <w:b/>
        </w:rPr>
      </w:pPr>
      <w:r>
        <w:rPr>
          <w:rFonts w:cs="Times New Roman" w:ascii="Times New Roman" w:hAnsi="Times New Roman"/>
          <w:b/>
        </w:rPr>
      </w:r>
    </w:p>
    <w:p>
      <w:pPr>
        <w:pStyle w:val="Standard"/>
        <w:spacing w:before="0" w:after="120"/>
        <w:jc w:val="both"/>
        <w:rPr>
          <w:rFonts w:ascii="Times New Roman" w:hAnsi="Times New Roman" w:cs="Times New Roman"/>
          <w:b/>
          <w:b/>
          <w:lang w:val="en-GB"/>
        </w:rPr>
      </w:pPr>
      <w:r>
        <w:rPr>
          <w:rFonts w:cs="Times New Roman" w:ascii="Times New Roman" w:hAnsi="Times New Roman"/>
          <w:b/>
          <w:lang w:val="en-GB"/>
        </w:rPr>
        <w:t>Literature review:</w:t>
      </w:r>
    </w:p>
    <w:p>
      <w:pPr>
        <w:pStyle w:val="Standard"/>
        <w:spacing w:before="0" w:after="120"/>
        <w:ind w:firstLine="709"/>
        <w:jc w:val="both"/>
        <w:rPr>
          <w:rFonts w:ascii="Times New Roman" w:hAnsi="Times New Roman" w:cs="Times New Roman"/>
        </w:rPr>
      </w:pPr>
      <w:r>
        <w:rPr>
          <w:rFonts w:cs="Times New Roman" w:ascii="Times New Roman" w:hAnsi="Times New Roman"/>
        </w:rPr>
        <w:t>The theoretical foundations of the economic effects of better education were laid out in the seminal contributions of (Schultz, 1961), (Becker, 1964), and (Mincer, 1974).  (Bradley and Green, 2020) provide an excellent up-to-date overview of research in the economics of education.  The work of Baker and Mincer developed the theory of human capital based on individuals investing in their own education in a way that is analogous to physical capital, and at the same way, generates a stream of future returns. Their work generated an enormous amount of research in the field of human capital.</w:t>
      </w:r>
    </w:p>
    <w:p>
      <w:pPr>
        <w:pStyle w:val="Standard"/>
        <w:spacing w:before="0" w:after="120"/>
        <w:ind w:firstLine="709"/>
        <w:jc w:val="both"/>
        <w:rPr/>
      </w:pPr>
      <w:r>
        <w:rPr>
          <w:rFonts w:cs="Times New Roman" w:ascii="Times New Roman" w:hAnsi="Times New Roman"/>
          <w:lang w:val="en-GB"/>
        </w:rPr>
        <w:t xml:space="preserve">The search for evidence that tertiary education is essential for economic prosperity, also, goes back several decades. </w:t>
      </w:r>
      <w:r>
        <w:rPr>
          <w:rFonts w:cs="Times New Roman" w:ascii="Times New Roman" w:hAnsi="Times New Roman"/>
        </w:rPr>
        <w:t xml:space="preserve">(Friedman &amp; Friedman, 1980) concluded that there was no evidence to suggest that “higher education yields ‘social benefits’ over and above the benefits that accrue to the students themselves.”  Likewise, </w:t>
      </w:r>
      <w:r>
        <w:rPr>
          <w:rFonts w:cs="Times New Roman" w:ascii="Times New Roman" w:hAnsi="Times New Roman"/>
          <w:shd w:fill="FFFFFF" w:val="clear"/>
        </w:rPr>
        <w:t>Wolff (2001) revealed that the number of higher education graduates does not significantly affect economic productivity.  Similarly, Vedder (2004) conducted research on US States, found that states with greater public expenditures on higher education did not obtain more economic growth in the US.  In the same group of researchers, (Guo &amp; Jia, 2009) constructed a two-step human capital accumulation model and observed that compared to primary education, the effect of higher education on economic productivity is ambiguous.</w:t>
      </w:r>
    </w:p>
    <w:p>
      <w:pPr>
        <w:pStyle w:val="Standard"/>
        <w:spacing w:before="0" w:after="120"/>
        <w:ind w:firstLine="709"/>
        <w:jc w:val="both"/>
        <w:rPr/>
      </w:pPr>
      <w:r>
        <w:rPr>
          <w:rFonts w:cs="Times New Roman" w:ascii="Times New Roman" w:hAnsi="Times New Roman"/>
          <w:shd w:fill="FFFFFF" w:val="clear"/>
        </w:rPr>
        <w:t>Other studies try to come up with explanation of these results and show their inconsistency.  (Birdsall, 1996) argue that higher education could increase employment and improve the safety of society, and any results that do not consider these points are biased. According to Hanushek (2016), extending the years of education without improving human capital does not influence economic productivity. Lastly, Di and Sun (2014) and (Sun, &amp; Ning, 2016) revealed that different types of higher education have distinct impacts on economic efficiency and growth. Overall, the overwhelming majority of the literature has discussed education in general, but few studies have distinguished among various higher education levels.</w:t>
      </w:r>
    </w:p>
    <w:p>
      <w:pPr>
        <w:pStyle w:val="Standard"/>
        <w:ind w:firstLine="709"/>
        <w:jc w:val="both"/>
        <w:rPr/>
      </w:pPr>
      <w:r>
        <w:rPr>
          <w:rFonts w:cs="Times New Roman" w:ascii="Times New Roman" w:hAnsi="Times New Roman"/>
        </w:rPr>
        <w:t>More recent research studies have had the same difficulty to reach conclusive conclusion as to the importance of higher education relative to secondary education. (</w:t>
      </w:r>
      <w:r>
        <w:rPr>
          <w:rFonts w:cs="Times New Roman" w:ascii="Times New Roman" w:hAnsi="Times New Roman"/>
          <w:shd w:fill="FFFFFF" w:val="clear"/>
        </w:rPr>
        <w:t>Marquez-Ramos &amp; Mourelle, 2019)</w:t>
      </w:r>
      <w:r>
        <w:rPr>
          <w:rFonts w:cs="Times New Roman" w:ascii="Times New Roman" w:hAnsi="Times New Roman"/>
        </w:rPr>
        <w:t xml:space="preserve"> concluded </w:t>
      </w:r>
      <w:r>
        <w:rPr>
          <w:rFonts w:cs="Times New Roman" w:ascii="Times New Roman" w:hAnsi="Times New Roman"/>
          <w:shd w:fill="FFFFFF" w:val="clear"/>
        </w:rPr>
        <w:t>that both secondary and tertiary education matter for economic growth.  They have not attempted to measure the importance of each of these education levels on economic prosperity of a country.  The same could be said on the study of (Zhang et al., 2021). His findings were ambivalent on the importance of higher education.</w:t>
      </w:r>
    </w:p>
    <w:p>
      <w:pPr>
        <w:pStyle w:val="Standard"/>
        <w:ind w:firstLine="709"/>
        <w:jc w:val="both"/>
        <w:rPr>
          <w:rFonts w:ascii="Times New Roman" w:hAnsi="Times New Roman" w:cs="Times New Roman"/>
          <w:highlight w:val="white"/>
        </w:rPr>
      </w:pPr>
      <w:r>
        <w:rPr>
          <w:rFonts w:cs="Times New Roman" w:ascii="Times New Roman" w:hAnsi="Times New Roman"/>
          <w:highlight w:val="white"/>
        </w:rPr>
      </w:r>
    </w:p>
    <w:p>
      <w:pPr>
        <w:pStyle w:val="Standard"/>
        <w:spacing w:before="0" w:after="120"/>
        <w:ind w:firstLine="709"/>
        <w:jc w:val="both"/>
        <w:rPr>
          <w:rFonts w:ascii="Times New Roman" w:hAnsi="Times New Roman" w:cs="Times New Roman"/>
          <w:highlight w:val="white"/>
        </w:rPr>
      </w:pPr>
      <w:r>
        <w:rPr>
          <w:rFonts w:cs="Times New Roman" w:ascii="Times New Roman" w:hAnsi="Times New Roman"/>
          <w:shd w:fill="FFFFFF" w:val="clear"/>
        </w:rPr>
        <w:t>(Rahman et al., 2019) analyze empirically the contribution of tertiary level education by fields on economic growth for developed and developing countries. They found that in the developed countries graduates from science faculties make the most contribution to economic growth, but in developing countries graduates from education, humanities and social sciences faculties contributed the most to economic growth. Also, they found that, having human capital from different fields in both developed and developing countries positively affects economic growth.</w:t>
      </w:r>
    </w:p>
    <w:p>
      <w:pPr>
        <w:pStyle w:val="Standard"/>
        <w:ind w:firstLine="709"/>
        <w:rPr/>
      </w:pPr>
      <w:r>
        <w:rPr>
          <w:rFonts w:cs="Times New Roman" w:ascii="Times New Roman" w:hAnsi="Times New Roman"/>
        </w:rPr>
        <w:t>Enrollment rates for higher education in Sub- Saharan Africa are by far the lowest in the world. Currently, the gross enrollment ratio in the region stands at only 6 percent. Many African countries struggle to maintain even low enrollment levels, and the academic research output in the region is among the world’s lowest.  Because of a belief that primary and secondary schooling are more important than tertiary education for poverty reduction, the international development community has encouraged African governments’ relative neglect of higher education. For example, from 1985 to 1989, 17 percent of the World Bank’s worldwide education-sector spending was on higher education. But from 1995 to 1999, the proportion allotted to higher education declined to just 7 percent (</w:t>
      </w:r>
      <w:r>
        <w:rPr>
          <w:rFonts w:cs="Times New Roman" w:ascii="Times New Roman" w:hAnsi="Times New Roman"/>
          <w:shd w:fill="FFFFFF" w:val="clear"/>
        </w:rPr>
        <w:t>Gyimah-Brempong et al., 2006)</w:t>
      </w:r>
      <w:r>
        <w:rPr>
          <w:rFonts w:cs="Times New Roman" w:ascii="Times New Roman" w:hAnsi="Times New Roman"/>
        </w:rPr>
        <w:t>.</w:t>
      </w:r>
    </w:p>
    <w:p>
      <w:pPr>
        <w:pStyle w:val="Standard"/>
        <w:ind w:firstLine="709"/>
        <w:rPr>
          <w:rFonts w:ascii="Times New Roman" w:hAnsi="Times New Roman" w:cs="Times New Roman"/>
        </w:rPr>
      </w:pPr>
      <w:r>
        <w:rPr>
          <w:rFonts w:cs="Times New Roman" w:ascii="Times New Roman" w:hAnsi="Times New Roman"/>
        </w:rPr>
      </w:r>
    </w:p>
    <w:p>
      <w:pPr>
        <w:pStyle w:val="Standard"/>
        <w:spacing w:before="0" w:after="120"/>
        <w:ind w:firstLine="709"/>
        <w:jc w:val="both"/>
        <w:rPr>
          <w:rFonts w:ascii="Times New Roman" w:hAnsi="Times New Roman" w:cs="Times New Roman"/>
        </w:rPr>
      </w:pPr>
      <w:r>
        <w:rPr>
          <w:rFonts w:cs="Times New Roman" w:ascii="Times New Roman" w:hAnsi="Times New Roman"/>
        </w:rPr>
        <w:t>In this study I demonstrate that higher education is substantially more important than secondary education to ensure economic prosperity and this relative importance is growing over time.  Therefore, I recommend that African countries should increase their investment in higher education to reduce poverty and increase economic growth.</w:t>
      </w:r>
    </w:p>
    <w:p>
      <w:pPr>
        <w:pStyle w:val="Standard"/>
        <w:spacing w:before="0" w:after="120"/>
        <w:jc w:val="both"/>
        <w:rPr>
          <w:rFonts w:ascii="Times New Roman" w:hAnsi="Times New Roman" w:cs="Times New Roman"/>
          <w:b/>
          <w:b/>
          <w:lang w:val="en-GB"/>
        </w:rPr>
      </w:pPr>
      <w:r>
        <w:rPr>
          <w:rFonts w:cs="Times New Roman" w:ascii="Times New Roman" w:hAnsi="Times New Roman"/>
          <w:b/>
          <w:lang w:val="en-GB"/>
        </w:rPr>
      </w:r>
    </w:p>
    <w:p>
      <w:pPr>
        <w:pStyle w:val="ListParagraph"/>
        <w:numPr>
          <w:ilvl w:val="0"/>
          <w:numId w:val="3"/>
        </w:numPr>
        <w:spacing w:lineRule="auto" w:line="360" w:before="120" w:after="0"/>
        <w:ind w:left="357" w:hanging="357"/>
        <w:contextualSpacing/>
        <w:rPr/>
      </w:pPr>
      <w:r>
        <w:rPr>
          <w:rFonts w:cs="Times New Roman"/>
          <w:b/>
          <w:bCs/>
          <w:sz w:val="24"/>
          <w:szCs w:val="24"/>
        </w:rPr>
        <w:t>Method</w:t>
      </w:r>
    </w:p>
    <w:p>
      <w:pPr>
        <w:pStyle w:val="Normal"/>
        <w:spacing w:lineRule="auto" w:line="360" w:before="120" w:after="0"/>
        <w:jc w:val="both"/>
        <w:rPr/>
      </w:pPr>
      <w:r>
        <w:rPr>
          <w:rFonts w:cs="Times New Roman"/>
          <w:b/>
          <w:bCs/>
          <w:sz w:val="24"/>
          <w:szCs w:val="24"/>
        </w:rPr>
        <w:t>Modeling Tool</w:t>
      </w:r>
    </w:p>
    <w:p>
      <w:pPr>
        <w:pStyle w:val="Normal"/>
        <w:widowControl/>
        <w:bidi w:val="0"/>
        <w:spacing w:lineRule="auto" w:line="360" w:before="120" w:after="0"/>
        <w:ind w:left="0" w:right="0" w:hanging="0"/>
        <w:jc w:val="both"/>
        <w:rPr/>
      </w:pPr>
      <w:r>
        <w:rPr>
          <w:rFonts w:cs="Times New Roman"/>
          <w:sz w:val="24"/>
          <w:szCs w:val="24"/>
        </w:rPr>
        <w:t xml:space="preserve">I utilize Soft Regression (a soft computing method) as a modeling tool due to its major advantages in comparison to the traditional MVR (Multi-Variable Regression) methods. First, we briefly describe some important deficiencies of the MVR methods: </w:t>
      </w:r>
    </w:p>
    <w:p>
      <w:pPr>
        <w:pStyle w:val="Normal"/>
        <w:spacing w:lineRule="auto" w:line="360" w:before="120" w:after="0"/>
        <w:jc w:val="both"/>
        <w:rPr/>
      </w:pPr>
      <w:r>
        <w:rPr>
          <w:rFonts w:cs="Times New Roman"/>
          <w:sz w:val="24"/>
          <w:szCs w:val="24"/>
        </w:rPr>
        <w:t xml:space="preserve">Ever since the introduction of computerized methods, the modeling in economics, management, finance, marketing, etc. has been mostly based on econometric tools (various statistical techniques, some extremely complex and considered highly sophisticated). However, in parallel to substantial achievements attained with the help of econometric tools, the practitioners of modeling in those fields are well aware of enormous difficulties and profound failures in numerous modeling projects. Even in “successful” and “workable” models developed with the help of econometric tools, very often-human intervention (use of “Add Factors”) has been essential to avoid outright failures.  </w:t>
      </w:r>
    </w:p>
    <w:p>
      <w:pPr>
        <w:pStyle w:val="Normal"/>
        <w:spacing w:lineRule="auto" w:line="360" w:before="120" w:after="0"/>
        <w:jc w:val="both"/>
        <w:rPr/>
      </w:pPr>
      <w:r>
        <w:rPr>
          <w:rFonts w:cs="Times New Roman"/>
          <w:sz w:val="24"/>
          <w:szCs w:val="24"/>
        </w:rPr>
        <w:t>MVR requires precise and complete model specification in order to generate reliable results. When a model is incomplete, or when its functional form is incorrect, this leads to a misspecification bias: distorted and unreliable results. However, from the practical standpoint one should ask, whether under severe conditions of uncertainty, do we always know all the relevant variables? Moreover, even if we know, do we always have data for all of them? Do we know the exact functional form of how the variables interact? In numerous decision-making or decision supporting systems and in countless events where decision makers must make fateful decisions, they would answer negatively to these questions.</w:t>
      </w:r>
    </w:p>
    <w:p>
      <w:pPr>
        <w:pStyle w:val="Normal"/>
        <w:spacing w:lineRule="auto" w:line="360" w:before="120" w:after="0"/>
        <w:jc w:val="both"/>
        <w:rPr/>
      </w:pPr>
      <w:r>
        <w:rPr>
          <w:rFonts w:cs="Times New Roman"/>
          <w:sz w:val="24"/>
          <w:szCs w:val="24"/>
        </w:rPr>
        <w:t>Soft Regression (SR) is a modeling tool based on Fuzzy Logic. It is a modeling tool which does not require restrictive conditions. It is not designed to generate precise mathematical function characterized by a small random deviation. However, it is capable of correctly identifing the relevant factors for the model, whether a relation is direct or inverse, and in addition, its greatest advantage is its capability to reliably compute the relative importance of various explanatory variables included in the model even when the model is partial and incomplete (in such cases MVR models generate distorted and unreliable results by definition since it requires precise and complete model specification). The ratio of relative importance values among explanatory variables included in various specifications remains the same (when using SR), no matter if we add or remove explanatory variables. This is in contrast to MLR, where changing specification also changes (in some cases even drastically) the ratio between relative importance values of explanatory variables.</w:t>
      </w:r>
    </w:p>
    <w:p>
      <w:pPr>
        <w:pStyle w:val="Normal"/>
        <w:spacing w:lineRule="auto" w:line="360" w:before="120" w:after="0"/>
        <w:jc w:val="both"/>
        <w:rPr/>
      </w:pPr>
      <w:r>
        <w:rPr>
          <w:rFonts w:cs="Times New Roman"/>
          <w:sz w:val="24"/>
          <w:szCs w:val="24"/>
        </w:rPr>
        <w:t>We will briefly list several of the important features of the Soft Regression that constitute a major advantage in comparison to the MVR, in particular</w:t>
      </w:r>
      <w:r>
        <w:rPr>
          <w:rFonts w:cs="Times New Roman"/>
          <w:color w:val="0070C0"/>
          <w:sz w:val="24"/>
          <w:szCs w:val="24"/>
        </w:rPr>
        <w:t xml:space="preserve"> </w:t>
      </w:r>
      <w:r>
        <w:rPr>
          <w:rFonts w:cs="Times New Roman"/>
          <w:sz w:val="24"/>
          <w:szCs w:val="24"/>
        </w:rPr>
        <w:t xml:space="preserve">when constructing a model characterized by highly interrelated explanatory variables. </w:t>
      </w:r>
    </w:p>
    <w:p>
      <w:pPr>
        <w:pStyle w:val="ListParagraph"/>
        <w:numPr>
          <w:ilvl w:val="0"/>
          <w:numId w:val="2"/>
        </w:numPr>
        <w:spacing w:lineRule="auto" w:line="360" w:before="120" w:after="120"/>
        <w:ind w:left="357" w:hanging="357"/>
        <w:contextualSpacing/>
        <w:jc w:val="both"/>
        <w:rPr/>
      </w:pPr>
      <w:r>
        <w:rPr>
          <w:rFonts w:cs="Times New Roman"/>
          <w:sz w:val="24"/>
          <w:szCs w:val="24"/>
        </w:rPr>
        <w:t>SR does not require precise model specification. This regression tool is based on Fuzzy Logic, which is designed in the first place to handle information under severe conditions of uncertainty and imprecision. The idea here is to give up on the possibility of building a precise model and satisfying ourselves with the opportunity to work with whatever data are available. We generate a partial/less-precise model and expect it to be very reliable in a general direction of its conclusions because it avoids the problem of misspecification bias. It allows the use of partial and unreliable data to make reliable but broad (not precise) conclusions in comparison to mis-specified MVR model based on these data.  Of course, in the case of partial data (some potentially important variables excluded due to lack of data), the MVR model is mis-specified by definition and subject to misspecification bias.</w:t>
      </w:r>
    </w:p>
    <w:p>
      <w:pPr>
        <w:pStyle w:val="ListParagraph"/>
        <w:numPr>
          <w:ilvl w:val="0"/>
          <w:numId w:val="2"/>
        </w:numPr>
        <w:spacing w:lineRule="auto" w:line="360"/>
        <w:jc w:val="both"/>
        <w:rPr/>
      </w:pPr>
      <w:r>
        <w:rPr>
          <w:rFonts w:cs="Times New Roman"/>
          <w:bCs/>
          <w:sz w:val="24"/>
          <w:szCs w:val="24"/>
          <w:lang w:bidi="ar-SA"/>
        </w:rPr>
        <w:t>Soft regression calculates reliable weights (relative importance) of the explanatory variables, in contrast to the traditional regression tools, where calculated relative weights are unreliable [7], [13].</w:t>
      </w:r>
    </w:p>
    <w:p>
      <w:pPr>
        <w:pStyle w:val="ListParagraph"/>
        <w:numPr>
          <w:ilvl w:val="0"/>
          <w:numId w:val="2"/>
        </w:numPr>
        <w:spacing w:lineRule="auto" w:line="360" w:before="240" w:after="0"/>
        <w:contextualSpacing/>
        <w:jc w:val="both"/>
        <w:rPr/>
      </w:pPr>
      <w:r>
        <w:rPr>
          <w:rFonts w:cs="Times New Roman"/>
          <w:bCs/>
          <w:sz w:val="24"/>
          <w:szCs w:val="24"/>
          <w:lang w:bidi="ar-SA"/>
        </w:rPr>
        <w:t xml:space="preserve">The significance of the explanatory variables and the relative importance of those variables among themselves are not affected by adding additional variables to the model or removing some variables from it (in contrast to MVR). </w:t>
      </w:r>
      <w:r>
        <w:rPr>
          <w:rFonts w:cs="Times New Roman"/>
          <w:sz w:val="24"/>
          <w:szCs w:val="24"/>
        </w:rPr>
        <w:t>When a partial model is constructed, the significance of the explanatory variables and the ratio between relative importance values of those variables among themselves are not affected by adding additional variables to the model, or removing some variables from it. This is in contrast to the behavior of MLR, where addition or removal of an explanatory variable can change drastically the significance of other explanatory variables of the model. This characteristic of the SR adds an important feature of stability and confidence to the decision making.</w:t>
      </w:r>
    </w:p>
    <w:p>
      <w:pPr>
        <w:pStyle w:val="ListParagraph"/>
        <w:numPr>
          <w:ilvl w:val="0"/>
          <w:numId w:val="2"/>
        </w:numPr>
        <w:spacing w:lineRule="auto" w:line="360"/>
        <w:jc w:val="both"/>
        <w:rPr/>
      </w:pPr>
      <w:r>
        <w:rPr>
          <w:rFonts w:cs="Times New Roman"/>
          <w:sz w:val="24"/>
          <w:szCs w:val="24"/>
        </w:rPr>
        <w:t>Explanatory variables are not required to be independent of each other. In the fields such as Economics, Finance, Political Science etc. the variables are usually intangible concepts, that are often highly correlated among themselves mathematically even while logically they could each represent separate and independent (at least to some extent) concepts. When using MVR, high correlation among explanatory variables causes some of the important explanatory variables to appear as insignificant, and therefore being removed from the model - thus leading to model misspecification. In Soft Regression, the modeling process and the results are not affected by multicollinearity. Hence, this feature of SR (not requiring independence of explanatory variables) constitutes a major advantage in comparison to MVR, in particular if explanatory variables are highly correlated.</w:t>
      </w:r>
    </w:p>
    <w:p>
      <w:pPr>
        <w:pStyle w:val="ListParagraph"/>
        <w:numPr>
          <w:ilvl w:val="0"/>
          <w:numId w:val="2"/>
        </w:numPr>
        <w:spacing w:lineRule="auto" w:line="360"/>
        <w:jc w:val="both"/>
        <w:rPr/>
      </w:pPr>
      <w:r>
        <w:rPr>
          <w:rFonts w:cs="Times New Roman"/>
          <w:sz w:val="24"/>
          <w:szCs w:val="24"/>
        </w:rPr>
        <w:t>The method utilizes heuristically determined Low-cut and High-cut (for minimum and maximum values of membership function – further explanations appear below). Membership function is designed to determine, to what extent each value of the processed data is a member in a predefined fuzzy set [10], [11]</w:t>
      </w:r>
      <w:r>
        <w:rPr>
          <w:rStyle w:val="Citation"/>
          <w:sz w:val="24"/>
          <w:szCs w:val="24"/>
          <w:highlight w:val="white"/>
        </w:rPr>
        <w:t xml:space="preserve">. </w:t>
      </w:r>
      <w:r>
        <w:rPr>
          <w:rFonts w:cs="Times New Roman"/>
          <w:sz w:val="24"/>
          <w:szCs w:val="24"/>
        </w:rPr>
        <w:t>This brings the membership function utilized in SR more in line with “human thinking” and thus allowing the modeler to monitor the logic of the information processing throughout the analysis. This feature of the SR helps to handle the distortions due to outlying values in a user-based logical approach (in contrast to strictly mathematical method utilized in Robust Regression approach).</w:t>
      </w:r>
    </w:p>
    <w:p>
      <w:pPr>
        <w:pStyle w:val="ListParagraph"/>
        <w:numPr>
          <w:ilvl w:val="0"/>
          <w:numId w:val="2"/>
        </w:numPr>
        <w:spacing w:lineRule="auto" w:line="360"/>
        <w:jc w:val="both"/>
        <w:rPr/>
      </w:pPr>
      <w:r>
        <w:rPr>
          <w:rFonts w:cs="Times New Roman"/>
          <w:bCs/>
          <w:sz w:val="24"/>
          <w:szCs w:val="24"/>
          <w:lang w:bidi="ar-SA"/>
        </w:rPr>
        <w:t>There are no technical issues that could cause model distortions. Wrong results are only possible if the model specification contradicts human reasoning and common sense, or if the membership functions used during the data normalization are illogical. As long as logical integrity during the model construction is maintained, the model will be reliable. This means: no unrealistic assumptions (which contradict real world conditions) are allowed. The normalizing process must be transparent, and in line with common sense.</w:t>
      </w:r>
    </w:p>
    <w:p>
      <w:pPr>
        <w:pStyle w:val="ListParagraph"/>
        <w:spacing w:lineRule="auto" w:line="360"/>
        <w:ind w:left="360" w:hanging="0"/>
        <w:jc w:val="both"/>
        <w:rPr>
          <w:rFonts w:cs="Times New Roman"/>
          <w:bCs/>
          <w:sz w:val="24"/>
          <w:szCs w:val="24"/>
          <w:lang w:bidi="ar-SA"/>
        </w:rPr>
      </w:pPr>
      <w:r>
        <w:rPr>
          <w:rFonts w:cs="Times New Roman"/>
          <w:bCs/>
          <w:sz w:val="24"/>
          <w:szCs w:val="24"/>
          <w:lang w:bidi="ar-SA"/>
        </w:rPr>
      </w:r>
    </w:p>
    <w:p>
      <w:pPr>
        <w:pStyle w:val="Normal"/>
        <w:spacing w:lineRule="auto" w:line="360" w:before="120" w:after="120"/>
        <w:jc w:val="both"/>
        <w:rPr/>
      </w:pPr>
      <w:r>
        <w:rPr>
          <w:rFonts w:cs="Times New Roman"/>
          <w:b/>
          <w:bCs/>
          <w:sz w:val="24"/>
          <w:szCs w:val="24"/>
        </w:rPr>
        <w:t xml:space="preserve">Data preparation  </w:t>
      </w:r>
    </w:p>
    <w:p>
      <w:pPr>
        <w:pStyle w:val="Normal"/>
        <w:spacing w:lineRule="auto" w:line="360" w:before="120" w:after="0"/>
        <w:jc w:val="both"/>
        <w:rPr/>
      </w:pPr>
      <w:r>
        <w:rPr>
          <w:rFonts w:cs="Times New Roman"/>
          <w:sz w:val="24"/>
          <w:szCs w:val="24"/>
        </w:rPr>
        <w:t>The data preparation involves several stages of addressing outliers as carefully as possible, without deleting records containing the outlier from the data matrix (this will be explained below). The process also allows for the identification of records where data appear to be severely unreliable and inconsistent. In such cases, these records are deleted from the analysis of that specific time period. In the vast majority of the cases, there have been very few records deleted from the analysis for any given time period due to extreme inconsistency of data, and thus had very little influence on the results of the model.</w:t>
      </w:r>
    </w:p>
    <w:p>
      <w:pPr>
        <w:pStyle w:val="Normal"/>
        <w:spacing w:lineRule="auto" w:line="360" w:before="120" w:after="0"/>
        <w:jc w:val="both"/>
        <w:rPr/>
      </w:pPr>
      <w:r>
        <w:rPr>
          <w:rFonts w:cs="Times New Roman"/>
          <w:sz w:val="24"/>
          <w:szCs w:val="24"/>
        </w:rPr>
        <w:t xml:space="preserve">One of the most important rules in Data Science is: every piece of information is important and should be included in the analysis (unless there is a convincing reason to believe that the data are severely distorted and misleading). For numerous factors, there is more than one way to measure them. Also, for some data series there have been differences in measurement methodology over the years. Despite the fact that all these measurements are (from our perspective) measuring essentially the same thing, there could be very substantial differences among various data series in terms of values, and even in their scale. In the cases where the variables are represented by any number of numerical vectors each, the amount of the regression runs testing all the possible combinations of such variables would be enormous. The problem is not only the amount of work, but also the question of how to summarize so many results and to reach meaningful conclusion? It would require hundreds or even thousands of regression runs, which in turn had to be summarized and interpreted, and could open the possibility of inconsistencies, when there are so many results. </w:t>
      </w:r>
    </w:p>
    <w:p>
      <w:pPr>
        <w:pStyle w:val="Normal"/>
        <w:spacing w:lineRule="auto" w:line="360" w:before="120" w:after="0"/>
        <w:jc w:val="both"/>
        <w:rPr/>
      </w:pPr>
      <w:r>
        <w:rPr>
          <w:rFonts w:cs="Times New Roman"/>
          <w:sz w:val="24"/>
          <w:szCs w:val="24"/>
        </w:rPr>
        <w:t>In most cases, modelers do not use all the possible data series, but rather select one or several such series. The question is: which of the various data series to select?  Most modelers either select the most popular and easiest to obtain variables.  In some other cases the decision is based upon the availability of data, number of missing observations, etc.  The less legitimate approach is to try several different variables, and then select the ones generating results that best serve modelers’ goals (without mentioning other results). Of course, there is always a possibility of criticism: why a given selection among the data series was made, and not another. The method utilized in this study precludes such criticism, since all the data series are utilized.</w:t>
      </w:r>
    </w:p>
    <w:p>
      <w:pPr>
        <w:pStyle w:val="Normal"/>
        <w:spacing w:lineRule="auto" w:line="360" w:before="120" w:after="0"/>
        <w:jc w:val="both"/>
        <w:rPr>
          <w:rFonts w:cs="Times New Roman"/>
          <w:b/>
          <w:b/>
          <w:bCs/>
          <w:sz w:val="24"/>
          <w:szCs w:val="24"/>
        </w:rPr>
      </w:pPr>
      <w:r>
        <w:rPr>
          <w:rFonts w:cs="Times New Roman"/>
          <w:b/>
          <w:bCs/>
          <w:sz w:val="24"/>
          <w:szCs w:val="24"/>
        </w:rPr>
      </w:r>
    </w:p>
    <w:p>
      <w:pPr>
        <w:pStyle w:val="Normal"/>
        <w:spacing w:lineRule="auto" w:line="360" w:before="120" w:after="0"/>
        <w:jc w:val="both"/>
        <w:rPr>
          <w:rFonts w:cs="Times New Roman"/>
          <w:b/>
          <w:b/>
          <w:bCs/>
          <w:sz w:val="24"/>
          <w:szCs w:val="24"/>
        </w:rPr>
      </w:pPr>
      <w:r>
        <w:rPr>
          <w:rFonts w:cs="Times New Roman"/>
          <w:b/>
          <w:bCs/>
          <w:sz w:val="24"/>
          <w:szCs w:val="24"/>
        </w:rPr>
      </w:r>
    </w:p>
    <w:p>
      <w:pPr>
        <w:pStyle w:val="Normal"/>
        <w:spacing w:lineRule="auto" w:line="360" w:before="120" w:after="0"/>
        <w:jc w:val="both"/>
        <w:rPr/>
      </w:pPr>
      <w:r>
        <w:rPr>
          <w:rFonts w:cs="Times New Roman"/>
          <w:b/>
          <w:bCs/>
          <w:sz w:val="24"/>
          <w:szCs w:val="24"/>
        </w:rPr>
        <w:t>Advantages of utilizing intervals</w:t>
      </w:r>
    </w:p>
    <w:p>
      <w:pPr>
        <w:pStyle w:val="Normal"/>
        <w:spacing w:lineRule="auto" w:line="360" w:before="120" w:after="0"/>
        <w:jc w:val="both"/>
        <w:rPr/>
      </w:pPr>
      <w:r>
        <w:rPr>
          <w:rFonts w:cs="Times New Roman"/>
          <w:sz w:val="24"/>
          <w:szCs w:val="24"/>
        </w:rPr>
        <w:t>In this study I am utilizing quantitative modeling method capable of using ranges (intervals) of values that are derived from all the available data series. There are several important advantages of transforming available data into intervals of values:</w:t>
      </w:r>
    </w:p>
    <w:p>
      <w:pPr>
        <w:pStyle w:val="ListParagraph"/>
        <w:numPr>
          <w:ilvl w:val="0"/>
          <w:numId w:val="1"/>
        </w:numPr>
        <w:spacing w:lineRule="auto" w:line="360" w:before="120" w:after="0"/>
        <w:ind w:left="357" w:hanging="357"/>
        <w:contextualSpacing/>
        <w:jc w:val="both"/>
        <w:rPr/>
      </w:pPr>
      <w:r>
        <w:rPr>
          <w:rFonts w:cs="Times New Roman"/>
          <w:sz w:val="24"/>
          <w:szCs w:val="24"/>
        </w:rPr>
        <w:t xml:space="preserve">The very basic principle in the field of Information Systems is: all available data are valuable (unless suspected of being severely distorted) and should be utilized in the modeling process. </w:t>
      </w:r>
    </w:p>
    <w:p>
      <w:pPr>
        <w:pStyle w:val="ListParagraph"/>
        <w:numPr>
          <w:ilvl w:val="0"/>
          <w:numId w:val="1"/>
        </w:numPr>
        <w:spacing w:lineRule="auto" w:line="360"/>
        <w:jc w:val="both"/>
        <w:rPr/>
      </w:pPr>
      <w:r>
        <w:rPr>
          <w:rFonts w:cs="Times New Roman"/>
          <w:sz w:val="24"/>
          <w:szCs w:val="24"/>
        </w:rPr>
        <w:t xml:space="preserve">Confidence in the modeling results: when the approach is inclusive and involves all the available data series, then obviously the confidence in results is greater vs. modeling process involving selected data series while ignoring others. </w:t>
      </w:r>
    </w:p>
    <w:p>
      <w:pPr>
        <w:pStyle w:val="ListParagraph"/>
        <w:numPr>
          <w:ilvl w:val="0"/>
          <w:numId w:val="1"/>
        </w:numPr>
        <w:spacing w:lineRule="auto" w:line="360"/>
        <w:jc w:val="both"/>
        <w:rPr/>
      </w:pPr>
      <w:r>
        <w:rPr>
          <w:rFonts w:cs="Times New Roman"/>
          <w:sz w:val="24"/>
          <w:szCs w:val="24"/>
        </w:rPr>
        <w:t>Efficient handling of missing observations: This issue arises when in many data series there is a large number of missing measurements.  In addition, the set of missing records is not expected to be the same in different data series. However, we can construct intervals for every record, for which there is at least one measurement.  Of course, in some intervals there will be more data points and in others less, but we can include all these records in the modeling process, and thus increase our confidence in the results.</w:t>
      </w:r>
    </w:p>
    <w:p>
      <w:pPr>
        <w:pStyle w:val="ListParagraph"/>
        <w:numPr>
          <w:ilvl w:val="0"/>
          <w:numId w:val="1"/>
        </w:numPr>
        <w:spacing w:lineRule="auto" w:line="360"/>
        <w:ind w:left="357" w:hanging="357"/>
        <w:jc w:val="both"/>
        <w:rPr/>
      </w:pPr>
      <w:r>
        <w:rPr>
          <w:rFonts w:cs="Times New Roman"/>
          <w:sz w:val="24"/>
          <w:szCs w:val="24"/>
        </w:rPr>
        <w:t xml:space="preserve">It is much easier to reach meaningful and unambiguous conclusions due to the drastic reduction of the amount of regression runs. When using the method presented here, the amount of regression runs drops to 4: </w:t>
      </w:r>
    </w:p>
    <w:p>
      <w:pPr>
        <w:pStyle w:val="ListParagraph"/>
        <w:numPr>
          <w:ilvl w:val="0"/>
          <w:numId w:val="4"/>
        </w:numPr>
        <w:spacing w:lineRule="auto" w:line="360"/>
        <w:jc w:val="both"/>
        <w:rPr/>
      </w:pPr>
      <w:r>
        <w:rPr>
          <w:rFonts w:cs="Times New Roman"/>
          <w:sz w:val="24"/>
          <w:szCs w:val="24"/>
        </w:rPr>
        <w:t>Regression using only Minimum values.</w:t>
      </w:r>
    </w:p>
    <w:p>
      <w:pPr>
        <w:pStyle w:val="ListParagraph"/>
        <w:numPr>
          <w:ilvl w:val="0"/>
          <w:numId w:val="4"/>
        </w:numPr>
        <w:spacing w:lineRule="auto" w:line="360"/>
        <w:jc w:val="both"/>
        <w:rPr/>
      </w:pPr>
      <w:r>
        <w:rPr>
          <w:rFonts w:cs="Times New Roman"/>
          <w:sz w:val="24"/>
          <w:szCs w:val="24"/>
        </w:rPr>
        <w:t>Regression using only Maximum values.</w:t>
      </w:r>
    </w:p>
    <w:p>
      <w:pPr>
        <w:pStyle w:val="ListParagraph"/>
        <w:numPr>
          <w:ilvl w:val="0"/>
          <w:numId w:val="4"/>
        </w:numPr>
        <w:spacing w:lineRule="auto" w:line="360"/>
        <w:jc w:val="both"/>
        <w:rPr/>
      </w:pPr>
      <w:r>
        <w:rPr>
          <w:rFonts w:cs="Times New Roman"/>
          <w:sz w:val="24"/>
          <w:szCs w:val="24"/>
        </w:rPr>
        <w:t>Regression of Minimum for dependent variable vs. Maximum of explanatory variables.</w:t>
      </w:r>
    </w:p>
    <w:p>
      <w:pPr>
        <w:pStyle w:val="ListParagraph"/>
        <w:numPr>
          <w:ilvl w:val="0"/>
          <w:numId w:val="4"/>
        </w:numPr>
        <w:spacing w:lineRule="auto" w:line="360"/>
        <w:jc w:val="both"/>
        <w:rPr/>
      </w:pPr>
      <w:r>
        <w:rPr>
          <w:rFonts w:cs="Times New Roman"/>
          <w:sz w:val="24"/>
          <w:szCs w:val="24"/>
        </w:rPr>
        <w:t xml:space="preserve">Regression of Maximum for dependent variable vs. Minimum of explanatory variables. </w:t>
      </w:r>
    </w:p>
    <w:p>
      <w:pPr>
        <w:pStyle w:val="Normal"/>
        <w:spacing w:lineRule="auto" w:line="360" w:before="120" w:after="0"/>
        <w:jc w:val="both"/>
        <w:rPr/>
      </w:pPr>
      <w:r>
        <w:rPr>
          <w:rFonts w:cs="Times New Roman"/>
          <w:sz w:val="24"/>
          <w:szCs w:val="24"/>
        </w:rPr>
        <w:t xml:space="preserve">Note: it does not matter how many explanatory variables are expressed in terms of intervals, the method will still require only four regression runs. </w:t>
      </w:r>
    </w:p>
    <w:p>
      <w:pPr>
        <w:pStyle w:val="Normal"/>
        <w:spacing w:lineRule="auto" w:line="360" w:before="120" w:after="0"/>
        <w:jc w:val="both"/>
        <w:rPr/>
      </w:pPr>
      <w:r>
        <w:rPr>
          <w:rFonts w:cs="Times New Roman"/>
          <w:sz w:val="24"/>
          <w:szCs w:val="24"/>
        </w:rPr>
        <w:t xml:space="preserve">The four regression runs generate four results, which again can be reduced to an interval between the minimum and the maximum value of the results, and this interval can be used to draw conclusions as well as for further computations.  </w:t>
      </w:r>
    </w:p>
    <w:p>
      <w:pPr>
        <w:pStyle w:val="Normal"/>
        <w:spacing w:lineRule="auto" w:line="360" w:before="120" w:after="120"/>
        <w:jc w:val="both"/>
        <w:rPr/>
      </w:pPr>
      <w:r>
        <w:rPr>
          <w:rFonts w:cs="Times New Roman"/>
          <w:sz w:val="24"/>
          <w:szCs w:val="24"/>
        </w:rPr>
        <w:t>In the case where the dependent variable is a regular single numerical vector, and only some of the explanatory variables appear as intervals, then the amount of regression runs drops to two:</w:t>
      </w:r>
    </w:p>
    <w:p>
      <w:pPr>
        <w:pStyle w:val="ListParagraph"/>
        <w:numPr>
          <w:ilvl w:val="0"/>
          <w:numId w:val="5"/>
        </w:numPr>
        <w:spacing w:lineRule="auto" w:line="360"/>
        <w:jc w:val="both"/>
        <w:rPr/>
      </w:pPr>
      <w:r>
        <w:rPr>
          <w:rFonts w:cs="Times New Roman"/>
          <w:sz w:val="24"/>
          <w:szCs w:val="24"/>
        </w:rPr>
        <w:t>Regression of dependent variable vs. Minimum of explanatory variables</w:t>
      </w:r>
    </w:p>
    <w:p>
      <w:pPr>
        <w:pStyle w:val="ListParagraph"/>
        <w:numPr>
          <w:ilvl w:val="0"/>
          <w:numId w:val="5"/>
        </w:numPr>
        <w:spacing w:lineRule="auto" w:line="360"/>
        <w:jc w:val="both"/>
        <w:rPr/>
      </w:pPr>
      <w:r>
        <w:rPr>
          <w:rFonts w:cs="Times New Roman"/>
          <w:sz w:val="24"/>
          <w:szCs w:val="24"/>
        </w:rPr>
        <w:t>Regression of dependent variable vs. Maximum of explanatory variables</w:t>
      </w:r>
    </w:p>
    <w:p>
      <w:pPr>
        <w:pStyle w:val="Normal"/>
        <w:spacing w:lineRule="auto" w:line="360" w:before="120" w:after="120"/>
        <w:jc w:val="both"/>
        <w:rPr/>
      </w:pPr>
      <w:r>
        <w:rPr>
          <w:rFonts w:cs="Times New Roman"/>
          <w:sz w:val="24"/>
          <w:szCs w:val="24"/>
        </w:rPr>
        <w:t>Similarly, in the case when only the dependent variable is expressed as interval, and explanatory variables are ordinary numerical vectors, there will be only two regression runs:</w:t>
      </w:r>
    </w:p>
    <w:p>
      <w:pPr>
        <w:pStyle w:val="ListParagraph"/>
        <w:numPr>
          <w:ilvl w:val="0"/>
          <w:numId w:val="6"/>
        </w:numPr>
        <w:spacing w:lineRule="auto" w:line="360"/>
        <w:jc w:val="both"/>
        <w:rPr/>
      </w:pPr>
      <w:r>
        <w:rPr>
          <w:rFonts w:cs="Times New Roman"/>
          <w:sz w:val="24"/>
          <w:szCs w:val="24"/>
        </w:rPr>
        <w:t>Regression of Minimum for dependent variable vs. explanatory variables</w:t>
      </w:r>
    </w:p>
    <w:p>
      <w:pPr>
        <w:pStyle w:val="ListParagraph"/>
        <w:numPr>
          <w:ilvl w:val="0"/>
          <w:numId w:val="6"/>
        </w:numPr>
        <w:spacing w:lineRule="auto" w:line="360" w:before="0" w:after="120"/>
        <w:ind w:left="714" w:hanging="357"/>
        <w:contextualSpacing/>
        <w:jc w:val="both"/>
        <w:rPr/>
      </w:pPr>
      <w:r>
        <w:rPr>
          <w:rFonts w:cs="Times New Roman"/>
          <w:sz w:val="24"/>
          <w:szCs w:val="24"/>
        </w:rPr>
        <w:t>Regression of Maximum for dependent variable vs. explanatory variables</w:t>
      </w:r>
    </w:p>
    <w:p>
      <w:pPr>
        <w:pStyle w:val="Normal"/>
        <w:spacing w:lineRule="auto" w:line="360" w:before="120" w:after="0"/>
        <w:jc w:val="both"/>
        <w:rPr/>
      </w:pPr>
      <w:r>
        <w:rPr>
          <w:rFonts w:cs="Times New Roman"/>
          <w:b/>
          <w:bCs/>
          <w:sz w:val="24"/>
          <w:szCs w:val="24"/>
        </w:rPr>
        <w:t>The process of Range Reduction</w:t>
      </w:r>
      <w:r>
        <w:rPr>
          <w:rFonts w:cs="Times New Roman"/>
          <w:sz w:val="24"/>
          <w:szCs w:val="24"/>
        </w:rPr>
        <w:t>:</w:t>
      </w:r>
    </w:p>
    <w:p>
      <w:pPr>
        <w:pStyle w:val="Normal"/>
        <w:spacing w:lineRule="auto" w:line="360" w:before="120" w:after="0"/>
        <w:jc w:val="both"/>
        <w:rPr/>
      </w:pPr>
      <w:r>
        <w:rPr>
          <w:rFonts w:cs="Times New Roman"/>
          <w:sz w:val="24"/>
          <w:szCs w:val="24"/>
        </w:rPr>
        <w:t xml:space="preserve">When many data series represent a given variable, we can identify (in approximate terms) the center of gravity of that variable (for each record), and thus ignore extreme outlying measurements (as explained below). </w:t>
      </w:r>
    </w:p>
    <w:p>
      <w:pPr>
        <w:pStyle w:val="Normal"/>
        <w:spacing w:lineRule="auto" w:line="360" w:before="120" w:after="0"/>
        <w:jc w:val="both"/>
        <w:rPr/>
      </w:pPr>
      <w:r>
        <w:rPr>
          <w:rFonts w:cs="Times New Roman"/>
          <w:sz w:val="24"/>
          <w:szCs w:val="24"/>
        </w:rPr>
        <w:t>For that purpose, I apply the Range Reduction Algorithm (RRA); see detailed explanation in [12], [8]. The main objective is to extract as much information as possible from available data, while eliminating potential outliers, which from our perspective are measurements that represent distorted, mistaken, misleading, etc. data points.</w:t>
      </w:r>
    </w:p>
    <w:p>
      <w:pPr>
        <w:pStyle w:val="Normal"/>
        <w:spacing w:lineRule="auto" w:line="360" w:before="120" w:after="0"/>
        <w:jc w:val="both"/>
        <w:rPr/>
      </w:pPr>
      <w:r>
        <w:rPr>
          <w:rFonts w:cs="Times New Roman"/>
          <w:sz w:val="24"/>
          <w:szCs w:val="24"/>
        </w:rPr>
        <w:t xml:space="preserve">In some cases, the entire data series are distorted (or are inappropriate as being proxy variables in a specific model). A problem of this type appears when there is a problematic measurement methodology applied throughout the numerical vector, causing it to be way out of line in comparison to other measurement methodologies of additional numerical vectors representing the same factor. When there are many data series representing the same factor (either dependent or explanatory), then by combining all the data of those data series into intervals of values, the distorted data series will appear on the edges of such intervals and could be handled effectively by the RRA. </w:t>
      </w:r>
    </w:p>
    <w:p>
      <w:pPr>
        <w:pStyle w:val="Normal"/>
        <w:spacing w:lineRule="auto" w:line="360" w:before="120" w:after="0"/>
        <w:jc w:val="both"/>
        <w:rPr/>
      </w:pPr>
      <w:r>
        <w:rPr>
          <w:rFonts w:cs="Times New Roman"/>
          <w:sz w:val="24"/>
          <w:szCs w:val="24"/>
        </w:rPr>
        <w:t>In addition to the problem of the whole data series being inappropriate, we also address the reliability of specific records of the data series (countries), where some records could be reliable and some not. This problem can also be mitigated by applying RRA [12], [8]. By reducing an interval, we are bringing it closer to its core area that reflects the center of gravity of the interval. Such core (center of gravity) areas effectively represent most of the information regarding that factor (measured in different ways by different proxy variables). The outliers on the edges of intervals are deleted without much danger of losing important information.</w:t>
      </w:r>
    </w:p>
    <w:p>
      <w:pPr>
        <w:pStyle w:val="Normal"/>
        <w:spacing w:lineRule="auto" w:line="360" w:before="120" w:after="0"/>
        <w:jc w:val="both"/>
        <w:rPr/>
      </w:pPr>
      <w:r>
        <w:rPr>
          <w:rFonts w:cs="Times New Roman"/>
          <w:sz w:val="24"/>
          <w:szCs w:val="24"/>
        </w:rPr>
        <w:t>When the decision is made to utilize several data series to represent the same factor, each data record will be represented by a range of values: the minimum and the maximum. However, before converting each record into the range between its minimum and maximum value, all the data series representing that specific variable, must be recalculated in order to bring all of them into the same scale, otherwise the combining of data series, each measured indifferent ways and scales, is meaningless. In general, bringing all the different numerical vectors into the same scale is possible by recalculating all of them based on the same reference point. Selected reference point should be reasonable and reliable. When utilizing a method based on Fuzzy Set Theory (such as Soft Regression), then defining all the numerical vectors in terms of membership in the same fuzzy set is an additional (and very effective) way to address the scale problem, and allow application of RRA. The normalization process based on the Fuzzy Set Theory is presented below:</w:t>
      </w:r>
    </w:p>
    <w:p>
      <w:pPr>
        <w:pStyle w:val="Normal"/>
        <w:spacing w:lineRule="auto" w:line="360" w:before="120" w:after="0"/>
        <w:jc w:val="both"/>
        <w:rPr/>
      </w:pPr>
      <w:r>
        <w:rPr>
          <w:rFonts w:cs="Times New Roman"/>
          <w:b/>
          <w:bCs/>
          <w:sz w:val="24"/>
          <w:szCs w:val="24"/>
        </w:rPr>
        <w:t>Normalizing procedure and applying RRA:</w:t>
      </w:r>
    </w:p>
    <w:p>
      <w:pPr>
        <w:pStyle w:val="Normal"/>
        <w:spacing w:lineRule="auto" w:line="360" w:before="120" w:after="0"/>
        <w:jc w:val="both"/>
        <w:rPr/>
      </w:pPr>
      <w:r>
        <w:rPr>
          <w:rFonts w:cs="Times New Roman"/>
          <w:sz w:val="24"/>
          <w:szCs w:val="24"/>
        </w:rPr>
        <w:t xml:space="preserve">SR is a modeling tool based on Fuzzy Logic and Fuzzy Set Theory. We start the data preparation process by defining a fuzzy set for a given category (for example, High-Income economies, profitable companies, winning sports clubs, etc.). We consider such sets as being fuzzy sets, because it is a group of specific data points, where the boundary of the set is unknown. The Fuzzy Set Theory divides the data domain into three parts: (1) data elements that definitely and fully belong to the set, (2) Data elements that partially (to some degree) belong to the set, and (3) data elements that definitely do </w:t>
      </w:r>
      <w:r>
        <w:rPr>
          <w:rFonts w:cs="Times New Roman"/>
          <w:b/>
          <w:bCs/>
          <w:sz w:val="24"/>
          <w:szCs w:val="24"/>
          <w:u w:val="single"/>
        </w:rPr>
        <w:t>not</w:t>
      </w:r>
      <w:r>
        <w:rPr>
          <w:rFonts w:cs="Times New Roman"/>
          <w:sz w:val="24"/>
          <w:szCs w:val="24"/>
        </w:rPr>
        <w:t xml:space="preserve"> belong to the set. The definite members of the fuzzy set will be assigned value of 1, those who definitely do not belong to the fuzzy set will be assigned the value of 0, and partial members of the fuzzy set will be assigned values between 0 and 1, proportionally. Based on these definitions, we proceed to normalize data as follows:</w:t>
      </w:r>
    </w:p>
    <w:p>
      <w:pPr>
        <w:pStyle w:val="Normal"/>
        <w:spacing w:lineRule="auto" w:line="360" w:before="120" w:after="0"/>
        <w:jc w:val="both"/>
        <w:rPr/>
      </w:pPr>
      <w:r>
        <w:rPr>
          <w:rFonts w:cs="Times New Roman"/>
          <w:sz w:val="24"/>
          <w:szCs w:val="24"/>
        </w:rPr>
        <w:t>We normalize data by introducing the heuristically determined maximum and minimum thresholds. Data normalizing requires projection of the values from every numerical vector into equivalent normalized numerical vector having values between zero and one, based on predefined function which is expected logically to reflect common sense in projecting such values, while maintaining the integrity of the data. For example, if we define a fuzzy set “High Income Economies”, we include the most successfully performing economies in the set. The normalizing process is expected to determine which countries are definitely members of this fuzzy set (and are assigned value of 1), which countries belong to the fuzzy set only to some degree (values above 0 and below 1) and countries that are definitely not members of this fuzzy set (assigned value of 0).</w:t>
      </w:r>
    </w:p>
    <w:p>
      <w:pPr>
        <w:pStyle w:val="Normal"/>
        <w:spacing w:lineRule="auto" w:line="360" w:before="120" w:after="0"/>
        <w:jc w:val="both"/>
        <w:rPr/>
      </w:pPr>
      <w:r>
        <w:rPr>
          <w:rFonts w:cs="Times New Roman"/>
          <w:sz w:val="24"/>
          <w:szCs w:val="24"/>
        </w:rPr>
        <w:t xml:space="preserve">The first step in the normalizing process is to define </w:t>
      </w:r>
      <w:r>
        <w:rPr/>
      </w:r>
      <m:oMath xmlns:m="http://schemas.openxmlformats.org/officeDocument/2006/math">
        <m:sSub>
          <m:e>
            <m:r>
              <w:rPr>
                <w:rFonts w:ascii="Cambria Math" w:hAnsi="Cambria Math"/>
              </w:rPr>
              <m:t xml:space="preserve">max</m:t>
            </m:r>
          </m:e>
          <m:sub>
            <m:r>
              <w:rPr>
                <w:rFonts w:ascii="Cambria Math" w:hAnsi="Cambria Math"/>
              </w:rPr>
              <m:t xml:space="preserve">l</m:t>
            </m:r>
          </m:sub>
        </m:sSub>
      </m:oMath>
      <w:r>
        <w:rPr>
          <w:rFonts w:cs="Times New Roman"/>
          <w:sz w:val="24"/>
          <w:szCs w:val="24"/>
        </w:rPr>
        <w:t xml:space="preserve"> as the value in a selected vector of the dependent variable such that all elements equal to or greater than </w:t>
      </w:r>
      <w:r>
        <w:rPr/>
      </w:r>
      <m:oMath xmlns:m="http://schemas.openxmlformats.org/officeDocument/2006/math">
        <m:sSub>
          <m:e>
            <m:r>
              <w:rPr>
                <w:rFonts w:ascii="Cambria Math" w:hAnsi="Cambria Math"/>
              </w:rPr>
              <m:t xml:space="preserve">max</m:t>
            </m:r>
          </m:e>
          <m:sub>
            <m:r>
              <w:rPr>
                <w:rFonts w:ascii="Cambria Math" w:hAnsi="Cambria Math"/>
              </w:rPr>
              <m:t xml:space="preserve">l</m:t>
            </m:r>
          </m:sub>
        </m:sSub>
      </m:oMath>
      <w:r>
        <w:rPr>
          <w:rFonts w:cs="Times New Roman"/>
          <w:sz w:val="24"/>
          <w:szCs w:val="24"/>
        </w:rPr>
        <w:t xml:space="preserve">  are definitely members of the fuzzy set and thus are assigned the value of one. Accordingly, the equivalent elements in all other vectors are necessarily also members of that same fuzzy set.</w:t>
      </w:r>
    </w:p>
    <w:p>
      <w:pPr>
        <w:pStyle w:val="Normal"/>
        <w:spacing w:lineRule="auto" w:line="360" w:before="120" w:after="0"/>
        <w:jc w:val="both"/>
        <w:rPr/>
      </w:pPr>
      <w:r>
        <w:rPr>
          <w:rFonts w:cs="Times New Roman"/>
          <w:sz w:val="24"/>
          <w:szCs w:val="24"/>
        </w:rPr>
        <w:t xml:space="preserve">The next step is to identify records that are definitely not members of the fuzzy set. We define </w:t>
      </w:r>
      <w:r>
        <w:rPr/>
      </w:r>
      <m:oMath xmlns:m="http://schemas.openxmlformats.org/officeDocument/2006/math">
        <m:sSub>
          <m:e>
            <m:r>
              <w:rPr>
                <w:rFonts w:ascii="Cambria Math" w:hAnsi="Cambria Math"/>
              </w:rPr>
              <m:t xml:space="preserve">min</m:t>
            </m:r>
          </m:e>
          <m:sub>
            <m:r>
              <w:rPr>
                <w:rFonts w:ascii="Cambria Math" w:hAnsi="Cambria Math"/>
              </w:rPr>
              <m:t xml:space="preserve">l</m:t>
            </m:r>
          </m:sub>
        </m:sSub>
      </m:oMath>
      <w:r>
        <w:rPr>
          <w:rFonts w:cs="Times New Roman"/>
          <w:sz w:val="24"/>
          <w:szCs w:val="24"/>
        </w:rPr>
        <w:t xml:space="preserve"> as the value of the same selected vector of the dependent variable, such that all elements equal to or smaller than </w:t>
      </w:r>
      <w:r>
        <w:rPr/>
      </w:r>
      <m:oMath xmlns:m="http://schemas.openxmlformats.org/officeDocument/2006/math">
        <m:sSub>
          <m:e>
            <m:r>
              <w:rPr>
                <w:rFonts w:ascii="Cambria Math" w:hAnsi="Cambria Math"/>
              </w:rPr>
              <m:t xml:space="preserve">min</m:t>
            </m:r>
          </m:e>
          <m:sub>
            <m:r>
              <w:rPr>
                <w:rFonts w:ascii="Cambria Math" w:hAnsi="Cambria Math"/>
              </w:rPr>
              <m:t xml:space="preserve">l</m:t>
            </m:r>
          </m:sub>
        </m:sSub>
      </m:oMath>
      <w:r>
        <w:rPr>
          <w:rFonts w:cs="Times New Roman"/>
          <w:sz w:val="24"/>
          <w:szCs w:val="24"/>
        </w:rPr>
        <w:t xml:space="preserve">are not considered members of the fuzzy set and are assigned the value of zero. Similarly, to the explanation above, the equivalent elements in all other vectors are also not members of that fuzzy set.  </w:t>
      </w:r>
    </w:p>
    <w:p>
      <w:pPr>
        <w:pStyle w:val="Normal"/>
        <w:spacing w:lineRule="auto" w:line="360" w:before="120" w:after="0"/>
        <w:jc w:val="both"/>
        <w:rPr/>
      </w:pPr>
      <w:r>
        <w:rPr>
          <w:rFonts w:cs="Times New Roman"/>
          <w:sz w:val="24"/>
          <w:szCs w:val="24"/>
        </w:rPr>
        <w:t xml:space="preserve">We emphasize again: </w:t>
      </w:r>
      <w:r>
        <w:rPr/>
      </w:r>
      <m:oMath xmlns:m="http://schemas.openxmlformats.org/officeDocument/2006/math">
        <m:sSub>
          <m:e>
            <m:r>
              <w:rPr>
                <w:rFonts w:ascii="Cambria Math" w:hAnsi="Cambria Math"/>
              </w:rPr>
              <m:t xml:space="preserve">max</m:t>
            </m:r>
          </m:e>
          <m:sub>
            <m:r>
              <w:rPr>
                <w:rFonts w:ascii="Cambria Math" w:hAnsi="Cambria Math"/>
              </w:rPr>
              <m:t xml:space="preserve">j</m:t>
            </m:r>
          </m:sub>
        </m:sSub>
      </m:oMath>
      <w:r>
        <w:rPr>
          <w:rFonts w:cs="Times New Roman"/>
          <w:sz w:val="24"/>
          <w:szCs w:val="24"/>
        </w:rPr>
        <w:t xml:space="preserve"> and </w:t>
      </w:r>
      <w:r>
        <w:rPr/>
      </w:r>
      <m:oMath xmlns:m="http://schemas.openxmlformats.org/officeDocument/2006/math">
        <m:sSub>
          <m:e>
            <m:r>
              <w:rPr>
                <w:rFonts w:ascii="Cambria Math" w:hAnsi="Cambria Math"/>
              </w:rPr>
              <m:t xml:space="preserve">min</m:t>
            </m:r>
          </m:e>
          <m:sub>
            <m:r>
              <w:rPr>
                <w:rFonts w:ascii="Cambria Math" w:hAnsi="Cambria Math"/>
              </w:rPr>
              <m:t xml:space="preserve">j</m:t>
            </m:r>
          </m:sub>
        </m:sSub>
      </m:oMath>
      <w:r>
        <w:rPr>
          <w:rFonts w:cs="Times New Roman"/>
          <w:sz w:val="24"/>
          <w:szCs w:val="24"/>
        </w:rPr>
        <w:t xml:space="preserve">must be determined based on logic and common sense for each domain (for every variable), so as not to distort the data. </w:t>
      </w:r>
    </w:p>
    <w:p>
      <w:pPr>
        <w:pStyle w:val="Normal"/>
        <w:spacing w:lineRule="auto" w:line="360" w:before="120" w:after="0"/>
        <w:jc w:val="both"/>
        <w:rPr/>
      </w:pPr>
      <w:r>
        <w:rPr>
          <w:rFonts w:cs="Times New Roman"/>
          <w:sz w:val="24"/>
          <w:szCs w:val="24"/>
        </w:rPr>
        <w:t xml:space="preserve">For all other elements (between </w:t>
      </w:r>
      <w:r>
        <w:rPr/>
      </w:r>
      <m:oMath xmlns:m="http://schemas.openxmlformats.org/officeDocument/2006/math">
        <m:sSub>
          <m:e>
            <m:r>
              <w:rPr>
                <w:rFonts w:ascii="Cambria Math" w:hAnsi="Cambria Math"/>
              </w:rPr>
              <m:t xml:space="preserve">max</m:t>
            </m:r>
          </m:e>
          <m:sub>
            <m:r>
              <w:rPr>
                <w:rFonts w:ascii="Cambria Math" w:hAnsi="Cambria Math"/>
              </w:rPr>
              <m:t xml:space="preserve">j</m:t>
            </m:r>
          </m:sub>
        </m:sSub>
      </m:oMath>
      <w:r>
        <w:rPr>
          <w:rFonts w:cs="Times New Roman"/>
          <w:sz w:val="24"/>
          <w:szCs w:val="24"/>
        </w:rPr>
        <w:t>and</w:t>
      </w:r>
      <w:r>
        <w:rPr/>
      </w:r>
      <m:oMath xmlns:m="http://schemas.openxmlformats.org/officeDocument/2006/math">
        <m:sSub>
          <m:e>
            <m:r>
              <w:rPr>
                <w:rFonts w:ascii="Cambria Math" w:hAnsi="Cambria Math"/>
              </w:rPr>
              <m:t xml:space="preserve">min</m:t>
            </m:r>
          </m:e>
          <m:sub>
            <m:r>
              <w:rPr>
                <w:rFonts w:ascii="Cambria Math" w:hAnsi="Cambria Math"/>
              </w:rPr>
              <m:t xml:space="preserve">j</m:t>
            </m:r>
          </m:sub>
        </m:sSub>
      </m:oMath>
      <w:r>
        <w:rPr>
          <w:rFonts w:cs="Times New Roman"/>
          <w:sz w:val="24"/>
          <w:szCs w:val="24"/>
        </w:rPr>
        <w:t xml:space="preserve">) we project all the other vector elements into the interval </w:t>
      </w:r>
      <w:r>
        <w:rPr>
          <w:rFonts w:eastAsia="Symbol" w:cs="Times New Roman"/>
          <w:sz w:val="24"/>
          <w:szCs w:val="24"/>
        </w:rPr>
        <w:t>[</w:t>
      </w:r>
      <w:r>
        <w:rPr>
          <w:rFonts w:cs="Times New Roman"/>
          <w:sz w:val="24"/>
          <w:szCs w:val="24"/>
        </w:rPr>
        <w:t>0,1</w:t>
      </w:r>
      <w:r>
        <w:rPr>
          <w:rFonts w:eastAsia="Symbol" w:cs="Times New Roman"/>
          <w:sz w:val="24"/>
          <w:szCs w:val="24"/>
        </w:rPr>
        <w:t>]</w:t>
      </w:r>
      <w:r>
        <w:rPr>
          <w:rFonts w:cs="Times New Roman"/>
          <w:sz w:val="24"/>
          <w:szCs w:val="24"/>
        </w:rPr>
        <w:t xml:space="preserve"> proportionally.    Thus </w:t>
      </w:r>
      <w:r>
        <w:rPr/>
      </w:r>
      <m:oMath xmlns:m="http://schemas.openxmlformats.org/officeDocument/2006/math">
        <m:sSub>
          <m:e>
            <m:r>
              <w:rPr>
                <w:rFonts w:ascii="Cambria Math" w:hAnsi="Cambria Math"/>
              </w:rPr>
              <m:t xml:space="preserve">max</m:t>
            </m:r>
          </m:e>
          <m:sub>
            <m:r>
              <w:rPr>
                <w:rFonts w:ascii="Cambria Math" w:hAnsi="Cambria Math"/>
              </w:rPr>
              <m:t xml:space="preserve">j</m:t>
            </m:r>
          </m:sub>
        </m:sSub>
      </m:oMath>
      <w:r>
        <w:rPr>
          <w:rFonts w:cs="Times New Roman"/>
          <w:sz w:val="24"/>
          <w:szCs w:val="24"/>
        </w:rPr>
        <w:t xml:space="preserve"> and </w:t>
      </w:r>
      <w:r>
        <w:rPr/>
      </w:r>
      <m:oMath xmlns:m="http://schemas.openxmlformats.org/officeDocument/2006/math">
        <m:sSub>
          <m:e>
            <m:r>
              <w:rPr>
                <w:rFonts w:ascii="Cambria Math" w:hAnsi="Cambria Math"/>
              </w:rPr>
              <m:t xml:space="preserve">min</m:t>
            </m:r>
          </m:e>
          <m:sub>
            <m:r>
              <w:rPr>
                <w:rFonts w:ascii="Cambria Math" w:hAnsi="Cambria Math"/>
              </w:rPr>
              <m:t xml:space="preserve">j</m:t>
            </m:r>
          </m:sub>
        </m:sSub>
      </m:oMath>
      <w:r>
        <w:rPr>
          <w:rFonts w:cs="Times New Roman"/>
          <w:sz w:val="24"/>
          <w:szCs w:val="24"/>
        </w:rPr>
        <w:t>are Maximum and Minimum thresholds. As stated above, the same group must be consistent for all other vectors in the model: both dependent and explanatory.</w:t>
      </w:r>
    </w:p>
    <w:p>
      <w:pPr>
        <w:pStyle w:val="Normal"/>
        <w:spacing w:lineRule="auto" w:line="360" w:before="120" w:after="0"/>
        <w:jc w:val="both"/>
        <w:rPr/>
      </w:pPr>
      <w:r>
        <w:rPr>
          <w:rFonts w:cs="Times New Roman"/>
          <w:sz w:val="24"/>
          <w:szCs w:val="24"/>
        </w:rPr>
        <w:t xml:space="preserve">Note: in the cases of several numerical vectors which essentially represent the same variable, data normalizing procedure explained above brings all these vectors into the same scale, thus helping to express all of them in terms of undistorted intervals (ranges) of values. </w:t>
      </w:r>
    </w:p>
    <w:p>
      <w:pPr>
        <w:pStyle w:val="Normal"/>
        <w:spacing w:lineRule="auto" w:line="360" w:before="120" w:after="0"/>
        <w:jc w:val="both"/>
        <w:rPr/>
      </w:pPr>
      <w:r>
        <w:rPr>
          <w:rFonts w:cs="Times New Roman"/>
          <w:sz w:val="24"/>
          <w:szCs w:val="24"/>
        </w:rPr>
        <w:t>In mathematical form, the function used for normalization is:</w:t>
      </w:r>
    </w:p>
    <w:p>
      <w:pPr>
        <w:pStyle w:val="Normal"/>
        <w:spacing w:lineRule="auto" w:line="360" w:before="120" w:after="120"/>
        <w:jc w:val="both"/>
        <w:rPr/>
      </w:pPr>
      <w:r>
        <w:rPr>
          <w:rFonts w:cs="Times New Roman"/>
          <w:sz w:val="24"/>
          <w:szCs w:val="24"/>
        </w:rPr>
        <w:t xml:space="preserve">Let’s assume that we have </w:t>
      </w:r>
      <w:r>
        <w:rPr/>
      </w:r>
      <m:oMath xmlns:m="http://schemas.openxmlformats.org/officeDocument/2006/math">
        <m:r>
          <w:rPr>
            <w:rFonts w:ascii="Cambria Math" w:hAnsi="Cambria Math"/>
          </w:rPr>
          <m:t xml:space="preserve">c</m:t>
        </m:r>
      </m:oMath>
      <w:r>
        <w:rPr>
          <w:rFonts w:cs="Times New Roman"/>
          <w:sz w:val="24"/>
          <w:szCs w:val="24"/>
        </w:rPr>
        <w:t xml:space="preserve"> numerical vectors, each consisting of </w:t>
      </w:r>
      <w:r>
        <w:rPr/>
      </w:r>
      <m:oMath xmlns:m="http://schemas.openxmlformats.org/officeDocument/2006/math">
        <m:r>
          <w:rPr>
            <w:rFonts w:ascii="Cambria Math" w:hAnsi="Cambria Math"/>
          </w:rPr>
          <m:t xml:space="preserve">n</m:t>
        </m:r>
      </m:oMath>
      <w:r>
        <w:rPr>
          <w:rFonts w:cs="Times New Roman"/>
          <w:sz w:val="24"/>
          <w:szCs w:val="24"/>
        </w:rPr>
        <w:t xml:space="preserve"> elements. We use these numerical vectors to construct a matrix: </w:t>
      </w:r>
      <w:r>
        <w:rPr/>
      </w:r>
      <m:oMath xmlns:m="http://schemas.openxmlformats.org/officeDocument/2006/math">
        <m:sSup>
          <m:e>
            <m:r>
              <w:rPr>
                <w:rFonts w:ascii="Cambria Math" w:hAnsi="Cambria Math"/>
              </w:rPr>
              <m:t xml:space="preserve">A</m:t>
            </m:r>
          </m:e>
          <m:sup>
            <m:r>
              <w:rPr>
                <w:rFonts w:ascii="Cambria Math" w:hAnsi="Cambria Math"/>
              </w:rPr>
              <m:t xml:space="preserve">raw</m:t>
            </m:r>
          </m:sup>
        </m:sSup>
        <m:r>
          <w:rPr>
            <w:rFonts w:ascii="Cambria Math" w:hAnsi="Cambria Math"/>
          </w:rPr>
          <m:t xml:space="preserve">=</m:t>
        </m:r>
        <m:sSub>
          <m:e>
            <m:d>
              <m:dPr>
                <m:begChr m:val="("/>
                <m:endChr m:val=")"/>
              </m:dPr>
              <m:e>
                <m:sSubSup>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raw</m:t>
                    </m:r>
                  </m:sup>
                </m:sSubSup>
              </m:e>
            </m:d>
          </m:e>
          <m:sub>
            <m:r>
              <w:rPr>
                <w:rFonts w:ascii="Cambria Math" w:hAnsi="Cambria Math"/>
              </w:rPr>
              <m:t xml:space="preserve">n</m:t>
            </m:r>
            <m:r>
              <w:rPr>
                <w:rFonts w:ascii="Cambria Math" w:hAnsi="Cambria Math"/>
              </w:rPr>
              <m:t xml:space="preserve">×</m:t>
            </m:r>
            <m:r>
              <w:rPr>
                <w:rFonts w:ascii="Cambria Math" w:hAnsi="Cambria Math"/>
              </w:rPr>
              <m:t xml:space="preserve">c</m:t>
            </m:r>
          </m:sub>
        </m:sSub>
      </m:oMath>
      <w:r>
        <w:rPr>
          <w:rFonts w:cs="Times New Roman"/>
          <w:sz w:val="24"/>
          <w:szCs w:val="24"/>
        </w:rPr>
        <w:t xml:space="preserve"> where </w:t>
      </w:r>
      <w:r>
        <w:rPr/>
      </w:r>
      <m:oMath xmlns:m="http://schemas.openxmlformats.org/officeDocument/2006/math">
        <m:r>
          <w:rPr>
            <w:rFonts w:ascii="Cambria Math" w:hAnsi="Cambria Math"/>
          </w:rPr>
          <m:t xml:space="preserve">n</m:t>
        </m:r>
      </m:oMath>
      <w:r>
        <w:rPr>
          <w:rFonts w:cs="Times New Roman"/>
          <w:sz w:val="24"/>
          <w:szCs w:val="24"/>
        </w:rPr>
        <w:t xml:space="preserve"> is a number of rows and </w:t>
      </w:r>
      <w:r>
        <w:rPr/>
      </w:r>
      <m:oMath xmlns:m="http://schemas.openxmlformats.org/officeDocument/2006/math">
        <m:r>
          <w:rPr>
            <w:rFonts w:ascii="Cambria Math" w:hAnsi="Cambria Math"/>
          </w:rPr>
          <m:t xml:space="preserve">c</m:t>
        </m:r>
      </m:oMath>
      <w:r>
        <w:rPr>
          <w:rFonts w:cs="Times New Roman"/>
          <w:sz w:val="24"/>
          <w:szCs w:val="24"/>
        </w:rPr>
        <w:t xml:space="preserve"> is a number of columns. We normalize all the numerical vectors by applying relevant membership function, such that the resulting elements of the numerical vectors will consist of values [0,1], which represent degree of membership in the same fuzzy set, i.e., a fuzzy matrix of </w:t>
      </w:r>
      <w:r>
        <w:rPr/>
      </w:r>
      <m:oMath xmlns:m="http://schemas.openxmlformats.org/officeDocument/2006/math">
        <m:sSup>
          <m:e>
            <m:r>
              <w:rPr>
                <w:rFonts w:ascii="Cambria Math" w:hAnsi="Cambria Math"/>
              </w:rPr>
              <m:t xml:space="preserve">A</m:t>
            </m:r>
          </m:e>
          <m:sup>
            <m:r>
              <w:rPr>
                <w:rFonts w:ascii="Cambria Math" w:hAnsi="Cambria Math"/>
              </w:rPr>
              <m:t xml:space="preserve">raw</m:t>
            </m:r>
          </m:sup>
        </m:sSup>
      </m:oMath>
      <w:r>
        <w:rPr>
          <w:rFonts w:cs="Times New Roman"/>
          <w:sz w:val="24"/>
          <w:szCs w:val="24"/>
        </w:rPr>
        <w:t xml:space="preserve"> is a matrix:  </w:t>
      </w:r>
    </w:p>
    <w:p>
      <w:pPr>
        <w:pStyle w:val="Normal"/>
        <w:spacing w:lineRule="auto" w:line="360" w:before="120" w:after="120"/>
        <w:jc w:val="both"/>
        <w:rPr>
          <w:rFonts w:cs="Times New Roman"/>
          <w:sz w:val="24"/>
          <w:szCs w:val="24"/>
        </w:rPr>
      </w:pPr>
      <w:r>
        <w:rPr>
          <w:rFonts w:cs="Times New Roman"/>
          <w:sz w:val="24"/>
          <w:szCs w:val="24"/>
        </w:rPr>
      </w:r>
    </w:p>
    <w:p>
      <w:pPr>
        <w:pStyle w:val="Normal"/>
        <w:spacing w:lineRule="auto" w:line="360"/>
        <w:jc w:val="both"/>
        <w:rPr/>
      </w:pPr>
      <w:r>
        <w:rPr/>
      </w:r>
      <m:oMath xmlns:m="http://schemas.openxmlformats.org/officeDocument/2006/math">
        <m:r>
          <w:rPr>
            <w:rFonts w:ascii="Cambria Math" w:hAnsi="Cambria Math"/>
          </w:rPr>
          <m:t xml:space="preserve">A</m:t>
        </m:r>
        <m:r>
          <w:rPr>
            <w:rFonts w:ascii="Cambria Math" w:hAnsi="Cambria Math"/>
          </w:rPr>
          <m:t xml:space="preserve">=</m:t>
        </m:r>
        <m:sSub>
          <m:e>
            <m:d>
              <m:dPr>
                <m:begChr m:val="("/>
                <m:endChr m:val=")"/>
              </m:dPr>
              <m:e>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l</m:t>
                    </m:r>
                  </m:sub>
                </m:sSub>
              </m:e>
            </m:d>
          </m:e>
          <m:sub>
            <m:r>
              <w:rPr>
                <w:rFonts w:ascii="Cambria Math" w:hAnsi="Cambria Math"/>
              </w:rPr>
              <m:t xml:space="preserve">n</m:t>
            </m:r>
            <m:r>
              <w:rPr>
                <w:rFonts w:ascii="Cambria Math" w:hAnsi="Cambria Math"/>
              </w:rPr>
              <m:t xml:space="preserve">×</m:t>
            </m:r>
            <m:r>
              <w:rPr>
                <w:rFonts w:ascii="Cambria Math" w:hAnsi="Cambria Math"/>
              </w:rPr>
              <m:t xml:space="preserve">c</m:t>
            </m:r>
          </m:sub>
        </m:sSub>
      </m:oMath>
      <w:r>
        <w:rPr>
          <w:rFonts w:cs="Times New Roman"/>
          <w:sz w:val="24"/>
          <w:szCs w:val="24"/>
        </w:rPr>
        <w:t xml:space="preserve">                                                                                  </w:t>
      </w:r>
      <w:r>
        <w:rPr>
          <w:rFonts w:cs="Times New Roman"/>
          <w:sz w:val="24"/>
          <w:szCs w:val="24"/>
        </w:rPr>
        <w:t>(1)</w:t>
      </w:r>
    </w:p>
    <w:p>
      <w:pPr>
        <w:pStyle w:val="Normal"/>
        <w:spacing w:lineRule="auto" w:line="360"/>
        <w:jc w:val="both"/>
        <w:rPr/>
      </w:pPr>
      <w:r>
        <w:rPr>
          <w:rFonts w:cs="Times New Roman"/>
          <w:sz w:val="24"/>
          <w:szCs w:val="24"/>
        </w:rPr>
        <w:t xml:space="preserve">where </w:t>
      </w:r>
      <w:r>
        <w:rPr/>
      </w:r>
      <m:oMath xmlns:m="http://schemas.openxmlformats.org/officeDocument/2006/math">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l</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l</m:t>
            </m:r>
          </m:sub>
        </m:sSub>
        <m:d>
          <m:dPr>
            <m:begChr m:val="("/>
            <m:endChr m:val=")"/>
          </m:dPr>
          <m:e>
            <m:sSubSup>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raw</m:t>
                </m:r>
              </m:sup>
            </m:sSubSup>
          </m:e>
        </m:d>
      </m:oMath>
      <w:r>
        <w:rPr>
          <w:rFonts w:cs="Times New Roman"/>
          <w:sz w:val="24"/>
          <w:szCs w:val="24"/>
        </w:rPr>
        <w:t xml:space="preserve"> for all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rFonts w:cs="Times New Roman"/>
          <w:sz w:val="24"/>
          <w:szCs w:val="24"/>
        </w:rPr>
        <w:t xml:space="preserve"> and </w:t>
      </w:r>
      <w:r>
        <w:rPr/>
      </w:r>
      <m:oMath xmlns:m="http://schemas.openxmlformats.org/officeDocument/2006/math">
        <m:sSub>
          <m:e>
            <m:r>
              <w:rPr>
                <w:rFonts w:ascii="Cambria Math" w:hAnsi="Cambria Math"/>
              </w:rPr>
              <m:t xml:space="preserve">μ</m:t>
            </m:r>
          </m:e>
          <m:sub>
            <m:r>
              <w:rPr>
                <w:rFonts w:ascii="Cambria Math" w:hAnsi="Cambria Math"/>
              </w:rPr>
              <m:t xml:space="preserve">l</m:t>
            </m:r>
          </m:sub>
        </m:sSub>
      </m:oMath>
      <w:r>
        <w:rPr>
          <w:rFonts w:cs="Times New Roman"/>
          <w:sz w:val="24"/>
          <w:szCs w:val="24"/>
        </w:rPr>
        <w:t xml:space="preserve"> is a membership function for all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m:t>
        </m:r>
      </m:oMath>
      <w:r>
        <w:rPr>
          <w:rFonts w:cs="Times New Roman"/>
          <w:sz w:val="24"/>
          <w:szCs w:val="24"/>
        </w:rPr>
        <w:t xml:space="preserve">. </w:t>
      </w:r>
    </w:p>
    <w:p>
      <w:pPr>
        <w:pStyle w:val="Normal"/>
        <w:spacing w:lineRule="auto" w:line="360"/>
        <w:jc w:val="both"/>
        <w:rPr>
          <w:rFonts w:cs="Times New Roman"/>
          <w:sz w:val="24"/>
          <w:szCs w:val="24"/>
        </w:rPr>
      </w:pPr>
      <w:r>
        <w:rPr>
          <w:rFonts w:cs="Times New Roman"/>
          <w:sz w:val="24"/>
          <w:szCs w:val="24"/>
        </w:rPr>
      </w:r>
    </w:p>
    <w:p>
      <w:pPr>
        <w:pStyle w:val="Normal"/>
        <w:spacing w:lineRule="auto" w:line="360"/>
        <w:jc w:val="both"/>
        <w:rPr/>
      </w:pPr>
      <w:r>
        <w:rPr>
          <w:rFonts w:cs="Times New Roman"/>
          <w:sz w:val="24"/>
          <w:szCs w:val="24"/>
        </w:rPr>
        <w:t>and</w:t>
      </w:r>
    </w:p>
    <w:p>
      <w:pPr>
        <w:pStyle w:val="Normal"/>
        <w:spacing w:lineRule="auto" w:line="360"/>
        <w:jc w:val="both"/>
        <w:rPr/>
      </w:pPr>
      <w:r>
        <w:rPr/>
      </w:r>
      <m:oMath xmlns:m="http://schemas.openxmlformats.org/officeDocument/2006/math">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l</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l</m:t>
            </m:r>
          </m:sub>
        </m:sSub>
        <m:d>
          <m:dPr>
            <m:begChr m:val="("/>
            <m:endChr m:val=")"/>
          </m:dPr>
          <m:e>
            <m:sSubSup>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raw</m:t>
                </m:r>
              </m:sup>
            </m:sSubSup>
          </m:e>
        </m:d>
        <m:r>
          <w:rPr>
            <w:rFonts w:ascii="Cambria Math" w:hAnsi="Cambria Math"/>
          </w:rPr>
          <m:t xml:space="preserve">=</m:t>
        </m:r>
        <m:d>
          <m:dPr>
            <m:begChr m:val="{"/>
            <m:endChr m:val=""/>
          </m:dPr>
          <m:e>
            <m:eqArr>
              <m:e>
                <m:m>
                  <m:mr>
                    <m:e>
                      <m:r>
                        <w:rPr>
                          <w:rFonts w:ascii="Cambria Math" w:hAnsi="Cambria Math"/>
                        </w:rPr>
                        <m:t xml:space="preserve">0</m:t>
                      </m:r>
                    </m:e>
                    <m:e>
                      <m:r>
                        <w:rPr>
                          <w:rFonts w:ascii="Cambria Math" w:hAnsi="Cambria Math"/>
                        </w:rPr>
                        <m:t xml:space="preserve">,</m:t>
                      </m:r>
                      <m:sSubSup>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raw</m:t>
                          </m:r>
                        </m:sup>
                      </m:sSubSup>
                      <m:r>
                        <w:rPr>
                          <w:rFonts w:ascii="Cambria Math" w:hAnsi="Cambria Math"/>
                        </w:rPr>
                        <m:t xml:space="preserve">≤</m:t>
                      </m:r>
                      <m:sSub>
                        <m:e>
                          <m:r>
                            <w:rPr>
                              <w:rFonts w:ascii="Cambria Math" w:hAnsi="Cambria Math"/>
                            </w:rPr>
                            <m:t xml:space="preserve">min</m:t>
                          </m:r>
                        </m:e>
                        <m:sub>
                          <m:r>
                            <w:rPr>
                              <w:rFonts w:ascii="Cambria Math" w:hAnsi="Cambria Math"/>
                            </w:rPr>
                            <m:t xml:space="preserve">l</m:t>
                          </m:r>
                        </m:sub>
                      </m:sSub>
                    </m:e>
                  </m:mr>
                </m:m>
              </m:e>
              <m:e>
                <m:m>
                  <m:mr>
                    <m:e>
                      <m:f>
                        <m:num>
                          <m:sSubSup>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raw</m:t>
                              </m:r>
                            </m:sup>
                          </m:sSubSup>
                          <m:r>
                            <w:rPr>
                              <w:rFonts w:ascii="Cambria Math" w:hAnsi="Cambria Math"/>
                            </w:rPr>
                            <m:t xml:space="preserve">−</m:t>
                          </m:r>
                          <m:sSub>
                            <m:e>
                              <m:r>
                                <w:rPr>
                                  <w:rFonts w:ascii="Cambria Math" w:hAnsi="Cambria Math"/>
                                </w:rPr>
                                <m:t xml:space="preserve">min</m:t>
                              </m:r>
                            </m:e>
                            <m:sub>
                              <m:r>
                                <w:rPr>
                                  <w:rFonts w:ascii="Cambria Math" w:hAnsi="Cambria Math"/>
                                </w:rPr>
                                <m:t xml:space="preserve">l</m:t>
                              </m:r>
                            </m:sub>
                          </m:sSub>
                        </m:num>
                        <m:den>
                          <m:sSub>
                            <m:e>
                              <m:r>
                                <w:rPr>
                                  <w:rFonts w:ascii="Cambria Math" w:hAnsi="Cambria Math"/>
                                </w:rPr>
                                <m:t xml:space="preserve">max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min</m:t>
                              </m:r>
                            </m:e>
                            <m:sub>
                              <m:r>
                                <w:rPr>
                                  <w:rFonts w:ascii="Cambria Math" w:hAnsi="Cambria Math"/>
                                </w:rPr>
                                <m:t xml:space="preserve">l</m:t>
                              </m:r>
                            </m:sub>
                          </m:sSub>
                        </m:den>
                      </m:f>
                    </m:e>
                    <m:e>
                      <m:r>
                        <w:rPr>
                          <w:rFonts w:ascii="Cambria Math" w:hAnsi="Cambria Math"/>
                        </w:rPr>
                        <m:t xml:space="preserve">,</m:t>
                      </m:r>
                      <m:sSub>
                        <m:e>
                          <m:r>
                            <w:rPr>
                              <w:rFonts w:ascii="Cambria Math" w:hAnsi="Cambria Math"/>
                            </w:rPr>
                            <m:t xml:space="preserve">min</m:t>
                          </m:r>
                        </m:e>
                        <m:sub>
                          <m:r>
                            <w:rPr>
                              <w:rFonts w:ascii="Cambria Math" w:hAnsi="Cambria Math"/>
                            </w:rPr>
                            <m:t xml:space="preserve">l</m:t>
                          </m:r>
                        </m:sub>
                      </m:sSub>
                      <m:r>
                        <w:rPr>
                          <w:rFonts w:ascii="Cambria Math" w:hAnsi="Cambria Math"/>
                        </w:rPr>
                        <m:t xml:space="preserve">&lt;</m:t>
                      </m:r>
                      <m:sSubSup>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raw</m:t>
                          </m:r>
                        </m:sup>
                      </m:sSubSup>
                      <m:r>
                        <w:rPr>
                          <w:rFonts w:ascii="Cambria Math" w:hAnsi="Cambria Math"/>
                        </w:rPr>
                        <m:t xml:space="preserve">&lt;</m:t>
                      </m:r>
                      <m:sSub>
                        <m:e>
                          <m:r>
                            <w:rPr>
                              <w:rFonts w:ascii="Cambria Math" w:hAnsi="Cambria Math"/>
                            </w:rPr>
                            <m:t xml:space="preserve">max</m:t>
                          </m:r>
                        </m:e>
                        <m:sub>
                          <m:r>
                            <w:rPr>
                              <w:rFonts w:ascii="Cambria Math" w:hAnsi="Cambria Math"/>
                            </w:rPr>
                            <m:t xml:space="preserve">l</m:t>
                          </m:r>
                        </m:sub>
                      </m:sSub>
                    </m:e>
                  </m:mr>
                </m:m>
              </m:e>
              <m:e>
                <m:m>
                  <m:mr>
                    <m:e>
                      <m:r>
                        <w:rPr>
                          <w:rFonts w:ascii="Cambria Math" w:hAnsi="Cambria Math"/>
                        </w:rPr>
                        <m:t xml:space="preserve">1</m:t>
                      </m:r>
                    </m:e>
                    <m:e>
                      <m:r>
                        <w:rPr>
                          <w:rFonts w:ascii="Cambria Math" w:hAnsi="Cambria Math"/>
                        </w:rPr>
                        <m:t xml:space="preserve">,</m:t>
                      </m:r>
                      <m:sSub>
                        <m:e>
                          <m:r>
                            <w:rPr>
                              <w:rFonts w:ascii="Cambria Math" w:hAnsi="Cambria Math"/>
                            </w:rPr>
                            <m:t xml:space="preserve">max</m:t>
                          </m:r>
                        </m:e>
                        <m:sub>
                          <m:r>
                            <w:rPr>
                              <w:rFonts w:ascii="Cambria Math" w:hAnsi="Cambria Math"/>
                            </w:rPr>
                            <m:t xml:space="preserve">l</m:t>
                          </m:r>
                        </m:sub>
                      </m:sSub>
                      <m:r>
                        <w:rPr>
                          <w:rFonts w:ascii="Cambria Math" w:hAnsi="Cambria Math"/>
                        </w:rPr>
                        <m:t xml:space="preserve">≤</m:t>
                      </m:r>
                      <m:sSubSup>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raw</m:t>
                          </m:r>
                        </m:sup>
                      </m:sSubSup>
                    </m:e>
                  </m:mr>
                </m:m>
              </m:e>
            </m:eqArr>
          </m:e>
        </m:d>
      </m:oMath>
      <w:r>
        <w:rPr>
          <w:rFonts w:cs="Times New Roman"/>
          <w:sz w:val="24"/>
          <w:szCs w:val="24"/>
        </w:rPr>
        <w:t xml:space="preserve">                                           </w:t>
      </w:r>
      <w:r>
        <w:rPr>
          <w:rFonts w:cs="Times New Roman"/>
          <w:sz w:val="24"/>
          <w:szCs w:val="24"/>
        </w:rPr>
        <w:t>(2)</w:t>
      </w:r>
    </w:p>
    <w:p>
      <w:pPr>
        <w:pStyle w:val="Normal"/>
        <w:spacing w:lineRule="auto" w:line="360"/>
        <w:jc w:val="both"/>
        <w:rPr>
          <w:rFonts w:cs="Times New Roman"/>
          <w:sz w:val="24"/>
          <w:szCs w:val="24"/>
        </w:rPr>
      </w:pPr>
      <w:r>
        <w:rPr>
          <w:rFonts w:cs="Times New Roman"/>
          <w:sz w:val="24"/>
          <w:szCs w:val="24"/>
        </w:rPr>
      </w:r>
    </w:p>
    <w:p>
      <w:pPr>
        <w:pStyle w:val="Normal"/>
        <w:spacing w:lineRule="auto" w:line="360"/>
        <w:jc w:val="both"/>
        <w:rPr/>
      </w:pPr>
      <w:r>
        <w:rPr>
          <w:rFonts w:cs="Times New Roman"/>
          <w:sz w:val="24"/>
          <w:szCs w:val="24"/>
        </w:rPr>
        <w:t>where</w:t>
      </w:r>
      <w:r>
        <w:rPr/>
      </w:r>
      <m:oMath xmlns:m="http://schemas.openxmlformats.org/officeDocument/2006/math">
        <m:sSup>
          <m:e>
            <m:r>
              <w:rPr>
                <w:rFonts w:ascii="Cambria Math" w:hAnsi="Cambria Math"/>
              </w:rPr>
              <m:t xml:space="preserve">A</m:t>
            </m:r>
          </m:e>
          <m:sup>
            <m:r>
              <w:rPr>
                <w:rFonts w:ascii="Cambria Math" w:hAnsi="Cambria Math"/>
              </w:rPr>
              <m:t xml:space="preserve">raw</m:t>
            </m:r>
          </m:sup>
        </m:sSup>
        <m:r>
          <w:rPr>
            <w:rFonts w:ascii="Cambria Math" w:hAnsi="Cambria Math"/>
          </w:rPr>
          <m:t xml:space="preserve">=</m:t>
        </m:r>
        <m:sSub>
          <m:e>
            <m:d>
              <m:dPr>
                <m:begChr m:val="("/>
                <m:endChr m:val=")"/>
              </m:dPr>
              <m:e>
                <m:sSubSup>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raw</m:t>
                    </m:r>
                  </m:sup>
                </m:sSubSup>
              </m:e>
            </m:d>
          </m:e>
          <m:sub>
            <m:r>
              <w:rPr>
                <w:rFonts w:ascii="Cambria Math" w:hAnsi="Cambria Math"/>
              </w:rPr>
              <m:t xml:space="preserve">n</m:t>
            </m:r>
            <m:r>
              <w:rPr>
                <w:rFonts w:ascii="Cambria Math" w:hAnsi="Cambria Math"/>
              </w:rPr>
              <m:t xml:space="preserve">×</m:t>
            </m:r>
            <m:r>
              <w:rPr>
                <w:rFonts w:ascii="Cambria Math" w:hAnsi="Cambria Math"/>
              </w:rPr>
              <m:t xml:space="preserve">c</m:t>
            </m:r>
          </m:sub>
        </m:sSub>
      </m:oMath>
      <w:r>
        <w:rPr>
          <w:rFonts w:cs="Times New Roman"/>
          <w:sz w:val="24"/>
          <w:szCs w:val="24"/>
        </w:rPr>
        <w:t xml:space="preserve"> is a matrix of original raw data (before normalization), and </w:t>
      </w:r>
      <w:r>
        <w:rPr/>
      </w:r>
      <m:oMath xmlns:m="http://schemas.openxmlformats.org/officeDocument/2006/math">
        <m:sSub>
          <m:e>
            <m:r>
              <w:rPr>
                <w:rFonts w:ascii="Cambria Math" w:hAnsi="Cambria Math"/>
              </w:rPr>
              <m:t xml:space="preserve">min</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max</m:t>
            </m:r>
          </m:e>
          <m:sub>
            <m:r>
              <w:rPr>
                <w:rFonts w:ascii="Cambria Math" w:hAnsi="Cambria Math"/>
              </w:rPr>
              <m:t xml:space="preserve">l</m:t>
            </m:r>
          </m:sub>
        </m:sSub>
      </m:oMath>
      <w:r>
        <w:rPr>
          <w:rFonts w:cs="Times New Roman"/>
          <w:sz w:val="24"/>
          <w:szCs w:val="24"/>
        </w:rPr>
        <w:t xml:space="preserve"> are the Minimum and Maximum thresholds as explained above.</w:t>
      </w:r>
    </w:p>
    <w:p>
      <w:pPr>
        <w:pStyle w:val="Normal"/>
        <w:spacing w:lineRule="auto" w:line="360" w:before="120" w:after="0"/>
        <w:jc w:val="both"/>
        <w:rPr/>
      </w:pPr>
      <w:r>
        <w:rPr>
          <w:rFonts w:cs="Times New Roman"/>
          <w:sz w:val="24"/>
          <w:szCs w:val="24"/>
        </w:rPr>
        <w:t>Another important issue to consider when constructing intervals is the potential presence of outliers and their implications. The outliers that are expected to appear in various data series can substantially widen the intervals to a degree that is detrimental for successful modeling. The cut-off points applied in membership functions by their nature tend to alleviate, at least to some extent, the problem of outliers. In other words, when different measurements are full members of the fuzzy set, they are all assigned the value of 1, no matter how much their original values differ. The same holds for measurements that are definitely not members of the fuzzy set – all of them are assigned the value of 0, no matter how much their original values differ.</w:t>
      </w:r>
    </w:p>
    <w:p>
      <w:pPr>
        <w:pStyle w:val="Normal"/>
        <w:spacing w:lineRule="auto" w:line="360" w:before="120" w:after="0"/>
        <w:jc w:val="both"/>
        <w:rPr/>
      </w:pPr>
      <w:r>
        <w:rPr>
          <w:rFonts w:cs="Times New Roman"/>
          <w:sz w:val="24"/>
          <w:szCs w:val="24"/>
        </w:rPr>
        <w:t>Once all the values of the matrix are converted into the grades of membership, then we can sort values in each row from the smallest to the largest since now they are all members of the same fuzzy set. This way, for every row (for every record), we construct intervals consisting of grades of membership.</w:t>
      </w:r>
    </w:p>
    <w:p>
      <w:pPr>
        <w:pStyle w:val="Normal"/>
        <w:spacing w:lineRule="auto" w:line="360" w:before="120" w:after="0"/>
        <w:jc w:val="both"/>
        <w:rPr/>
      </w:pPr>
      <w:r>
        <w:rPr>
          <w:rFonts w:cs="Times New Roman"/>
          <w:sz w:val="24"/>
          <w:szCs w:val="24"/>
        </w:rPr>
        <w:t>Note: Following this stage, the new matrix loses its original structure by its initial vectors. Now we have a matrix, such that in each row, the first element on the left side is the minimum value for that row, the next one is the second smallest value and so on until we reach the last value on the right side, which is the maximum for that row.</w:t>
      </w:r>
    </w:p>
    <w:p>
      <w:pPr>
        <w:pStyle w:val="Normal"/>
        <w:spacing w:lineRule="auto" w:line="360" w:before="120" w:after="0"/>
        <w:jc w:val="both"/>
        <w:rPr/>
      </w:pPr>
      <w:r>
        <w:rPr>
          <w:rFonts w:cs="Times New Roman"/>
          <w:sz w:val="24"/>
          <w:szCs w:val="24"/>
        </w:rPr>
        <w:t xml:space="preserve">We utilize the Range Reduction Algorithm (RRA), which is explained in detail in [12] and [8]. RRA is applied to reduce the range of intervals by deleting outliers. RRA also identifies cases where interval reduction is not working, and the length of the interval is such, as to seriously question the reliability of the data in that record. In such cases the data for that specific record are deleted. </w:t>
      </w:r>
    </w:p>
    <w:p>
      <w:pPr>
        <w:pStyle w:val="Normal"/>
        <w:spacing w:lineRule="auto" w:line="360" w:before="120" w:after="0"/>
        <w:jc w:val="both"/>
        <w:rPr/>
      </w:pPr>
      <w:r>
        <w:rPr>
          <w:rFonts w:cs="Times New Roman"/>
          <w:b/>
          <w:bCs/>
          <w:sz w:val="24"/>
          <w:szCs w:val="24"/>
        </w:rPr>
        <w:t>Soft Regression</w:t>
      </w:r>
      <w:r>
        <w:rPr>
          <w:rFonts w:cs="Times New Roman"/>
          <w:sz w:val="24"/>
          <w:szCs w:val="24"/>
        </w:rPr>
        <w:tab/>
      </w:r>
    </w:p>
    <w:p>
      <w:pPr>
        <w:pStyle w:val="Normal"/>
        <w:spacing w:lineRule="auto" w:line="360" w:before="120" w:after="120"/>
        <w:jc w:val="both"/>
        <w:rPr/>
      </w:pPr>
      <w:r>
        <w:rPr>
          <w:rFonts w:cs="Times New Roman"/>
          <w:b/>
          <w:bCs/>
          <w:sz w:val="24"/>
          <w:szCs w:val="24"/>
        </w:rPr>
        <w:t>Basic Terms</w:t>
      </w:r>
    </w:p>
    <w:p>
      <w:pPr>
        <w:pStyle w:val="ListParagraph"/>
        <w:spacing w:lineRule="auto" w:line="360" w:before="120" w:after="0"/>
        <w:ind w:left="0" w:hanging="0"/>
        <w:contextualSpacing/>
        <w:jc w:val="both"/>
        <w:rPr/>
      </w:pPr>
      <w:r>
        <w:rPr>
          <w:rFonts w:cs="Times New Roman"/>
          <w:b/>
          <w:bCs/>
          <w:sz w:val="24"/>
          <w:szCs w:val="24"/>
        </w:rPr>
        <w:t>Similarity</w:t>
      </w:r>
      <w:r>
        <w:rPr>
          <w:rFonts w:cs="Times New Roman"/>
          <w:sz w:val="24"/>
          <w:szCs w:val="24"/>
        </w:rPr>
        <w:t xml:space="preserve">: Denoted </w:t>
      </w:r>
      <w:r>
        <w:rPr/>
      </w:r>
      <m:oMath xmlns:m="http://schemas.openxmlformats.org/officeDocument/2006/math">
        <m:sSub>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sub>
        </m:sSub>
      </m:oMath>
      <w:r>
        <w:rPr>
          <w:rFonts w:cs="Times New Roman"/>
          <w:sz w:val="24"/>
          <w:szCs w:val="24"/>
        </w:rPr>
        <w:t xml:space="preserve"> and ranges between 0 and 1.  </w:t>
      </w:r>
    </w:p>
    <w:p>
      <w:pPr>
        <w:pStyle w:val="ListParagraph"/>
        <w:spacing w:lineRule="auto" w:line="360" w:before="120" w:after="120"/>
        <w:ind w:left="0" w:hanging="0"/>
        <w:contextualSpacing/>
        <w:jc w:val="both"/>
        <w:rPr/>
      </w:pPr>
      <w:r>
        <w:rPr>
          <w:rFonts w:cs="Times New Roman"/>
          <w:sz w:val="24"/>
          <w:szCs w:val="24"/>
        </w:rPr>
        <w:t>In the Soft Regression method, we utilize the measure of similarity which indicates the degree to which explanatory variable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rFonts w:cs="Times New Roman"/>
          <w:sz w:val="24"/>
          <w:szCs w:val="24"/>
        </w:rPr>
        <w:t>) behaves in a similar pattern, whether direct or inverse, in comparison to dependent variable (</w:t>
      </w:r>
      <w:r>
        <w:rPr/>
      </w:r>
      <m:oMath xmlns:m="http://schemas.openxmlformats.org/officeDocument/2006/math">
        <m:r>
          <w:rPr>
            <w:rFonts w:ascii="Cambria Math" w:hAnsi="Cambria Math"/>
          </w:rPr>
          <m:t xml:space="preserve">Y</m:t>
        </m:r>
      </m:oMath>
      <w:r>
        <w:rPr>
          <w:rFonts w:cs="Times New Roman"/>
          <w:sz w:val="24"/>
          <w:szCs w:val="24"/>
        </w:rPr>
        <w:t>). Therefore, the measure of similarity</w:t>
      </w:r>
      <w:r>
        <w:rPr/>
      </w:r>
      <m:oMath xmlns:m="http://schemas.openxmlformats.org/officeDocument/2006/math">
        <m:sSub>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sub>
        </m:sSub>
      </m:oMath>
      <w:r>
        <w:rPr>
          <w:rFonts w:cs="Times New Roman"/>
          <w:sz w:val="24"/>
          <w:szCs w:val="24"/>
        </w:rPr>
        <w:t xml:space="preserve"> is an equivalent to the statistical measures of significance (t-tests or sig.). Significant relation is found with similarity levels of</w:t>
      </w:r>
      <w:r>
        <w:rPr/>
      </w:r>
      <m:oMath xmlns:m="http://schemas.openxmlformats.org/officeDocument/2006/math">
        <m:sSub>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sub>
        </m:sSub>
        <m:r>
          <w:rPr>
            <w:rFonts w:ascii="Cambria Math" w:hAnsi="Cambria Math"/>
          </w:rPr>
          <m:t xml:space="preserve">≥</m:t>
        </m:r>
        <m:r>
          <w:rPr>
            <w:rFonts w:ascii="Cambria Math" w:hAnsi="Cambria Math"/>
          </w:rPr>
          <m:t xml:space="preserve">0.8</m:t>
        </m:r>
      </m:oMath>
      <w:r>
        <w:rPr>
          <w:rFonts w:cs="Times New Roman"/>
          <w:sz w:val="24"/>
          <w:szCs w:val="24"/>
        </w:rPr>
        <w:t>.  However, in addition to fully significant relation, there is an option of partial significance</w:t>
      </w:r>
      <w:r>
        <w:rPr/>
      </w:r>
      <m:oMath xmlns:m="http://schemas.openxmlformats.org/officeDocument/2006/math">
        <m:r>
          <w:rPr>
            <w:rFonts w:ascii="Cambria Math" w:hAnsi="Cambria Math"/>
          </w:rPr>
          <m:t xml:space="preserve">0.7</m:t>
        </m:r>
        <m:r>
          <w:rPr>
            <w:rFonts w:ascii="Cambria Math" w:hAnsi="Cambria Math"/>
          </w:rPr>
          <m:t xml:space="preserve">&lt;</m:t>
        </m:r>
        <m:sSub>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sub>
        </m:sSub>
        <m:r>
          <w:rPr>
            <w:rFonts w:ascii="Cambria Math" w:hAnsi="Cambria Math"/>
          </w:rPr>
          <m:t xml:space="preserve">&lt;</m:t>
        </m:r>
        <m:r>
          <w:rPr>
            <w:rFonts w:ascii="Cambria Math" w:hAnsi="Cambria Math"/>
          </w:rPr>
          <m:t xml:space="preserve">0.8</m:t>
        </m:r>
      </m:oMath>
      <w:r>
        <w:rPr>
          <w:rFonts w:cs="Times New Roman"/>
          <w:sz w:val="24"/>
          <w:szCs w:val="24"/>
        </w:rPr>
        <w:t xml:space="preserve">, so that as </w:t>
      </w:r>
      <w:r>
        <w:rPr/>
      </w:r>
      <m:oMath xmlns:m="http://schemas.openxmlformats.org/officeDocument/2006/math">
        <m:sSub>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sub>
        </m:sSub>
      </m:oMath>
      <w:r>
        <w:rPr>
          <w:rFonts w:cs="Times New Roman"/>
          <w:sz w:val="24"/>
          <w:szCs w:val="24"/>
        </w:rPr>
        <w:t xml:space="preserve">is approaching closer to 0.7, it is closer to insignificance </w:t>
      </w:r>
      <w:r>
        <w:rPr>
          <w:rFonts w:cs="Times New Roman"/>
          <w:sz w:val="24"/>
          <w:szCs w:val="24"/>
          <w:highlight w:val="white"/>
        </w:rPr>
        <w:t>(Yosef et.al, 2021)</w:t>
      </w:r>
      <w:r>
        <w:rPr>
          <w:rFonts w:cs="Times New Roman"/>
          <w:sz w:val="24"/>
          <w:szCs w:val="24"/>
        </w:rPr>
        <w:t xml:space="preserve">. When the similarity measure is below 0.7, the explanatory variable is insignificant. The gradual transition from being fully significant to being fully insignificant provides additional stability to the modeling process while utilizing SR. </w:t>
      </w:r>
    </w:p>
    <w:p>
      <w:pPr>
        <w:pStyle w:val="ListParagraph"/>
        <w:spacing w:lineRule="auto" w:line="360" w:before="120" w:after="120"/>
        <w:ind w:left="0" w:hanging="0"/>
        <w:contextualSpacing/>
        <w:jc w:val="both"/>
        <w:rPr>
          <w:rFonts w:cs="Times New Roman"/>
          <w:sz w:val="24"/>
          <w:szCs w:val="24"/>
        </w:rPr>
      </w:pPr>
      <w:r>
        <w:rPr>
          <w:rFonts w:cs="Times New Roman"/>
          <w:sz w:val="24"/>
          <w:szCs w:val="24"/>
        </w:rPr>
      </w:r>
    </w:p>
    <w:p>
      <w:pPr>
        <w:pStyle w:val="ListParagraph"/>
        <w:spacing w:lineRule="auto" w:line="360"/>
        <w:ind w:left="0" w:hanging="0"/>
        <w:jc w:val="both"/>
        <w:rPr/>
      </w:pPr>
      <w:r>
        <w:rPr>
          <w:rFonts w:cs="Times New Roman"/>
          <w:b/>
          <w:bCs/>
          <w:sz w:val="24"/>
          <w:szCs w:val="24"/>
        </w:rPr>
        <w:t>Combined Similarity</w:t>
      </w:r>
      <w:r>
        <w:rPr>
          <w:rFonts w:cs="Times New Roman"/>
          <w:sz w:val="24"/>
          <w:szCs w:val="24"/>
        </w:rPr>
        <w:t xml:space="preserve"> </w:t>
      </w:r>
      <w:r>
        <w:rPr>
          <w:rFonts w:cs="Times New Roman"/>
          <w:b/>
          <w:bCs/>
          <w:sz w:val="24"/>
          <w:szCs w:val="24"/>
        </w:rPr>
        <w:t>of all explanatory variables to the dependent variable</w:t>
      </w:r>
      <w:r>
        <w:rPr>
          <w:rFonts w:cs="Times New Roman"/>
          <w:sz w:val="24"/>
          <w:szCs w:val="24"/>
        </w:rPr>
        <w:t xml:space="preserve">:  </w:t>
      </w:r>
    </w:p>
    <w:p>
      <w:pPr>
        <w:pStyle w:val="ListParagraph"/>
        <w:spacing w:lineRule="auto" w:line="360"/>
        <w:ind w:left="0" w:hanging="0"/>
        <w:jc w:val="both"/>
        <w:rPr/>
      </w:pPr>
      <w:r>
        <w:rPr>
          <w:rFonts w:cs="Times New Roman"/>
          <w:sz w:val="24"/>
          <w:szCs w:val="24"/>
        </w:rPr>
        <w:t xml:space="preserve">Denoted </w:t>
      </w:r>
      <w:r>
        <w:rPr/>
      </w:r>
      <m:oMath xmlns:m="http://schemas.openxmlformats.org/officeDocument/2006/math">
        <m:sSubSup>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sub>
          <m:sup>
            <m:r>
              <w:rPr>
                <w:rFonts w:ascii="Cambria Math" w:hAnsi="Cambria Math"/>
              </w:rPr>
              <m:t xml:space="preserve">Comb</m:t>
            </m:r>
          </m:sup>
        </m:sSubSup>
      </m:oMath>
      <w:r>
        <w:rPr>
          <w:rFonts w:cs="Times New Roman"/>
          <w:b/>
          <w:bCs/>
          <w:color w:val="0070C0"/>
          <w:sz w:val="24"/>
          <w:szCs w:val="24"/>
        </w:rPr>
        <w:t xml:space="preserve">  </w:t>
      </w:r>
      <w:r>
        <w:rPr>
          <w:rFonts w:cs="Times New Roman"/>
          <w:sz w:val="24"/>
          <w:szCs w:val="24"/>
        </w:rPr>
        <w:t>and ranges between 0 and 1. Once similarity measures are computed for all the explanatory variables (</w:t>
      </w:r>
      <w:r>
        <w:rPr/>
      </w:r>
      <m:oMath xmlns:m="http://schemas.openxmlformats.org/officeDocument/2006/math">
        <m:sSubSup>
          <m:e>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e>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oMath>
      <w:r>
        <w:rPr>
          <w:rFonts w:cs="Times New Roman"/>
          <w:sz w:val="24"/>
          <w:szCs w:val="24"/>
        </w:rPr>
        <w:t>), the next step is to calculate collective contribution of all the explanatory variables combined in explaining the behavior of dependent variable (</w:t>
      </w:r>
      <w:r>
        <w:rPr/>
      </w:r>
      <m:oMath xmlns:m="http://schemas.openxmlformats.org/officeDocument/2006/math">
        <m:r>
          <w:rPr>
            <w:rFonts w:ascii="Cambria Math" w:hAnsi="Cambria Math"/>
          </w:rPr>
          <m:t xml:space="preserve">Y</m:t>
        </m:r>
      </m:oMath>
      <w:r>
        <w:rPr>
          <w:rFonts w:cs="Times New Roman"/>
          <w:sz w:val="24"/>
          <w:szCs w:val="24"/>
        </w:rPr>
        <w:t xml:space="preserve">). This measure is denoted </w:t>
      </w:r>
      <w:r>
        <w:rPr/>
      </w:r>
      <m:oMath xmlns:m="http://schemas.openxmlformats.org/officeDocument/2006/math">
        <m:sSubSup>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sub>
          <m:sup>
            <m:r>
              <w:rPr>
                <w:rFonts w:ascii="Cambria Math" w:hAnsi="Cambria Math"/>
              </w:rPr>
              <m:t xml:space="preserve">Comb</m:t>
            </m:r>
          </m:sup>
        </m:sSubSup>
      </m:oMath>
      <w:r>
        <w:rPr>
          <w:rFonts w:cs="Times New Roman"/>
          <w:sz w:val="24"/>
          <w:szCs w:val="24"/>
        </w:rPr>
        <w:t xml:space="preserve">. It reflects, to what degree all the explanatory variables combined, explain the behavior of the dependent variable, which is equivalent to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rFonts w:cs="Times New Roman"/>
          <w:sz w:val="24"/>
          <w:szCs w:val="24"/>
        </w:rPr>
        <w:t xml:space="preserve"> adjusted, used in the conventional regression methods. One important difference between the two measurement methods is that by using  </w:t>
      </w:r>
      <w:r>
        <w:rPr/>
      </w:r>
      <m:oMath xmlns:m="http://schemas.openxmlformats.org/officeDocument/2006/math">
        <m:sSubSup>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sub>
          <m:sup>
            <m:r>
              <w:rPr>
                <w:rFonts w:ascii="Cambria Math" w:hAnsi="Cambria Math"/>
              </w:rPr>
              <m:t xml:space="preserve">Comb</m:t>
            </m:r>
          </m:sup>
        </m:sSubSup>
      </m:oMath>
      <w:r>
        <w:rPr>
          <w:rFonts w:cs="Times New Roman"/>
          <w:sz w:val="24"/>
          <w:szCs w:val="24"/>
        </w:rPr>
        <w:t xml:space="preserve"> we allow for overlap of explanatory variables in their relations with the dependent variable (which is of course more reasonable and more in line with the “real world” behavior), and therefore explanatory variables are not required to be independent of each other.</w:t>
      </w:r>
    </w:p>
    <w:p>
      <w:pPr>
        <w:pStyle w:val="ListParagraph"/>
        <w:spacing w:lineRule="auto" w:line="360" w:before="120" w:after="0"/>
        <w:ind w:left="0" w:hanging="0"/>
        <w:contextualSpacing/>
        <w:jc w:val="both"/>
        <w:rPr/>
      </w:pPr>
      <w:r>
        <w:rPr>
          <w:rFonts w:cs="Times New Roman"/>
          <w:b/>
          <w:bCs/>
          <w:sz w:val="24"/>
          <w:szCs w:val="24"/>
        </w:rPr>
        <w:t>Relative Importance of explanatory variables</w:t>
      </w:r>
      <w:r>
        <w:rPr>
          <w:rFonts w:cs="Times New Roman"/>
          <w:sz w:val="24"/>
          <w:szCs w:val="24"/>
        </w:rPr>
        <w:t>: Denoted RELIMP</w:t>
      </w:r>
    </w:p>
    <w:p>
      <w:pPr>
        <w:pStyle w:val="ListParagraph"/>
        <w:spacing w:lineRule="auto" w:line="360"/>
        <w:ind w:left="0" w:hanging="0"/>
        <w:jc w:val="both"/>
        <w:rPr/>
      </w:pPr>
      <w:r>
        <w:rPr>
          <w:rFonts w:cs="Times New Roman"/>
          <w:sz w:val="24"/>
          <w:szCs w:val="24"/>
        </w:rPr>
        <w:t>The way to compute relative importance of the explanatory variables (</w:t>
      </w:r>
      <w:r>
        <w:rPr/>
      </w:r>
      <m:oMath xmlns:m="http://schemas.openxmlformats.org/officeDocument/2006/math">
        <m:sSubSup>
          <m:e>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e>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oMath>
      <w:r>
        <w:rPr>
          <w:rFonts w:cs="Times New Roman"/>
          <w:sz w:val="24"/>
          <w:szCs w:val="24"/>
        </w:rPr>
        <w:t xml:space="preserve">) is to find out how much each of them contributes to the </w:t>
      </w:r>
      <w:r>
        <w:rPr/>
      </w:r>
      <m:oMath xmlns:m="http://schemas.openxmlformats.org/officeDocument/2006/math">
        <m:sSubSup>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sub>
          <m:sup>
            <m:r>
              <w:rPr>
                <w:rFonts w:ascii="Cambria Math" w:hAnsi="Cambria Math"/>
              </w:rPr>
              <m:t xml:space="preserve">Comb</m:t>
            </m:r>
          </m:sup>
        </m:sSubSup>
      </m:oMath>
      <w:r>
        <w:rPr>
          <w:rFonts w:cs="Times New Roman"/>
          <w:sz w:val="24"/>
          <w:szCs w:val="24"/>
        </w:rPr>
        <w:t xml:space="preserve">. To compute Adjusted RELIMP we divide the RELIMP of each explanatory variable by </w:t>
      </w:r>
      <w:r>
        <w:rPr/>
      </w:r>
      <m:oMath xmlns:m="http://schemas.openxmlformats.org/officeDocument/2006/math">
        <m:sSubSup>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sub>
          <m:sup>
            <m:r>
              <w:rPr>
                <w:rFonts w:ascii="Cambria Math" w:hAnsi="Cambria Math"/>
              </w:rPr>
              <m:t xml:space="preserve">Comb</m:t>
            </m:r>
          </m:sup>
        </m:sSubSup>
      </m:oMath>
      <w:r>
        <w:rPr>
          <w:rFonts w:cs="Times New Roman"/>
          <w:sz w:val="24"/>
          <w:szCs w:val="24"/>
        </w:rPr>
        <w:t xml:space="preserve">. For models characterized by high value of </w:t>
      </w:r>
      <w:r>
        <w:rPr/>
      </w:r>
      <m:oMath xmlns:m="http://schemas.openxmlformats.org/officeDocument/2006/math">
        <m:sSubSup>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sub>
          <m:sup>
            <m:r>
              <w:rPr>
                <w:rFonts w:ascii="Cambria Math" w:hAnsi="Cambria Math"/>
              </w:rPr>
              <m:t xml:space="preserve">Comb</m:t>
            </m:r>
          </m:sup>
        </m:sSubSup>
      </m:oMath>
      <w:r>
        <w:rPr>
          <w:rFonts w:cs="Times New Roman"/>
          <w:sz w:val="24"/>
          <w:szCs w:val="24"/>
        </w:rPr>
        <w:t xml:space="preserve">, both RELIMP and the Adjusted RELIMP generate very similar results. However, when the value of </w:t>
      </w:r>
      <w:r>
        <w:rPr/>
      </w:r>
      <m:oMath xmlns:m="http://schemas.openxmlformats.org/officeDocument/2006/math">
        <m:sSubSup>
          <m:e>
            <m:r>
              <w:rPr>
                <w:rFonts w:ascii="Cambria Math" w:hAnsi="Cambria Math"/>
              </w:rPr>
              <m:t xml:space="preserve">S</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sub>
          <m:sup>
            <m:r>
              <w:rPr>
                <w:rFonts w:ascii="Cambria Math" w:hAnsi="Cambria Math"/>
              </w:rPr>
              <m:t xml:space="preserve">Comb</m:t>
            </m:r>
          </m:sup>
        </m:sSubSup>
      </m:oMath>
      <w:r>
        <w:rPr>
          <w:rFonts w:cs="Times New Roman"/>
          <w:sz w:val="24"/>
          <w:szCs w:val="24"/>
        </w:rPr>
        <w:t xml:space="preserve">is low, Adjusted RELIMP is preferable, as its value is more reasonable for variables, which are close to being insignificant. </w:t>
      </w:r>
    </w:p>
    <w:p>
      <w:pPr>
        <w:pStyle w:val="ListParagraph"/>
        <w:spacing w:lineRule="auto" w:line="360"/>
        <w:ind w:left="0" w:hanging="0"/>
        <w:jc w:val="both"/>
        <w:rPr/>
      </w:pPr>
      <w:r>
        <w:rPr>
          <w:rFonts w:cs="Times New Roman"/>
          <w:sz w:val="24"/>
          <w:szCs w:val="24"/>
        </w:rPr>
        <w:t>Relative importance of a given explanatory variable (in contrast to traditional regression methods) is not affected by correlation with other explanatory variables and is determined solely by the contribution of a given explanatory variable to explaining the behavior of the dependent variable. In models characterized by a substantial correlation among at least some explanatory variables, SR is a more reliable tool to compute RELIMP in comparison to MVR [7], [13].</w:t>
      </w:r>
    </w:p>
    <w:p>
      <w:pPr>
        <w:pStyle w:val="Normal"/>
        <w:spacing w:lineRule="auto" w:line="360" w:before="120" w:after="0"/>
        <w:jc w:val="both"/>
        <w:rPr/>
      </w:pPr>
      <w:r>
        <w:rPr>
          <w:rFonts w:cs="Times New Roman"/>
          <w:sz w:val="24"/>
          <w:szCs w:val="24"/>
        </w:rPr>
        <w:t>As was described in the section “Data Preparation”, when using data expressed as intervals of values, it is necessary to run soft regression four times for every year (Max values for all variables, Min values for all variables, Max for dependent variables vs. Min values of explanatory variables, and Min for dependent variable vs. Max values of explanatory variables). The four regression runs generate four results, which again appear as a range between the lowest result and the highest results. Hence, the value of a potential is expressed as an interval.</w:t>
      </w:r>
    </w:p>
    <w:p>
      <w:pPr>
        <w:pStyle w:val="Normal"/>
        <w:tabs>
          <w:tab w:val="center" w:pos="4320" w:leader="none"/>
        </w:tabs>
        <w:spacing w:lineRule="auto" w:line="360" w:before="120" w:after="0"/>
        <w:jc w:val="both"/>
        <w:rPr>
          <w:rFonts w:cs="Times New Roman"/>
          <w:b/>
          <w:b/>
          <w:bCs/>
          <w:sz w:val="24"/>
          <w:szCs w:val="24"/>
        </w:rPr>
      </w:pPr>
      <w:r>
        <w:rPr>
          <w:rFonts w:cs="Times New Roman"/>
          <w:b/>
          <w:bCs/>
          <w:sz w:val="24"/>
          <w:szCs w:val="24"/>
        </w:rPr>
      </w:r>
    </w:p>
    <w:p>
      <w:pPr>
        <w:pStyle w:val="Standard"/>
        <w:spacing w:before="0" w:after="120"/>
        <w:jc w:val="both"/>
        <w:rPr>
          <w:rFonts w:ascii="Times New Roman" w:hAnsi="Times New Roman" w:cs="Times New Roman"/>
          <w:b/>
          <w:b/>
          <w:lang w:val="en-GB"/>
        </w:rPr>
      </w:pPr>
      <w:r>
        <w:rPr>
          <w:rFonts w:cs="Times New Roman" w:ascii="Times New Roman" w:hAnsi="Times New Roman"/>
          <w:b/>
          <w:lang w:val="en-GB"/>
        </w:rPr>
      </w:r>
    </w:p>
    <w:p>
      <w:pPr>
        <w:pStyle w:val="Standard"/>
        <w:rPr>
          <w:rFonts w:ascii="Times New Roman" w:hAnsi="Times New Roman" w:cs="Times New Roman"/>
          <w:b/>
          <w:b/>
          <w:lang w:val="en-GB"/>
        </w:rPr>
      </w:pPr>
      <w:r>
        <w:rPr>
          <w:rFonts w:cs="Times New Roman" w:ascii="Times New Roman" w:hAnsi="Times New Roman"/>
          <w:b/>
          <w:lang w:val="en-GB"/>
        </w:rPr>
        <w:t>Data and Research methodology:</w:t>
      </w:r>
    </w:p>
    <w:p>
      <w:pPr>
        <w:pStyle w:val="Standard"/>
        <w:rPr>
          <w:rFonts w:ascii="Times New Roman" w:hAnsi="Times New Roman" w:cs="Times New Roman"/>
          <w:b/>
          <w:b/>
          <w:lang w:val="en-GB"/>
        </w:rPr>
      </w:pPr>
      <w:r>
        <w:rPr>
          <w:rFonts w:cs="Times New Roman" w:ascii="Times New Roman" w:hAnsi="Times New Roman"/>
          <w:b/>
          <w:lang w:val="en-GB"/>
        </w:rPr>
      </w:r>
    </w:p>
    <w:p>
      <w:pPr>
        <w:pStyle w:val="Standard"/>
        <w:ind w:firstLine="360"/>
        <w:rPr>
          <w:rFonts w:ascii="The data utilized in this resea" w:hAnsi="The data utilized in this resea"/>
        </w:rPr>
      </w:pPr>
      <w:r>
        <w:rPr>
          <w:rFonts w:ascii="The data utilized in this resea" w:hAnsi="The data utilized in this resea"/>
        </w:rPr>
        <w:t>The data utilized in this research were downloaded mostly from the World Bank database. Some of the data series appear more than once because each time such data were downloaded, the values were different for the same year. There are following reasons for the difference in values:</w:t>
      </w:r>
    </w:p>
    <w:p>
      <w:pPr>
        <w:pStyle w:val="Standard"/>
        <w:rPr>
          <w:rFonts w:ascii="The data utilized in this resea" w:hAnsi="The data utilized in this resea"/>
        </w:rPr>
      </w:pPr>
      <w:r>
        <w:rPr>
          <w:rFonts w:ascii="The data utilized in this resea" w:hAnsi="The data utilized in this resea"/>
        </w:rPr>
      </w:r>
    </w:p>
    <w:p>
      <w:pPr>
        <w:pStyle w:val="ListParagraph"/>
        <w:numPr>
          <w:ilvl w:val="0"/>
          <w:numId w:val="2"/>
        </w:numPr>
        <w:rPr>
          <w:rFonts w:ascii="The data utilized in this resea" w:hAnsi="The data utilized in this resea"/>
          <w:szCs w:val="24"/>
        </w:rPr>
      </w:pPr>
      <w:r>
        <w:rPr>
          <w:rFonts w:ascii="The data utilized in this resea" w:hAnsi="The data utilized in this resea"/>
          <w:szCs w:val="24"/>
        </w:rPr>
        <w:t>The base years for measurements in constant US dollars were different.</w:t>
      </w:r>
    </w:p>
    <w:p>
      <w:pPr>
        <w:pStyle w:val="ListParagraph"/>
        <w:numPr>
          <w:ilvl w:val="0"/>
          <w:numId w:val="1"/>
        </w:numPr>
        <w:rPr>
          <w:rFonts w:ascii="The data utilized in this resea" w:hAnsi="The data utilized in this resea"/>
          <w:szCs w:val="24"/>
        </w:rPr>
      </w:pPr>
      <w:r>
        <w:rPr>
          <w:rFonts w:ascii="The data utilized in this resea" w:hAnsi="The data utilized in this resea"/>
          <w:szCs w:val="24"/>
        </w:rPr>
        <w:t>Changes of definitions for measuring any given data series took place several times. The timing of such changes has been unpredictable, and when new definition was applied, all the data for previous periods were deleted from the database, thus causing loss of information.</w:t>
      </w:r>
    </w:p>
    <w:p>
      <w:pPr>
        <w:pStyle w:val="ListParagraph"/>
        <w:numPr>
          <w:ilvl w:val="0"/>
          <w:numId w:val="1"/>
        </w:numPr>
        <w:rPr>
          <w:rFonts w:ascii="The data utilized in this resea" w:hAnsi="The data utilized in this resea"/>
          <w:szCs w:val="24"/>
        </w:rPr>
      </w:pPr>
      <w:r>
        <w:rPr>
          <w:rFonts w:ascii="The data utilized in this resea" w:hAnsi="The data utilized in this resea"/>
          <w:szCs w:val="24"/>
        </w:rPr>
        <w:t>Since not all countries responded immediately to new definitions, for some countries no new data appeared, while old data were deleted, which means that in different downloads, the set of countries is not the same.</w:t>
      </w:r>
    </w:p>
    <w:p>
      <w:pPr>
        <w:pStyle w:val="Standard"/>
        <w:rPr>
          <w:rFonts w:ascii="The data utilized in this resea" w:hAnsi="The data utilized in this resea"/>
        </w:rPr>
      </w:pPr>
      <w:r>
        <w:rPr>
          <w:rFonts w:ascii="The data utilized in this resea" w:hAnsi="The data utilized in this resea"/>
        </w:rPr>
      </w:r>
    </w:p>
    <w:p>
      <w:pPr>
        <w:pStyle w:val="Standard"/>
        <w:ind w:firstLine="360"/>
        <w:rPr>
          <w:rFonts w:ascii="The data utilized in this resea" w:hAnsi="The data utilized in this resea"/>
        </w:rPr>
      </w:pPr>
      <w:r>
        <w:rPr>
          <w:rFonts w:ascii="The data utilized in this resea" w:hAnsi="The data utilized in this resea"/>
        </w:rPr>
        <w:t>It should be kept in mind, that Soft Regression is a soft computing tool that is designed in the first place to handle imprecise (in terms of definition and measurement) data, and therefore is appropriate tool for utilization of different data series that supposedly measure the same thing. Utilizing as many data series (representing the same factor) as possible increases the amount of countries analyzed and increases confidence in model’s conclusions.</w:t>
      </w:r>
    </w:p>
    <w:p>
      <w:pPr>
        <w:pStyle w:val="Standard"/>
        <w:ind w:firstLine="360"/>
        <w:rPr>
          <w:rFonts w:ascii="Times New Roman" w:hAnsi="Times New Roman" w:cs="Times New Roman"/>
        </w:rPr>
      </w:pPr>
      <w:r>
        <w:rPr>
          <w:rFonts w:cs="Times New Roman" w:ascii="Times New Roman" w:hAnsi="Times New Roman"/>
        </w:rPr>
      </w:r>
    </w:p>
    <w:p>
      <w:pPr>
        <w:pStyle w:val="Standard"/>
        <w:ind w:firstLine="360"/>
        <w:rPr>
          <w:rFonts w:ascii="Times New Roman" w:hAnsi="Times New Roman" w:cs="Times New Roman"/>
          <w:lang w:val="en-GB"/>
        </w:rPr>
      </w:pPr>
      <w:r>
        <w:rPr>
          <w:rFonts w:cs="Times New Roman" w:ascii="Times New Roman" w:hAnsi="Times New Roman"/>
          <w:lang w:val="en-GB"/>
        </w:rPr>
        <w:t>Table 1 describes the variables used in this study and the number of estimators used to estimate the range of each one of the three variables.  In Appendix A, a complete description of every estimator is given.</w:t>
      </w:r>
    </w:p>
    <w:p>
      <w:pPr>
        <w:pStyle w:val="Standard"/>
        <w:rPr>
          <w:rFonts w:ascii="Times New Roman" w:hAnsi="Times New Roman" w:cs="Times New Roman"/>
          <w:lang w:val="en-GB"/>
        </w:rPr>
      </w:pPr>
      <w:r>
        <w:rPr>
          <w:rFonts w:cs="Times New Roman" w:ascii="Times New Roman" w:hAnsi="Times New Roman"/>
          <w:lang w:val="en-GB"/>
        </w:rPr>
      </w:r>
    </w:p>
    <w:p>
      <w:pPr>
        <w:pStyle w:val="Standard"/>
        <w:spacing w:before="0" w:after="120"/>
        <w:jc w:val="both"/>
        <w:rPr>
          <w:rFonts w:ascii="Times New Roman" w:hAnsi="Times New Roman" w:cs="Times New Roman"/>
          <w:lang w:val="en-GB"/>
        </w:rPr>
      </w:pPr>
      <w:r>
        <w:rPr>
          <w:rFonts w:cs="Times New Roman" w:ascii="Times New Roman" w:hAnsi="Times New Roman"/>
          <w:lang w:val="en-GB"/>
        </w:rPr>
        <w:t>Table 1 Description of variables and composite of its estimators</w:t>
      </w:r>
    </w:p>
    <w:tbl>
      <w:tblPr>
        <w:tblW w:w="7419" w:type="dxa"/>
        <w:jc w:val="left"/>
        <w:tblInd w:w="51"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noVBand="0" w:val="0000" w:noHBand="0" w:lastColumn="0" w:firstColumn="0" w:lastRow="0" w:firstRow="0"/>
      </w:tblPr>
      <w:tblGrid>
        <w:gridCol w:w="1479"/>
        <w:gridCol w:w="3600"/>
        <w:gridCol w:w="2340"/>
      </w:tblGrid>
      <w:tr>
        <w:trPr/>
        <w:tc>
          <w:tcPr>
            <w:tcW w:w="1479"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Variables</w:t>
            </w:r>
          </w:p>
        </w:tc>
        <w:tc>
          <w:tcPr>
            <w:tcW w:w="3600"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Description</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Source</w:t>
            </w:r>
          </w:p>
        </w:tc>
      </w:tr>
      <w:tr>
        <w:trPr>
          <w:trHeight w:val="422" w:hRule="atLeast"/>
        </w:trPr>
        <w:tc>
          <w:tcPr>
            <w:tcW w:w="1479" w:type="dxa"/>
            <w:tcBorders>
              <w:top w:val="single" w:sz="4" w:space="0" w:color="000000"/>
              <w:left w:val="single" w:sz="4" w:space="0" w:color="000000"/>
              <w:bottom w:val="single" w:sz="4" w:space="0" w:color="000000"/>
              <w:insideH w:val="single" w:sz="4" w:space="0" w:color="000000"/>
            </w:tcBorders>
            <w:shd w:fill="auto" w:val="clear"/>
          </w:tcPr>
          <w:p>
            <w:pPr>
              <w:pStyle w:val="TableContents"/>
              <w:tabs>
                <w:tab w:val="right" w:pos="2089" w:leader="none"/>
              </w:tabs>
              <w:rPr>
                <w:rFonts w:ascii="Times New Roman" w:hAnsi="Times New Roman" w:cs="Times New Roman"/>
              </w:rPr>
            </w:pPr>
            <w:r>
              <w:rPr>
                <w:rFonts w:cs="Times New Roman" w:ascii="Times New Roman" w:hAnsi="Times New Roman"/>
              </w:rPr>
              <w:t>GDP</w:t>
              <w:tab/>
            </w:r>
          </w:p>
        </w:tc>
        <w:tc>
          <w:tcPr>
            <w:tcW w:w="3600"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w:hAnsi="Times New Roman" w:cs="Times New Roman"/>
              </w:rPr>
            </w:pPr>
            <w:r>
              <w:rPr>
                <w:rFonts w:cs="Times New Roman" w:ascii="Times New Roman" w:hAnsi="Times New Roman"/>
              </w:rPr>
              <w:t>For 2014 there are 10 estimators</w:t>
            </w:r>
          </w:p>
          <w:p>
            <w:pPr>
              <w:pStyle w:val="TableContents"/>
              <w:rPr>
                <w:rFonts w:ascii="Times New Roman" w:hAnsi="Times New Roman" w:cs="Times New Roman"/>
              </w:rPr>
            </w:pPr>
            <w:r>
              <w:rPr>
                <w:rFonts w:cs="Times New Roman" w:ascii="Times New Roman" w:hAnsi="Times New Roman"/>
              </w:rPr>
              <w:t>For 2007 there are 16 estimators</w:t>
            </w:r>
          </w:p>
          <w:p>
            <w:pPr>
              <w:pStyle w:val="TableContents"/>
              <w:rPr>
                <w:rFonts w:ascii="Times New Roman" w:hAnsi="Times New Roman" w:cs="Times New Roman"/>
              </w:rPr>
            </w:pPr>
            <w:r>
              <w:rPr>
                <w:rFonts w:cs="Times New Roman" w:ascii="Times New Roman" w:hAnsi="Times New Roman"/>
              </w:rPr>
              <w:t>For 2000 there are 20 estimators</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widowControl w:val="false"/>
              <w:rPr>
                <w:rFonts w:ascii="Times New Roman" w:hAnsi="Times New Roman" w:cs="Times New Roman"/>
              </w:rPr>
            </w:pPr>
            <w:r>
              <w:rPr>
                <w:rFonts w:cs="Times New Roman" w:ascii="Times New Roman" w:hAnsi="Times New Roman"/>
              </w:rPr>
              <w:t>World Bank</w:t>
            </w:r>
          </w:p>
          <w:p>
            <w:pPr>
              <w:pStyle w:val="Standard"/>
              <w:widowControl w:val="false"/>
              <w:rPr>
                <w:rFonts w:ascii="Times New Roman" w:hAnsi="Times New Roman" w:cs="Times New Roman"/>
              </w:rPr>
            </w:pPr>
            <w:r>
              <w:rPr>
                <w:rFonts w:cs="Times New Roman" w:ascii="Times New Roman" w:hAnsi="Times New Roman"/>
              </w:rPr>
              <w:t>BarroLeeDataset</w:t>
            </w:r>
          </w:p>
        </w:tc>
      </w:tr>
      <w:tr>
        <w:trPr>
          <w:trHeight w:val="602" w:hRule="atLeast"/>
        </w:trPr>
        <w:tc>
          <w:tcPr>
            <w:tcW w:w="1479"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w:hAnsi="Times New Roman" w:cs="Times New Roman"/>
              </w:rPr>
            </w:pPr>
            <w:r>
              <w:rPr>
                <w:rFonts w:cs="Times New Roman" w:ascii="Times New Roman" w:hAnsi="Times New Roman"/>
              </w:rPr>
              <w:t>Secondary Education</w:t>
            </w:r>
          </w:p>
        </w:tc>
        <w:tc>
          <w:tcPr>
            <w:tcW w:w="3600"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w:hAnsi="Times New Roman" w:cs="Times New Roman"/>
              </w:rPr>
            </w:pPr>
            <w:r>
              <w:rPr>
                <w:rFonts w:cs="Times New Roman" w:ascii="Times New Roman" w:hAnsi="Times New Roman"/>
              </w:rPr>
              <w:t>For 2014 there are 3 estimators</w:t>
            </w:r>
          </w:p>
          <w:p>
            <w:pPr>
              <w:pStyle w:val="TableContents"/>
              <w:rPr>
                <w:rFonts w:ascii="Times New Roman" w:hAnsi="Times New Roman" w:cs="Times New Roman"/>
              </w:rPr>
            </w:pPr>
            <w:r>
              <w:rPr>
                <w:rFonts w:cs="Times New Roman" w:ascii="Times New Roman" w:hAnsi="Times New Roman"/>
              </w:rPr>
              <w:t>For 2007 there are 3 estimators</w:t>
            </w:r>
          </w:p>
          <w:p>
            <w:pPr>
              <w:pStyle w:val="TableContents"/>
              <w:rPr>
                <w:rFonts w:ascii="Times New Roman" w:hAnsi="Times New Roman" w:cs="Times New Roman"/>
              </w:rPr>
            </w:pPr>
            <w:r>
              <w:rPr>
                <w:rFonts w:cs="Times New Roman" w:ascii="Times New Roman" w:hAnsi="Times New Roman"/>
              </w:rPr>
              <w:t>For 2000 there are 4 estimators</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widowControl w:val="false"/>
              <w:rPr>
                <w:rFonts w:ascii="Times New Roman" w:hAnsi="Times New Roman" w:cs="Times New Roman"/>
              </w:rPr>
            </w:pPr>
            <w:r>
              <w:rPr>
                <w:rFonts w:cs="Times New Roman" w:ascii="Times New Roman" w:hAnsi="Times New Roman"/>
              </w:rPr>
              <w:t>World Bank</w:t>
            </w:r>
          </w:p>
          <w:p>
            <w:pPr>
              <w:pStyle w:val="Standard"/>
              <w:widowControl w:val="false"/>
              <w:rPr>
                <w:rFonts w:ascii="Times New Roman" w:hAnsi="Times New Roman" w:cs="Times New Roman"/>
              </w:rPr>
            </w:pPr>
            <w:r>
              <w:rPr>
                <w:rFonts w:cs="Times New Roman" w:ascii="Times New Roman" w:hAnsi="Times New Roman"/>
              </w:rPr>
              <w:t>BarroLeeDataset</w:t>
            </w:r>
          </w:p>
        </w:tc>
      </w:tr>
      <w:tr>
        <w:trPr>
          <w:trHeight w:val="683" w:hRule="atLeast"/>
        </w:trPr>
        <w:tc>
          <w:tcPr>
            <w:tcW w:w="1479"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w:hAnsi="Times New Roman" w:cs="Times New Roman"/>
              </w:rPr>
            </w:pPr>
            <w:r>
              <w:rPr>
                <w:rFonts w:cs="Times New Roman" w:ascii="Times New Roman" w:hAnsi="Times New Roman"/>
              </w:rPr>
              <w:t>Tertiary Education</w:t>
            </w:r>
          </w:p>
        </w:tc>
        <w:tc>
          <w:tcPr>
            <w:tcW w:w="3600"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w:hAnsi="Times New Roman" w:cs="Times New Roman"/>
              </w:rPr>
            </w:pPr>
            <w:r>
              <w:rPr>
                <w:rFonts w:cs="Times New Roman" w:ascii="Times New Roman" w:hAnsi="Times New Roman"/>
              </w:rPr>
              <w:t>For 2014 there are 3 estimators</w:t>
            </w:r>
          </w:p>
          <w:p>
            <w:pPr>
              <w:pStyle w:val="TableContents"/>
              <w:rPr>
                <w:rFonts w:ascii="Times New Roman" w:hAnsi="Times New Roman" w:cs="Times New Roman"/>
              </w:rPr>
            </w:pPr>
            <w:r>
              <w:rPr>
                <w:rFonts w:cs="Times New Roman" w:ascii="Times New Roman" w:hAnsi="Times New Roman"/>
              </w:rPr>
              <w:t>For 2007 there are 3 estimators</w:t>
            </w:r>
          </w:p>
          <w:p>
            <w:pPr>
              <w:pStyle w:val="TableContents"/>
              <w:rPr>
                <w:rFonts w:ascii="Times New Roman" w:hAnsi="Times New Roman" w:cs="Times New Roman"/>
              </w:rPr>
            </w:pPr>
            <w:r>
              <w:rPr>
                <w:rFonts w:cs="Times New Roman" w:ascii="Times New Roman" w:hAnsi="Times New Roman"/>
              </w:rPr>
              <w:t>For 2000 there are 4 estimators</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widowControl w:val="false"/>
              <w:rPr>
                <w:rFonts w:ascii="Times New Roman" w:hAnsi="Times New Roman" w:cs="Times New Roman"/>
              </w:rPr>
            </w:pPr>
            <w:r>
              <w:rPr>
                <w:rFonts w:cs="Times New Roman" w:ascii="Times New Roman" w:hAnsi="Times New Roman"/>
              </w:rPr>
              <w:t>World Bank</w:t>
            </w:r>
          </w:p>
          <w:p>
            <w:pPr>
              <w:pStyle w:val="Standard"/>
              <w:widowControl w:val="false"/>
              <w:rPr>
                <w:rFonts w:ascii="Times New Roman" w:hAnsi="Times New Roman" w:cs="Times New Roman"/>
              </w:rPr>
            </w:pPr>
            <w:r>
              <w:rPr>
                <w:rFonts w:cs="Times New Roman" w:ascii="Times New Roman" w:hAnsi="Times New Roman"/>
              </w:rPr>
              <w:t>BarroLeeDataset</w:t>
            </w:r>
          </w:p>
        </w:tc>
      </w:tr>
    </w:tbl>
    <w:p>
      <w:pPr>
        <w:pStyle w:val="Standard"/>
        <w:spacing w:before="0" w:after="120"/>
        <w:jc w:val="both"/>
        <w:rPr>
          <w:rFonts w:ascii="Times New Roman" w:hAnsi="Times New Roman" w:cs="Times New Roman"/>
          <w:lang w:val="en-GB"/>
        </w:rPr>
      </w:pPr>
      <w:r>
        <w:rPr>
          <w:rFonts w:cs="Times New Roman" w:ascii="Times New Roman" w:hAnsi="Times New Roman"/>
          <w:lang w:val="en-GB"/>
        </w:rPr>
      </w:r>
    </w:p>
    <w:p>
      <w:pPr>
        <w:pStyle w:val="Standard"/>
        <w:spacing w:before="0" w:after="120"/>
        <w:ind w:firstLine="709"/>
        <w:jc w:val="both"/>
        <w:rPr/>
      </w:pPr>
      <w:r>
        <w:rPr>
          <w:rFonts w:cs="Times New Roman" w:ascii="Times New Roman" w:hAnsi="Times New Roman"/>
          <w:lang w:val="en-GB"/>
        </w:rPr>
        <w:t xml:space="preserve">One of the common methods to show relationship of explanatory variables to a dependent variable is Multi Variable Regression (MVR). As we see below, this method could not be used here due to the existence of high correlation among the two explanatory variables, secondary and tertiary education.  Hence, to </w:t>
      </w:r>
      <w:r>
        <w:rPr>
          <w:rFonts w:cs="Times New Roman" w:ascii="Times New Roman" w:hAnsi="Times New Roman"/>
        </w:rPr>
        <w:t xml:space="preserve">answer the research questions in this study, the </w:t>
      </w:r>
      <w:r>
        <w:rPr>
          <w:rFonts w:cs="Times New Roman" w:ascii="Times New Roman" w:hAnsi="Times New Roman"/>
          <w:lang w:val="en-GB"/>
        </w:rPr>
        <w:t xml:space="preserve">fuzzy logic-based soft regression (SR) </w:t>
      </w:r>
      <w:r>
        <w:rPr>
          <w:rFonts w:cs="Times New Roman" w:ascii="Times New Roman" w:hAnsi="Times New Roman"/>
        </w:rPr>
        <w:t xml:space="preserve">is being used to show the relationship between the secondary and tertiary education and the Gross Domestic Product (GDP). </w:t>
      </w:r>
      <w:r>
        <w:rPr>
          <w:rFonts w:cs="Times New Roman" w:ascii="Times New Roman" w:hAnsi="Times New Roman"/>
          <w:lang w:val="en-GB"/>
        </w:rPr>
        <w:t>The SR methodology implemented in this paper is similar to the methodology described in chapter 9 in (Cohen 2023).  Cohen implemented the SR methodology to show the relationship between the investment of a country in Artificial Intelligence (AI) and its powers such as its military, education, resources and others.</w:t>
      </w:r>
    </w:p>
    <w:p>
      <w:pPr>
        <w:pStyle w:val="Standard"/>
        <w:ind w:firstLine="360"/>
        <w:jc w:val="both"/>
        <w:rPr/>
      </w:pPr>
      <w:r>
        <w:rPr>
          <w:rFonts w:cs="Times New Roman" w:ascii="Times New Roman" w:hAnsi="Times New Roman"/>
        </w:rPr>
        <w:t>Fuzzy</w:t>
      </w:r>
      <w:r>
        <w:rPr>
          <w:rFonts w:cs="Times New Roman" w:ascii="Times New Roman" w:hAnsi="Times New Roman"/>
          <w:lang w:val="en-GB"/>
        </w:rPr>
        <w:t xml:space="preserve"> logic-based soft regression</w:t>
      </w:r>
      <w:r>
        <w:rPr>
          <w:rFonts w:cs="Times New Roman" w:ascii="Times New Roman" w:hAnsi="Times New Roman"/>
        </w:rPr>
        <w:t xml:space="preserve"> is a modeling tool based on soft computing concepts. The important features of the preferred SR compared to the traditional multivariate regression (MVR) when building a model characterized by interrelated variables are:</w:t>
      </w:r>
    </w:p>
    <w:p>
      <w:pPr>
        <w:pStyle w:val="Standard"/>
        <w:ind w:firstLine="709"/>
        <w:jc w:val="both"/>
        <w:rPr>
          <w:rFonts w:ascii="Times New Roman" w:hAnsi="Times New Roman" w:cs="Times New Roman"/>
        </w:rPr>
      </w:pPr>
      <w:r>
        <w:rPr>
          <w:rFonts w:cs="Times New Roman" w:ascii="Times New Roman" w:hAnsi="Times New Roman"/>
        </w:rPr>
      </w:r>
    </w:p>
    <w:p>
      <w:pPr>
        <w:pStyle w:val="ListParagraph"/>
        <w:numPr>
          <w:ilvl w:val="0"/>
          <w:numId w:val="3"/>
        </w:numPr>
        <w:jc w:val="both"/>
        <w:rPr>
          <w:rFonts w:ascii="Times New Roman" w:hAnsi="Times New Roman" w:cs="Times New Roman"/>
        </w:rPr>
      </w:pPr>
      <w:r>
        <w:rPr>
          <w:rFonts w:cs="Times New Roman" w:ascii="Times New Roman" w:hAnsi="Times New Roman"/>
        </w:rPr>
        <w:t>Soft regression does not require precise model specification for reliable results.</w:t>
      </w:r>
    </w:p>
    <w:p>
      <w:pPr>
        <w:pStyle w:val="ListParagraph"/>
        <w:jc w:val="both"/>
        <w:rPr>
          <w:rFonts w:ascii="Times New Roman" w:hAnsi="Times New Roman" w:cs="Times New Roman"/>
        </w:rPr>
      </w:pPr>
      <w:r>
        <w:rPr>
          <w:rFonts w:cs="Times New Roman" w:ascii="Times New Roman" w:hAnsi="Times New Roman"/>
        </w:rPr>
        <w:t>The interrelation of the variables and their relative importance among themselves are not affected by adding or removing additional variables to/from the model.</w:t>
      </w:r>
    </w:p>
    <w:p>
      <w:pPr>
        <w:pStyle w:val="ListParagraph"/>
        <w:jc w:val="both"/>
        <w:rPr>
          <w:rFonts w:ascii="Times New Roman" w:hAnsi="Times New Roman" w:cs="Times New Roman"/>
        </w:rPr>
      </w:pPr>
      <w:r>
        <w:rPr>
          <w:rFonts w:cs="Times New Roman" w:ascii="Times New Roman" w:hAnsi="Times New Roman"/>
        </w:rPr>
        <w:t>Variables are not required to be independent of each other.</w:t>
      </w:r>
    </w:p>
    <w:p>
      <w:pPr>
        <w:pStyle w:val="ListParagraph"/>
        <w:jc w:val="both"/>
        <w:rPr>
          <w:rFonts w:ascii="Times New Roman" w:hAnsi="Times New Roman" w:cs="Times New Roman"/>
        </w:rPr>
      </w:pPr>
      <w:r>
        <w:rPr>
          <w:rFonts w:cs="Times New Roman" w:ascii="Times New Roman" w:hAnsi="Times New Roman"/>
        </w:rPr>
        <w:t>There are no technical problems that could cause distortions in the model. If logical integrity is maintained during the construction of the model - the model will be reliable.</w:t>
      </w:r>
    </w:p>
    <w:p>
      <w:pPr>
        <w:pStyle w:val="Standard"/>
        <w:spacing w:before="0" w:after="120"/>
        <w:ind w:firstLine="709"/>
        <w:jc w:val="both"/>
        <w:rPr>
          <w:rFonts w:ascii="Times New Roman" w:hAnsi="Times New Roman" w:cs="Times New Roman"/>
        </w:rPr>
      </w:pPr>
      <w:r>
        <w:rPr>
          <w:rFonts w:cs="Times New Roman" w:ascii="Times New Roman" w:hAnsi="Times New Roman"/>
        </w:rPr>
      </w:r>
    </w:p>
    <w:p>
      <w:pPr>
        <w:pStyle w:val="Standard"/>
        <w:spacing w:before="0" w:after="120"/>
        <w:ind w:firstLine="360"/>
        <w:jc w:val="both"/>
        <w:rPr/>
      </w:pPr>
      <w:r>
        <w:rPr>
          <w:rFonts w:cs="Times New Roman" w:ascii="Times New Roman" w:hAnsi="Times New Roman"/>
        </w:rPr>
        <w:t xml:space="preserve">Based on the Fuzzy methodology, all variables are normalized and outliers are removed </w:t>
      </w:r>
      <w:r>
        <w:rPr>
          <w:rFonts w:cs="Times New Roman" w:ascii="Times New Roman" w:hAnsi="Times New Roman"/>
          <w:shd w:fill="FFFFFF" w:val="clear"/>
        </w:rPr>
        <w:t xml:space="preserve">(Schneider, M. 1987). </w:t>
      </w:r>
      <w:r>
        <w:rPr>
          <w:rFonts w:cs="Times New Roman" w:ascii="Times New Roman" w:hAnsi="Times New Roman"/>
          <w:lang w:val="en-GB"/>
        </w:rPr>
        <w:t>In the first normalization stage, values equal to or greater than the max cut were converted to 1, values equal to or lower than low cut were converted to 0 and values between the min and max cuts were converted to numbers between 0 to one. This normalization stage removes outliers; this normalization process is formally given in (Cohen 2023) section 9, Equation 1. This process of normalization makes all the vectors in a group of estimators of a variable to be comparable and it removes outliers in an estimator</w:t>
      </w:r>
      <w:r>
        <w:rPr>
          <w:rFonts w:cs="Times New Roman" w:ascii="Times New Roman" w:hAnsi="Times New Roman"/>
        </w:rPr>
        <w:t>.  To utilize equation 1, I used the average of Low-Income Countries for the Min Cut and the average for High-Income Countries for the Max Cut.</w:t>
      </w:r>
    </w:p>
    <w:p>
      <w:pPr>
        <w:pStyle w:val="Standard"/>
        <w:spacing w:before="0" w:after="120"/>
        <w:ind w:firstLine="360"/>
        <w:jc w:val="both"/>
        <w:rPr/>
      </w:pPr>
      <w:r>
        <w:rPr>
          <w:rFonts w:cs="Times New Roman" w:ascii="Times New Roman" w:hAnsi="Times New Roman"/>
          <w:shd w:fill="FFFFFF" w:val="clear"/>
        </w:rPr>
        <w:t xml:space="preserve">After preparing the variables, </w:t>
      </w:r>
      <w:r>
        <w:rPr>
          <w:rFonts w:cs="Times New Roman" w:ascii="Times New Roman" w:hAnsi="Times New Roman"/>
        </w:rPr>
        <w:t>a range reduction process was used to moderate to a large extent the measurement of</w:t>
      </w:r>
      <w:r>
        <w:rPr>
          <w:rFonts w:cs="Times New Roman" w:ascii="Times New Roman" w:hAnsi="Times New Roman"/>
          <w:shd w:fill="FFFFFF" w:val="clear"/>
        </w:rPr>
        <w:t xml:space="preserve"> each of the three variables</w:t>
      </w:r>
      <w:r>
        <w:rPr>
          <w:rFonts w:cs="Times New Roman" w:ascii="Times New Roman" w:hAnsi="Times New Roman"/>
        </w:rPr>
        <w:t xml:space="preserve"> for a specific country</w:t>
      </w:r>
      <w:r>
        <w:rPr>
          <w:rFonts w:cs="Times New Roman" w:ascii="Times New Roman" w:hAnsi="Times New Roman"/>
          <w:shd w:fill="FFFFFF" w:val="clear"/>
        </w:rPr>
        <w:t>. First, for each country estimators that are too close are compared and one of them is removed using the process described in (Cohen, 2023) for equation 3. Second, if there are more than 4 estimators for a country additional reduction is done using equation 4 and 5 in (Cohen, 2023), These two processes ensure that there will not be close estimators for a specific country. Finally, countries which still have a large range of estimating a variable were removed to avoid measurement error.</w:t>
      </w:r>
    </w:p>
    <w:p>
      <w:pPr>
        <w:pStyle w:val="Standard"/>
        <w:spacing w:before="0" w:after="120"/>
        <w:ind w:firstLine="360"/>
        <w:jc w:val="both"/>
        <w:rPr>
          <w:rFonts w:ascii="Times New Roman" w:hAnsi="Times New Roman" w:cs="Times New Roman"/>
          <w:highlight w:val="white"/>
          <w:lang w:val="en-GB"/>
        </w:rPr>
      </w:pPr>
      <w:r>
        <w:rPr>
          <w:rFonts w:cs="Times New Roman" w:ascii="Times New Roman" w:hAnsi="Times New Roman"/>
          <w:shd w:fill="FFFFFF" w:val="clear"/>
          <w:lang w:val="en-GB"/>
        </w:rPr>
        <w:t>As the last stage in data preparation to estimate a range for each of my variable, I take the minimum value and the maximum value for every country for every variable.  Putting these in one table of six columns (vectors) presented in Appendix A.</w:t>
      </w:r>
    </w:p>
    <w:p>
      <w:pPr>
        <w:pStyle w:val="Standard"/>
        <w:spacing w:before="0" w:after="120"/>
        <w:ind w:firstLine="360"/>
        <w:jc w:val="both"/>
        <w:rPr/>
      </w:pPr>
      <w:r>
        <w:rPr>
          <w:rFonts w:cs="Times New Roman" w:ascii="Times New Roman" w:hAnsi="Times New Roman"/>
          <w:shd w:fill="FFFFFF" w:val="clear"/>
          <w:lang w:val="en-GB"/>
        </w:rPr>
        <w:t>The next stage is to find</w:t>
      </w:r>
      <w:r>
        <w:rPr>
          <w:rFonts w:cs="Times New Roman" w:ascii="Times New Roman" w:hAnsi="Times New Roman"/>
          <w:shd w:fill="FFFFFF" w:val="clear"/>
        </w:rPr>
        <w:t xml:space="preserve"> the similarity </w:t>
      </w:r>
      <w:r>
        <w:rPr>
          <w:rFonts w:cs="Times New Roman" w:ascii="Times New Roman" w:hAnsi="Times New Roman"/>
        </w:rPr>
        <w:t xml:space="preserve">or closeness </w:t>
      </w:r>
      <w:r>
        <w:rPr>
          <w:rFonts w:cs="Times New Roman" w:ascii="Times New Roman" w:hAnsi="Times New Roman"/>
          <w:shd w:fill="FFFFFF" w:val="clear"/>
        </w:rPr>
        <w:t xml:space="preserve">of every education type (secondary and tertiary) to the GDP is calculated using (Cohen 2023) equation 13.  I estimated four different possibilities; using the minimum estimation of GDP with the minimum and maximum estimation of secondary and tertiary education and using the maximum estimation of GDP with the minimum and maximum estimation of secondary and tertiary education. Then, </w:t>
      </w:r>
      <w:r>
        <w:rPr>
          <w:rFonts w:cs="Times New Roman" w:ascii="Times New Roman" w:hAnsi="Times New Roman"/>
        </w:rPr>
        <w:t xml:space="preserve">the collective contribution of the two explanatory variables in combination with the explanation of the behavior of the dependent variable (GDP) is calculated using (Cohen 2023) equation 15. </w:t>
      </w:r>
      <w:r>
        <w:rPr>
          <w:rFonts w:cs="Times New Roman" w:ascii="Times New Roman" w:hAnsi="Times New Roman"/>
          <w:shd w:fill="FFFFFF" w:val="clear"/>
        </w:rPr>
        <w:t xml:space="preserve">Finally, to answer the research question, the adjusted contribution is calculated, </w:t>
      </w:r>
      <w:r>
        <w:rPr>
          <w:rFonts w:cs="Times New Roman" w:ascii="Times New Roman" w:hAnsi="Times New Roman"/>
        </w:rPr>
        <w:t>(Cohen 2023) equation 17 (multiplied by the SComb estimation),</w:t>
      </w:r>
      <w:r>
        <w:rPr>
          <w:rFonts w:cs="Times New Roman" w:ascii="Times New Roman" w:hAnsi="Times New Roman"/>
          <w:shd w:fill="FFFFFF" w:val="clear"/>
        </w:rPr>
        <w:t xml:space="preserve"> and the Relative Importance (RI) of every education type, </w:t>
      </w:r>
      <w:r>
        <w:rPr>
          <w:rFonts w:cs="Times New Roman" w:ascii="Times New Roman" w:hAnsi="Times New Roman"/>
        </w:rPr>
        <w:t>(Cohen 2023) equation 16,</w:t>
      </w:r>
      <w:r>
        <w:rPr>
          <w:rFonts w:cs="Times New Roman" w:ascii="Times New Roman" w:hAnsi="Times New Roman"/>
          <w:shd w:fill="FFFFFF" w:val="clear"/>
        </w:rPr>
        <w:t xml:space="preserve"> in explaining the GDP are calculated</w:t>
      </w:r>
      <w:r>
        <w:rPr>
          <w:rFonts w:cs="Times New Roman" w:ascii="Times New Roman" w:hAnsi="Times New Roman"/>
        </w:rPr>
        <w:t>.</w:t>
      </w:r>
    </w:p>
    <w:p>
      <w:pPr>
        <w:pStyle w:val="Standard"/>
        <w:spacing w:before="0" w:after="120"/>
        <w:jc w:val="both"/>
        <w:rPr/>
      </w:pPr>
      <w:r>
        <w:rPr>
          <w:rFonts w:cs="Times New Roman" w:ascii="Times New Roman" w:hAnsi="Times New Roman"/>
          <w:lang w:val="en-GB"/>
        </w:rPr>
        <w:tab/>
        <w:t>To confirm that a traditional MVR will fall to estimate the importance of the various variables, I computed the correlation matrix of the two explanatory variables for the three periods.  All the correlations are very high, higher than 0.8, and the results are presented in table 2.  The high correlation of secondary and tertiary education in all three periods indicate the existent of multi-co-linearity problem and will cause that the coefficient estimation in a MVR to be non-significant.</w:t>
      </w:r>
    </w:p>
    <w:p>
      <w:pPr>
        <w:pStyle w:val="Standard"/>
        <w:spacing w:before="0" w:after="120"/>
        <w:jc w:val="both"/>
        <w:rPr>
          <w:rFonts w:ascii="Times New Roman" w:hAnsi="Times New Roman" w:cs="Times New Roman"/>
          <w:lang w:val="en-GB"/>
        </w:rPr>
      </w:pPr>
      <w:r>
        <w:rPr>
          <w:rFonts w:cs="Times New Roman" w:ascii="Times New Roman" w:hAnsi="Times New Roman"/>
          <w:lang w:val="en-GB"/>
        </w:rPr>
      </w:r>
    </w:p>
    <w:p>
      <w:pPr>
        <w:pStyle w:val="Standard"/>
        <w:spacing w:before="0" w:after="120"/>
        <w:jc w:val="both"/>
        <w:rPr>
          <w:rFonts w:ascii="Times New Roman" w:hAnsi="Times New Roman" w:cs="Times New Roman"/>
          <w:lang w:val="en-GB"/>
        </w:rPr>
      </w:pPr>
      <w:r>
        <w:rPr>
          <w:rFonts w:cs="Times New Roman" w:ascii="Times New Roman" w:hAnsi="Times New Roman"/>
          <w:lang w:val="en-GB"/>
        </w:rPr>
        <w:t>Table 2. Correlation between the secondary education and tertiary education variables in three periods.</w:t>
      </w:r>
    </w:p>
    <w:tbl>
      <w:tblPr>
        <w:tblW w:w="406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06"/>
        <w:gridCol w:w="951"/>
        <w:gridCol w:w="950"/>
        <w:gridCol w:w="952"/>
      </w:tblGrid>
      <w:tr>
        <w:trPr>
          <w:trHeight w:val="300" w:hRule="atLeast"/>
        </w:trPr>
        <w:tc>
          <w:tcPr>
            <w:tcW w:w="1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 </w:t>
            </w:r>
          </w:p>
        </w:tc>
        <w:tc>
          <w:tcPr>
            <w:tcW w:w="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2014</w:t>
            </w:r>
          </w:p>
        </w:tc>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2007</w:t>
            </w:r>
          </w:p>
        </w:tc>
        <w:tc>
          <w:tcPr>
            <w:tcW w:w="9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2000</w:t>
            </w:r>
          </w:p>
        </w:tc>
      </w:tr>
      <w:tr>
        <w:trPr>
          <w:trHeight w:val="300" w:hRule="atLeast"/>
        </w:trPr>
        <w:tc>
          <w:tcPr>
            <w:tcW w:w="1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Correlation</w:t>
            </w:r>
          </w:p>
        </w:tc>
        <w:tc>
          <w:tcPr>
            <w:tcW w:w="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0.815</w:t>
            </w:r>
          </w:p>
        </w:tc>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0.825</w:t>
            </w:r>
          </w:p>
        </w:tc>
        <w:tc>
          <w:tcPr>
            <w:tcW w:w="9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0.858</w:t>
            </w:r>
          </w:p>
        </w:tc>
      </w:tr>
    </w:tbl>
    <w:p>
      <w:pPr>
        <w:pStyle w:val="Standard"/>
        <w:spacing w:before="0" w:after="120"/>
        <w:jc w:val="both"/>
        <w:rPr>
          <w:rFonts w:ascii="Times New Roman" w:hAnsi="Times New Roman" w:cs="Times New Roman"/>
          <w:lang w:val="en-GB"/>
        </w:rPr>
      </w:pPr>
      <w:r>
        <w:rPr>
          <w:rFonts w:cs="Times New Roman" w:ascii="Times New Roman" w:hAnsi="Times New Roman"/>
          <w:lang w:val="en-GB"/>
        </w:rPr>
      </w:r>
    </w:p>
    <w:p>
      <w:pPr>
        <w:pStyle w:val="Standard"/>
        <w:rPr>
          <w:rFonts w:ascii="Times New Roman" w:hAnsi="Times New Roman" w:cs="Times New Roman"/>
          <w:b/>
          <w:b/>
          <w:lang w:val="en-GB"/>
        </w:rPr>
      </w:pPr>
      <w:r>
        <w:rPr>
          <w:rFonts w:cs="Times New Roman" w:ascii="Times New Roman" w:hAnsi="Times New Roman"/>
          <w:b/>
          <w:lang w:val="en-GB"/>
        </w:rPr>
        <w:t>Results and Discussion:</w:t>
      </w:r>
    </w:p>
    <w:p>
      <w:pPr>
        <w:pStyle w:val="Standard"/>
        <w:rPr>
          <w:rFonts w:ascii="Times New Roman" w:hAnsi="Times New Roman" w:cs="Times New Roman"/>
          <w:b/>
          <w:b/>
          <w:lang w:val="en-GB"/>
        </w:rPr>
      </w:pPr>
      <w:r>
        <w:rPr>
          <w:rFonts w:cs="Times New Roman" w:ascii="Times New Roman" w:hAnsi="Times New Roman"/>
          <w:b/>
          <w:lang w:val="en-GB"/>
        </w:rPr>
      </w:r>
    </w:p>
    <w:p>
      <w:pPr>
        <w:pStyle w:val="Standard"/>
        <w:ind w:firstLine="709"/>
        <w:jc w:val="both"/>
        <w:rPr>
          <w:rFonts w:ascii="Times New Roman" w:hAnsi="Times New Roman" w:cs="Times New Roman"/>
        </w:rPr>
      </w:pPr>
      <w:r>
        <w:rPr>
          <w:rFonts w:cs="Times New Roman" w:ascii="Times New Roman" w:hAnsi="Times New Roman"/>
        </w:rPr>
        <w:t>After the preprocessing stage, I calculated the similarity of the two education variables and the net GDP variable using equation 13 in (Cohen 2023) section 9. These calculations are presented in table 3.  In addition, I calculated the combined similarity (SComb) index, using equations 14 and 15 in (Cohen 2023) section 9 which is presented in the last row for every period of table 3.</w:t>
      </w:r>
    </w:p>
    <w:p>
      <w:pPr>
        <w:pStyle w:val="Standard"/>
        <w:ind w:firstLine="709"/>
        <w:jc w:val="both"/>
        <w:rPr>
          <w:rFonts w:ascii="Times New Roman" w:hAnsi="Times New Roman" w:cs="Times New Roman"/>
        </w:rPr>
      </w:pPr>
      <w:r>
        <w:rPr>
          <w:rFonts w:cs="Times New Roman" w:ascii="Times New Roman" w:hAnsi="Times New Roman"/>
        </w:rPr>
      </w:r>
    </w:p>
    <w:p>
      <w:pPr>
        <w:pStyle w:val="Standard"/>
        <w:ind w:firstLine="709"/>
        <w:jc w:val="both"/>
        <w:rPr>
          <w:rFonts w:ascii="Times New Roman" w:hAnsi="Times New Roman" w:cs="Times New Roman"/>
        </w:rPr>
      </w:pPr>
      <w:r>
        <w:rPr>
          <w:rFonts w:cs="Times New Roman" w:ascii="Times New Roman" w:hAnsi="Times New Roman"/>
        </w:rPr>
        <w:t>Several important findings presented in the similarity table. First, the secondary education is barely significant (around 0.7) in 2000 but not significant for the years 2007 and 2014.  On the other hand, tertiary education is always strongly significant (around 0.8 or above) for all the periods.</w:t>
      </w:r>
    </w:p>
    <w:p>
      <w:pPr>
        <w:pStyle w:val="Standard"/>
        <w:ind w:firstLine="709"/>
        <w:jc w:val="both"/>
        <w:rPr>
          <w:rFonts w:ascii="Times New Roman" w:hAnsi="Times New Roman" w:cs="Times New Roman"/>
        </w:rPr>
      </w:pPr>
      <w:r>
        <w:rPr>
          <w:rFonts w:cs="Times New Roman" w:ascii="Times New Roman" w:hAnsi="Times New Roman"/>
        </w:rPr>
      </w:r>
    </w:p>
    <w:p>
      <w:pPr>
        <w:pStyle w:val="Standard"/>
        <w:ind w:firstLine="709"/>
        <w:jc w:val="both"/>
        <w:rPr>
          <w:rFonts w:ascii="Times New Roman" w:hAnsi="Times New Roman" w:cs="Times New Roman"/>
        </w:rPr>
      </w:pPr>
      <w:r>
        <w:rPr>
          <w:rFonts w:cs="Times New Roman" w:ascii="Times New Roman" w:hAnsi="Times New Roman"/>
        </w:rPr>
      </w:r>
    </w:p>
    <w:p>
      <w:pPr>
        <w:pStyle w:val="Standard"/>
        <w:spacing w:before="0" w:after="120"/>
        <w:jc w:val="both"/>
        <w:rPr>
          <w:rFonts w:ascii="Times New Roman" w:hAnsi="Times New Roman" w:cs="Times New Roman"/>
          <w:lang w:val="en-GB"/>
        </w:rPr>
      </w:pPr>
      <w:r>
        <w:rPr>
          <w:rFonts w:cs="Times New Roman" w:ascii="Times New Roman" w:hAnsi="Times New Roman"/>
          <w:lang w:val="en-GB"/>
        </w:rPr>
        <w:t>Table 3. Similarity and combined similarity.</w:t>
      </w:r>
    </w:p>
    <w:tbl>
      <w:tblPr>
        <w:tblW w:w="5549" w:type="dxa"/>
        <w:jc w:val="left"/>
        <w:tblInd w:w="5" w:type="dxa"/>
        <w:tblBorders/>
        <w:tblCellMar>
          <w:top w:w="0" w:type="dxa"/>
          <w:left w:w="108" w:type="dxa"/>
          <w:bottom w:w="0" w:type="dxa"/>
          <w:right w:w="108" w:type="dxa"/>
        </w:tblCellMar>
        <w:tblLook w:noVBand="0" w:val="0000" w:noHBand="0" w:lastColumn="0" w:firstColumn="0" w:lastRow="0" w:firstRow="0"/>
      </w:tblPr>
      <w:tblGrid>
        <w:gridCol w:w="638"/>
        <w:gridCol w:w="1174"/>
        <w:gridCol w:w="934"/>
        <w:gridCol w:w="934"/>
        <w:gridCol w:w="933"/>
        <w:gridCol w:w="935"/>
      </w:tblGrid>
      <w:tr>
        <w:trPr>
          <w:trHeight w:val="300" w:hRule="atLeast"/>
        </w:trPr>
        <w:tc>
          <w:tcPr>
            <w:tcW w:w="638" w:type="dxa"/>
            <w:tcBorders/>
            <w:shd w:fill="auto" w:val="clear"/>
            <w:vAlign w:val="bottom"/>
          </w:tcPr>
          <w:p>
            <w:pPr>
              <w:pStyle w:val="Standard"/>
              <w:widowControl w:val="false"/>
              <w:rPr>
                <w:rFonts w:ascii="Times New Roman" w:hAnsi="Times New Roman" w:eastAsia="Times New Roman" w:cs="Times New Roman"/>
                <w:kern w:val="0"/>
                <w:sz w:val="20"/>
                <w:lang w:eastAsia="en-US" w:bidi="he-IL"/>
              </w:rPr>
            </w:pPr>
            <w:r>
              <w:rPr>
                <w:rFonts w:eastAsia="Times New Roman" w:cs="Times New Roman" w:ascii="Times New Roman" w:hAnsi="Times New Roman"/>
                <w:kern w:val="0"/>
                <w:sz w:val="20"/>
                <w:lang w:eastAsia="en-US" w:bidi="he-IL"/>
              </w:rPr>
            </w:r>
          </w:p>
        </w:tc>
        <w:tc>
          <w:tcPr>
            <w:tcW w:w="1174" w:type="dxa"/>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934" w:type="dxa"/>
            <w:tcBorders>
              <w:top w:val="single" w:sz="4" w:space="0" w:color="000000"/>
              <w:left w:val="single" w:sz="4" w:space="0" w:color="000000"/>
              <w:right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mm</w:t>
            </w:r>
          </w:p>
        </w:tc>
        <w:tc>
          <w:tcPr>
            <w:tcW w:w="934" w:type="dxa"/>
            <w:tcBorders>
              <w:top w:val="single" w:sz="4" w:space="0" w:color="000000"/>
              <w:left w:val="single" w:sz="4" w:space="0" w:color="000000"/>
              <w:right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mx</w:t>
            </w:r>
          </w:p>
        </w:tc>
        <w:tc>
          <w:tcPr>
            <w:tcW w:w="933" w:type="dxa"/>
            <w:tcBorders>
              <w:top w:val="single" w:sz="4" w:space="0" w:color="000000"/>
              <w:left w:val="single" w:sz="4" w:space="0" w:color="000000"/>
              <w:right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xm</w:t>
            </w:r>
          </w:p>
        </w:tc>
        <w:tc>
          <w:tcPr>
            <w:tcW w:w="935" w:type="dxa"/>
            <w:tcBorders>
              <w:top w:val="single" w:sz="4" w:space="0" w:color="000000"/>
              <w:left w:val="single" w:sz="4" w:space="0" w:color="000000"/>
              <w:right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xx</w:t>
            </w:r>
          </w:p>
        </w:tc>
      </w:tr>
      <w:tr>
        <w:trPr>
          <w:trHeight w:val="300" w:hRule="atLeast"/>
        </w:trPr>
        <w:tc>
          <w:tcPr>
            <w:tcW w:w="63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2014</w:t>
            </w:r>
          </w:p>
        </w:tc>
        <w:tc>
          <w:tcPr>
            <w:tcW w:w="1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Tertiary</w:t>
            </w:r>
          </w:p>
        </w:tc>
        <w:tc>
          <w:tcPr>
            <w:tcW w:w="934" w:type="dxa"/>
            <w:tcBorders>
              <w:top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0.78</w:t>
            </w:r>
          </w:p>
        </w:tc>
        <w:tc>
          <w:tcPr>
            <w:tcW w:w="934" w:type="dxa"/>
            <w:tcBorders>
              <w:top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0.77</w:t>
            </w:r>
          </w:p>
        </w:tc>
        <w:tc>
          <w:tcPr>
            <w:tcW w:w="933" w:type="dxa"/>
            <w:tcBorders>
              <w:top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0.84</w:t>
            </w:r>
          </w:p>
        </w:tc>
        <w:tc>
          <w:tcPr>
            <w:tcW w:w="935" w:type="dxa"/>
            <w:tcBorders>
              <w:top w:val="single" w:sz="4" w:space="0" w:color="000000"/>
              <w:left w:val="single" w:sz="4" w:space="0" w:color="000000"/>
              <w:right w:val="single" w:sz="4" w:space="0" w:color="000000"/>
              <w:insideV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0.83</w:t>
            </w:r>
          </w:p>
        </w:tc>
      </w:tr>
      <w:tr>
        <w:trPr>
          <w:trHeight w:val="300" w:hRule="atLeast"/>
        </w:trPr>
        <w:tc>
          <w:tcPr>
            <w:tcW w:w="63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Normal"/>
              <w:rPr/>
            </w:pPr>
            <w:r>
              <w:rPr/>
            </w:r>
          </w:p>
        </w:tc>
        <w:tc>
          <w:tcPr>
            <w:tcW w:w="1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Secondary</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0.62</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0.60</w:t>
            </w:r>
          </w:p>
        </w:tc>
        <w:tc>
          <w:tcPr>
            <w:tcW w:w="933"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0.71</w:t>
            </w:r>
          </w:p>
        </w:tc>
        <w:tc>
          <w:tcPr>
            <w:tcW w:w="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0.69</w:t>
            </w:r>
          </w:p>
        </w:tc>
      </w:tr>
      <w:tr>
        <w:trPr>
          <w:trHeight w:val="300" w:hRule="atLeast"/>
        </w:trPr>
        <w:tc>
          <w:tcPr>
            <w:tcW w:w="63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Normal"/>
              <w:rPr/>
            </w:pPr>
            <w:r>
              <w:rPr/>
            </w:r>
          </w:p>
        </w:tc>
        <w:tc>
          <w:tcPr>
            <w:tcW w:w="1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SComb</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0.79</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0.77</w:t>
            </w:r>
          </w:p>
        </w:tc>
        <w:tc>
          <w:tcPr>
            <w:tcW w:w="933"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0.85</w:t>
            </w:r>
          </w:p>
        </w:tc>
        <w:tc>
          <w:tcPr>
            <w:tcW w:w="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0.84</w:t>
            </w:r>
          </w:p>
        </w:tc>
      </w:tr>
      <w:tr>
        <w:trPr>
          <w:trHeight w:val="300" w:hRule="atLeast"/>
        </w:trPr>
        <w:tc>
          <w:tcPr>
            <w:tcW w:w="63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2007</w:t>
            </w:r>
          </w:p>
        </w:tc>
        <w:tc>
          <w:tcPr>
            <w:tcW w:w="1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Tertiary</w:t>
            </w:r>
          </w:p>
        </w:tc>
        <w:tc>
          <w:tcPr>
            <w:tcW w:w="934" w:type="dxa"/>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0.78</w:t>
            </w:r>
          </w:p>
        </w:tc>
        <w:tc>
          <w:tcPr>
            <w:tcW w:w="934" w:type="dxa"/>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0.78</w:t>
            </w:r>
          </w:p>
        </w:tc>
        <w:tc>
          <w:tcPr>
            <w:tcW w:w="933" w:type="dxa"/>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0.83</w:t>
            </w:r>
          </w:p>
        </w:tc>
        <w:tc>
          <w:tcPr>
            <w:tcW w:w="935" w:type="dxa"/>
            <w:tcBorders>
              <w:left w:val="single" w:sz="4" w:space="0" w:color="000000"/>
              <w:right w:val="single" w:sz="4" w:space="0" w:color="000000"/>
              <w:insideV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0.82</w:t>
            </w:r>
          </w:p>
        </w:tc>
      </w:tr>
      <w:tr>
        <w:trPr>
          <w:trHeight w:val="300" w:hRule="atLeast"/>
        </w:trPr>
        <w:tc>
          <w:tcPr>
            <w:tcW w:w="63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Normal"/>
              <w:rPr/>
            </w:pPr>
            <w:r>
              <w:rPr/>
            </w:r>
          </w:p>
        </w:tc>
        <w:tc>
          <w:tcPr>
            <w:tcW w:w="1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Secondary</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0.67</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0.64</w:t>
            </w:r>
          </w:p>
        </w:tc>
        <w:tc>
          <w:tcPr>
            <w:tcW w:w="933"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0.73</w:t>
            </w:r>
          </w:p>
        </w:tc>
        <w:tc>
          <w:tcPr>
            <w:tcW w:w="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0.70</w:t>
            </w:r>
          </w:p>
        </w:tc>
      </w:tr>
      <w:tr>
        <w:trPr>
          <w:trHeight w:val="300" w:hRule="atLeast"/>
        </w:trPr>
        <w:tc>
          <w:tcPr>
            <w:tcW w:w="63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Normal"/>
              <w:rPr/>
            </w:pPr>
            <w:r>
              <w:rPr/>
            </w:r>
          </w:p>
        </w:tc>
        <w:tc>
          <w:tcPr>
            <w:tcW w:w="1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SComb</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0.81</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0.79</w:t>
            </w:r>
          </w:p>
        </w:tc>
        <w:tc>
          <w:tcPr>
            <w:tcW w:w="933"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0.85</w:t>
            </w:r>
          </w:p>
        </w:tc>
        <w:tc>
          <w:tcPr>
            <w:tcW w:w="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0.84</w:t>
            </w:r>
          </w:p>
        </w:tc>
      </w:tr>
      <w:tr>
        <w:trPr>
          <w:trHeight w:val="300" w:hRule="atLeast"/>
        </w:trPr>
        <w:tc>
          <w:tcPr>
            <w:tcW w:w="63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2000</w:t>
            </w:r>
          </w:p>
        </w:tc>
        <w:tc>
          <w:tcPr>
            <w:tcW w:w="1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Tertiary</w:t>
            </w:r>
          </w:p>
        </w:tc>
        <w:tc>
          <w:tcPr>
            <w:tcW w:w="934" w:type="dxa"/>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0.81</w:t>
            </w:r>
          </w:p>
        </w:tc>
        <w:tc>
          <w:tcPr>
            <w:tcW w:w="934" w:type="dxa"/>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0.79</w:t>
            </w:r>
          </w:p>
        </w:tc>
        <w:tc>
          <w:tcPr>
            <w:tcW w:w="933" w:type="dxa"/>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0.84</w:t>
            </w:r>
          </w:p>
        </w:tc>
        <w:tc>
          <w:tcPr>
            <w:tcW w:w="935" w:type="dxa"/>
            <w:tcBorders>
              <w:left w:val="single" w:sz="4" w:space="0" w:color="000000"/>
              <w:right w:val="single" w:sz="4" w:space="0" w:color="000000"/>
              <w:insideV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0.82</w:t>
            </w:r>
          </w:p>
        </w:tc>
      </w:tr>
      <w:tr>
        <w:trPr>
          <w:trHeight w:val="300" w:hRule="atLeast"/>
        </w:trPr>
        <w:tc>
          <w:tcPr>
            <w:tcW w:w="63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Normal"/>
              <w:rPr/>
            </w:pPr>
            <w:r>
              <w:rPr/>
            </w:r>
          </w:p>
        </w:tc>
        <w:tc>
          <w:tcPr>
            <w:tcW w:w="1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Secondary</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0.74</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0.66</w:t>
            </w:r>
          </w:p>
        </w:tc>
        <w:tc>
          <w:tcPr>
            <w:tcW w:w="933"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0.79</w:t>
            </w:r>
          </w:p>
        </w:tc>
        <w:tc>
          <w:tcPr>
            <w:tcW w:w="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0.72</w:t>
            </w:r>
          </w:p>
        </w:tc>
      </w:tr>
      <w:tr>
        <w:trPr>
          <w:trHeight w:val="300" w:hRule="atLeast"/>
        </w:trPr>
        <w:tc>
          <w:tcPr>
            <w:tcW w:w="63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Normal"/>
              <w:rPr/>
            </w:pPr>
            <w:r>
              <w:rPr/>
            </w:r>
          </w:p>
        </w:tc>
        <w:tc>
          <w:tcPr>
            <w:tcW w:w="1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SComb</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0.84</w:t>
            </w:r>
          </w:p>
        </w:tc>
        <w:tc>
          <w:tcPr>
            <w:tcW w:w="934"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0.81</w:t>
            </w:r>
          </w:p>
        </w:tc>
        <w:tc>
          <w:tcPr>
            <w:tcW w:w="933" w:type="dxa"/>
            <w:tcBorders>
              <w:top w:val="single" w:sz="4" w:space="0" w:color="000000"/>
              <w:bottom w:val="single" w:sz="4" w:space="0" w:color="000000"/>
              <w:insideH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0.88</w:t>
            </w:r>
          </w:p>
        </w:tc>
        <w:tc>
          <w:tcPr>
            <w:tcW w:w="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0.84</w:t>
            </w:r>
          </w:p>
        </w:tc>
      </w:tr>
    </w:tbl>
    <w:p>
      <w:pPr>
        <w:pStyle w:val="Standard"/>
        <w:spacing w:lineRule="auto" w:line="360"/>
        <w:jc w:val="both"/>
        <w:rPr>
          <w:rFonts w:ascii="Times New Roman" w:hAnsi="Times New Roman" w:cs="Times New Roman"/>
        </w:rPr>
      </w:pPr>
      <w:r>
        <w:rPr>
          <w:rFonts w:cs="Times New Roman" w:ascii="Times New Roman" w:hAnsi="Times New Roman"/>
        </w:rPr>
      </w:r>
    </w:p>
    <w:p>
      <w:pPr>
        <w:pStyle w:val="Standard"/>
        <w:ind w:firstLine="720"/>
        <w:jc w:val="both"/>
        <w:rPr/>
      </w:pPr>
      <w:r>
        <w:rPr>
          <w:rFonts w:cs="Times New Roman" w:ascii="Times New Roman" w:hAnsi="Times New Roman"/>
        </w:rPr>
        <w:t xml:space="preserve">The same conclusion could be seen in calculating relative importance of the two education variables which are presented in Table 4.  The combined similarity (SComb) index was </w:t>
      </w:r>
      <w:bookmarkStart w:id="1" w:name="_GoBack"/>
      <w:r>
        <w:rPr>
          <w:rFonts w:cs="Times New Roman" w:ascii="Times New Roman" w:hAnsi="Times New Roman"/>
        </w:rPr>
        <w:t>utilized</w:t>
      </w:r>
      <w:bookmarkEnd w:id="1"/>
      <w:r>
        <w:rPr>
          <w:rFonts w:cs="Times New Roman" w:ascii="Times New Roman" w:hAnsi="Times New Roman"/>
        </w:rPr>
        <w:t xml:space="preserve"> to measure the relative importance of every education type relative to the other.  This index is a combination of the two educations.  It was constructed as follows: for every country, the value of the education type which is the closest to the GDP variable was used.  This construction of an index ensures that it will be closer to the GDP variable than any of the education variables.  The "Similarity Combo" is composed of most or might be all both variables.  By finding the contribution of each education variable to this combined similarity index, the importance of each education variable relative to the other in explaining the GDP variable was found.</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The findings in table 4 are straight forward.  The relative importance of tertiary education is substantially higher than the contribution of secondary education in all the periods.  Moreover, this significant relative importance is increasing from 2000 to 2014.</w:t>
      </w:r>
    </w:p>
    <w:p>
      <w:pPr>
        <w:pStyle w:val="Standard"/>
        <w:jc w:val="both"/>
        <w:rPr>
          <w:rFonts w:ascii="Times New Roman" w:hAnsi="Times New Roman" w:cs="Times New Roman"/>
        </w:rPr>
      </w:pPr>
      <w:r>
        <w:rPr>
          <w:rFonts w:cs="Times New Roman" w:ascii="Times New Roman" w:hAnsi="Times New Roman"/>
        </w:rPr>
      </w:r>
    </w:p>
    <w:p>
      <w:pPr>
        <w:pStyle w:val="Standard"/>
        <w:jc w:val="both"/>
        <w:rPr>
          <w:rFonts w:ascii="Times New Roman" w:hAnsi="Times New Roman" w:cs="Times New Roman"/>
        </w:rPr>
      </w:pPr>
      <w:r>
        <w:rPr>
          <w:rFonts w:cs="Times New Roman" w:ascii="Times New Roman" w:hAnsi="Times New Roman"/>
        </w:rPr>
        <w:t>The results of this section are unambiguous and reject the hypothesis I stated in the introduction: “Secondary education is more important than tertiary education to stimulate the economy.”  In fact, it is safe to say that tertiary education exclusively determines economic status of a country.</w:t>
      </w:r>
    </w:p>
    <w:p>
      <w:pPr>
        <w:pStyle w:val="Standard"/>
        <w:jc w:val="both"/>
        <w:rPr>
          <w:rFonts w:ascii="Times New Roman" w:hAnsi="Times New Roman" w:cs="Times New Roman"/>
        </w:rPr>
      </w:pPr>
      <w:r>
        <w:rPr>
          <w:rFonts w:cs="Times New Roman" w:ascii="Times New Roman" w:hAnsi="Times New Roman"/>
        </w:rPr>
      </w:r>
    </w:p>
    <w:p>
      <w:pPr>
        <w:pStyle w:val="Standard"/>
        <w:spacing w:before="0" w:after="120"/>
        <w:jc w:val="both"/>
        <w:rPr>
          <w:rFonts w:ascii="Times New Roman" w:hAnsi="Times New Roman" w:cs="Times New Roman"/>
        </w:rPr>
      </w:pPr>
      <w:r>
        <w:rPr>
          <w:rFonts w:cs="Times New Roman" w:ascii="Times New Roman" w:hAnsi="Times New Roman"/>
        </w:rPr>
      </w:r>
    </w:p>
    <w:p>
      <w:pPr>
        <w:pStyle w:val="Standard"/>
        <w:spacing w:before="0" w:after="120"/>
        <w:jc w:val="both"/>
        <w:rPr>
          <w:rFonts w:ascii="Times New Roman" w:hAnsi="Times New Roman" w:cs="Times New Roman"/>
          <w:lang w:val="en-GB"/>
        </w:rPr>
      </w:pPr>
      <w:r>
        <w:rPr>
          <w:rFonts w:cs="Times New Roman" w:ascii="Times New Roman" w:hAnsi="Times New Roman"/>
          <w:lang w:val="en-GB"/>
        </w:rPr>
        <w:t>Table 4. Relative Importance.</w:t>
      </w:r>
    </w:p>
    <w:tbl>
      <w:tblPr>
        <w:tblW w:w="5749" w:type="dxa"/>
        <w:jc w:val="left"/>
        <w:tblInd w:w="5" w:type="dxa"/>
        <w:tblBorders/>
        <w:tblCellMar>
          <w:top w:w="0" w:type="dxa"/>
          <w:left w:w="108" w:type="dxa"/>
          <w:bottom w:w="0" w:type="dxa"/>
          <w:right w:w="108" w:type="dxa"/>
        </w:tblCellMar>
        <w:tblLook w:noVBand="0" w:val="0000" w:noHBand="0" w:lastColumn="0" w:firstColumn="0" w:lastRow="0" w:firstRow="0"/>
      </w:tblPr>
      <w:tblGrid>
        <w:gridCol w:w="768"/>
        <w:gridCol w:w="1137"/>
        <w:gridCol w:w="979"/>
        <w:gridCol w:w="905"/>
        <w:gridCol w:w="980"/>
        <w:gridCol w:w="979"/>
      </w:tblGrid>
      <w:tr>
        <w:trPr>
          <w:trHeight w:val="300" w:hRule="atLeast"/>
        </w:trPr>
        <w:tc>
          <w:tcPr>
            <w:tcW w:w="768" w:type="dxa"/>
            <w:tcBorders/>
            <w:shd w:fill="auto" w:val="clear"/>
            <w:vAlign w:val="bottom"/>
          </w:tcPr>
          <w:p>
            <w:pPr>
              <w:pStyle w:val="Standard"/>
              <w:widowControl w:val="false"/>
              <w:rPr>
                <w:rFonts w:ascii="Times New Roman" w:hAnsi="Times New Roman" w:eastAsia="Times New Roman" w:cs="Times New Roman"/>
                <w:kern w:val="0"/>
                <w:sz w:val="20"/>
                <w:lang w:eastAsia="en-US" w:bidi="he-IL"/>
              </w:rPr>
            </w:pPr>
            <w:r>
              <w:rPr>
                <w:rFonts w:eastAsia="Times New Roman" w:cs="Times New Roman" w:ascii="Times New Roman" w:hAnsi="Times New Roman"/>
                <w:kern w:val="0"/>
                <w:sz w:val="20"/>
                <w:lang w:eastAsia="en-US" w:bidi="he-IL"/>
              </w:rPr>
            </w:r>
          </w:p>
        </w:tc>
        <w:tc>
          <w:tcPr>
            <w:tcW w:w="1137" w:type="dxa"/>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979" w:type="dxa"/>
            <w:tcBorders>
              <w:top w:val="single" w:sz="4" w:space="0" w:color="000000"/>
              <w:left w:val="single" w:sz="4" w:space="0" w:color="000000"/>
              <w:right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mm</w:t>
            </w:r>
          </w:p>
        </w:tc>
        <w:tc>
          <w:tcPr>
            <w:tcW w:w="905" w:type="dxa"/>
            <w:tcBorders>
              <w:top w:val="single" w:sz="4" w:space="0" w:color="000000"/>
              <w:left w:val="single" w:sz="4" w:space="0" w:color="000000"/>
              <w:right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mx</w:t>
            </w:r>
          </w:p>
        </w:tc>
        <w:tc>
          <w:tcPr>
            <w:tcW w:w="980" w:type="dxa"/>
            <w:tcBorders>
              <w:top w:val="single" w:sz="4" w:space="0" w:color="000000"/>
              <w:left w:val="single" w:sz="4" w:space="0" w:color="000000"/>
              <w:right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xm</w:t>
            </w:r>
          </w:p>
        </w:tc>
        <w:tc>
          <w:tcPr>
            <w:tcW w:w="979" w:type="dxa"/>
            <w:tcBorders>
              <w:top w:val="single" w:sz="4" w:space="0" w:color="000000"/>
              <w:left w:val="single" w:sz="4" w:space="0" w:color="000000"/>
              <w:right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xx</w:t>
            </w:r>
          </w:p>
        </w:tc>
      </w:tr>
      <w:tr>
        <w:trPr>
          <w:trHeight w:val="300" w:hRule="atLeast"/>
        </w:trPr>
        <w:tc>
          <w:tcPr>
            <w:tcW w:w="76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2014</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Tertiary</w:t>
            </w:r>
          </w:p>
        </w:tc>
        <w:tc>
          <w:tcPr>
            <w:tcW w:w="979" w:type="dxa"/>
            <w:tcBorders>
              <w:top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1</w:t>
            </w:r>
          </w:p>
        </w:tc>
        <w:tc>
          <w:tcPr>
            <w:tcW w:w="905" w:type="dxa"/>
            <w:tcBorders>
              <w:top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1</w:t>
            </w:r>
          </w:p>
        </w:tc>
        <w:tc>
          <w:tcPr>
            <w:tcW w:w="980" w:type="dxa"/>
            <w:tcBorders>
              <w:top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0.800273</w:t>
            </w:r>
          </w:p>
        </w:tc>
        <w:tc>
          <w:tcPr>
            <w:tcW w:w="979" w:type="dxa"/>
            <w:tcBorders>
              <w:top w:val="single" w:sz="4" w:space="0" w:color="000000"/>
              <w:left w:val="single" w:sz="4" w:space="0" w:color="000000"/>
              <w:right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0.899869</w:t>
            </w:r>
          </w:p>
        </w:tc>
      </w:tr>
      <w:tr>
        <w:trPr>
          <w:trHeight w:val="300" w:hRule="atLeast"/>
        </w:trPr>
        <w:tc>
          <w:tcPr>
            <w:tcW w:w="76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Normal"/>
              <w:rPr/>
            </w:pPr>
            <w:r>
              <w:rPr/>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Secondary</w:t>
            </w:r>
          </w:p>
        </w:tc>
        <w:tc>
          <w:tcPr>
            <w:tcW w:w="979" w:type="dxa"/>
            <w:tcBorders>
              <w:top w:val="single" w:sz="4" w:space="0" w:color="000000"/>
              <w:bottom w:val="single" w:sz="4" w:space="0" w:color="000000"/>
              <w:insideH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w:t>
            </w:r>
          </w:p>
        </w:tc>
        <w:tc>
          <w:tcPr>
            <w:tcW w:w="905" w:type="dxa"/>
            <w:tcBorders>
              <w:top w:val="single" w:sz="4" w:space="0" w:color="000000"/>
              <w:bottom w:val="single" w:sz="4" w:space="0" w:color="000000"/>
              <w:insideH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w:t>
            </w:r>
          </w:p>
        </w:tc>
        <w:tc>
          <w:tcPr>
            <w:tcW w:w="980" w:type="dxa"/>
            <w:tcBorders>
              <w:top w:val="single" w:sz="4" w:space="0" w:color="000000"/>
              <w:bottom w:val="single" w:sz="4" w:space="0" w:color="000000"/>
              <w:insideH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0.199727</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0.100131</w:t>
            </w:r>
          </w:p>
        </w:tc>
      </w:tr>
      <w:tr>
        <w:trPr>
          <w:trHeight w:val="300" w:hRule="atLeast"/>
        </w:trPr>
        <w:tc>
          <w:tcPr>
            <w:tcW w:w="76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2007</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Tertiary</w:t>
            </w:r>
          </w:p>
        </w:tc>
        <w:tc>
          <w:tcPr>
            <w:tcW w:w="979" w:type="dxa"/>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0.956776</w:t>
            </w:r>
          </w:p>
        </w:tc>
        <w:tc>
          <w:tcPr>
            <w:tcW w:w="905" w:type="dxa"/>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1</w:t>
            </w:r>
          </w:p>
        </w:tc>
        <w:tc>
          <w:tcPr>
            <w:tcW w:w="980" w:type="dxa"/>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0.702461</w:t>
            </w:r>
          </w:p>
        </w:tc>
        <w:tc>
          <w:tcPr>
            <w:tcW w:w="979" w:type="dxa"/>
            <w:tcBorders>
              <w:left w:val="single" w:sz="4" w:space="0" w:color="000000"/>
              <w:right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0.81483</w:t>
            </w:r>
          </w:p>
        </w:tc>
      </w:tr>
      <w:tr>
        <w:trPr>
          <w:trHeight w:val="300" w:hRule="atLeast"/>
        </w:trPr>
        <w:tc>
          <w:tcPr>
            <w:tcW w:w="76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Normal"/>
              <w:rPr/>
            </w:pPr>
            <w:r>
              <w:rPr/>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Secondary</w:t>
            </w:r>
          </w:p>
        </w:tc>
        <w:tc>
          <w:tcPr>
            <w:tcW w:w="979" w:type="dxa"/>
            <w:tcBorders>
              <w:top w:val="single" w:sz="4" w:space="0" w:color="000000"/>
              <w:bottom w:val="single" w:sz="4" w:space="0" w:color="000000"/>
              <w:insideH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0.043224</w:t>
            </w:r>
          </w:p>
        </w:tc>
        <w:tc>
          <w:tcPr>
            <w:tcW w:w="905" w:type="dxa"/>
            <w:tcBorders>
              <w:top w:val="single" w:sz="4" w:space="0" w:color="000000"/>
              <w:bottom w:val="single" w:sz="4" w:space="0" w:color="000000"/>
              <w:insideH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w:t>
            </w:r>
          </w:p>
        </w:tc>
        <w:tc>
          <w:tcPr>
            <w:tcW w:w="980" w:type="dxa"/>
            <w:tcBorders>
              <w:top w:val="single" w:sz="4" w:space="0" w:color="000000"/>
              <w:bottom w:val="single" w:sz="4" w:space="0" w:color="000000"/>
              <w:insideH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0.297539</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0.18517</w:t>
            </w:r>
          </w:p>
        </w:tc>
      </w:tr>
      <w:tr>
        <w:trPr>
          <w:trHeight w:val="300" w:hRule="atLeast"/>
        </w:trPr>
        <w:tc>
          <w:tcPr>
            <w:tcW w:w="76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Standard"/>
              <w:widowControl w:val="false"/>
              <w:jc w:val="center"/>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2000</w:t>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Tertiary</w:t>
            </w:r>
          </w:p>
        </w:tc>
        <w:tc>
          <w:tcPr>
            <w:tcW w:w="979" w:type="dxa"/>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0.680599</w:t>
            </w:r>
          </w:p>
        </w:tc>
        <w:tc>
          <w:tcPr>
            <w:tcW w:w="905" w:type="dxa"/>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1</w:t>
            </w:r>
          </w:p>
        </w:tc>
        <w:tc>
          <w:tcPr>
            <w:tcW w:w="980" w:type="dxa"/>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0.592354</w:t>
            </w:r>
          </w:p>
        </w:tc>
        <w:tc>
          <w:tcPr>
            <w:tcW w:w="979" w:type="dxa"/>
            <w:tcBorders>
              <w:left w:val="single" w:sz="4" w:space="0" w:color="000000"/>
              <w:right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0.764373</w:t>
            </w:r>
          </w:p>
        </w:tc>
      </w:tr>
      <w:tr>
        <w:trPr>
          <w:trHeight w:val="300" w:hRule="atLeast"/>
        </w:trPr>
        <w:tc>
          <w:tcPr>
            <w:tcW w:w="76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center"/>
          </w:tcPr>
          <w:p>
            <w:pPr>
              <w:pStyle w:val="Normal"/>
              <w:rPr/>
            </w:pPr>
            <w:r>
              <w:rPr/>
            </w:r>
          </w:p>
        </w:tc>
        <w:tc>
          <w:tcPr>
            <w:tcW w:w="11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tcPr>
          <w:p>
            <w:pPr>
              <w:pStyle w:val="Standard"/>
              <w:widowControl w:val="false"/>
              <w:jc w:val="center"/>
              <w:rPr>
                <w:rFonts w:ascii="Times New Roman" w:hAnsi="Times New Roman" w:eastAsia="Times New Roman" w:cs="Times New Roman"/>
                <w:b/>
                <w:b/>
                <w:bCs/>
                <w:kern w:val="0"/>
                <w:sz w:val="22"/>
                <w:szCs w:val="22"/>
                <w:lang w:eastAsia="en-US" w:bidi="he-IL"/>
              </w:rPr>
            </w:pPr>
            <w:r>
              <w:rPr>
                <w:rFonts w:eastAsia="Times New Roman" w:cs="Times New Roman" w:ascii="Times New Roman" w:hAnsi="Times New Roman"/>
                <w:b/>
                <w:bCs/>
                <w:kern w:val="0"/>
                <w:sz w:val="22"/>
                <w:szCs w:val="22"/>
                <w:lang w:eastAsia="en-US" w:bidi="he-IL"/>
              </w:rPr>
              <w:t>Secondary</w:t>
            </w:r>
          </w:p>
        </w:tc>
        <w:tc>
          <w:tcPr>
            <w:tcW w:w="979" w:type="dxa"/>
            <w:tcBorders>
              <w:top w:val="single" w:sz="4" w:space="0" w:color="000000"/>
              <w:bottom w:val="single" w:sz="4" w:space="0" w:color="000000"/>
              <w:insideH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0.319401</w:t>
            </w:r>
          </w:p>
        </w:tc>
        <w:tc>
          <w:tcPr>
            <w:tcW w:w="905" w:type="dxa"/>
            <w:tcBorders>
              <w:top w:val="single" w:sz="4" w:space="0" w:color="000000"/>
              <w:bottom w:val="single" w:sz="4" w:space="0" w:color="000000"/>
              <w:insideH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w:t>
            </w:r>
          </w:p>
        </w:tc>
        <w:tc>
          <w:tcPr>
            <w:tcW w:w="980" w:type="dxa"/>
            <w:tcBorders>
              <w:top w:val="single" w:sz="4" w:space="0" w:color="000000"/>
              <w:bottom w:val="single" w:sz="4" w:space="0" w:color="000000"/>
              <w:insideH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0.407646</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jc w:val="right"/>
              <w:rPr>
                <w:rFonts w:ascii="Times New Roman" w:hAnsi="Times New Roman" w:eastAsia="Times New Roman" w:cs="Times New Roman"/>
                <w:kern w:val="0"/>
                <w:sz w:val="22"/>
                <w:szCs w:val="22"/>
                <w:lang w:eastAsia="en-US" w:bidi="he-IL"/>
              </w:rPr>
            </w:pPr>
            <w:r>
              <w:rPr>
                <w:rFonts w:eastAsia="Times New Roman" w:cs="Times New Roman" w:ascii="Times New Roman" w:hAnsi="Times New Roman"/>
                <w:kern w:val="0"/>
                <w:sz w:val="22"/>
                <w:szCs w:val="22"/>
                <w:lang w:eastAsia="en-US" w:bidi="he-IL"/>
              </w:rPr>
              <w:t>0.235627</w:t>
            </w:r>
          </w:p>
        </w:tc>
      </w:tr>
    </w:tbl>
    <w:p>
      <w:pPr>
        <w:pStyle w:val="Standard"/>
        <w:spacing w:before="0" w:after="120"/>
        <w:jc w:val="both"/>
        <w:rPr>
          <w:rFonts w:ascii="Times New Roman" w:hAnsi="Times New Roman" w:cs="Times New Roman"/>
          <w:lang w:val="en-GB"/>
        </w:rPr>
      </w:pPr>
      <w:r>
        <w:rPr>
          <w:rFonts w:cs="Times New Roman" w:ascii="Times New Roman" w:hAnsi="Times New Roman"/>
          <w:lang w:val="en-GB"/>
        </w:rPr>
      </w:r>
    </w:p>
    <w:p>
      <w:pPr>
        <w:pStyle w:val="Standard"/>
        <w:ind w:firstLine="720"/>
        <w:jc w:val="both"/>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lang w:val="en-GB"/>
        </w:rPr>
      </w:pPr>
      <w:r>
        <w:rPr>
          <w:rFonts w:cs="Times New Roman" w:ascii="Times New Roman" w:hAnsi="Times New Roman"/>
          <w:lang w:val="en-GB"/>
        </w:rPr>
      </w:r>
    </w:p>
    <w:p>
      <w:pPr>
        <w:pStyle w:val="Standard"/>
        <w:spacing w:before="0" w:after="120"/>
        <w:jc w:val="both"/>
        <w:rPr/>
      </w:pPr>
      <w:r>
        <w:rPr>
          <w:rFonts w:cs="Times New Roman" w:ascii="Times New Roman" w:hAnsi="Times New Roman"/>
          <w:b/>
          <w:bCs/>
          <w:lang w:val="en-GB"/>
        </w:rPr>
        <w:t>Conclusions</w:t>
      </w:r>
      <w:r>
        <w:rPr>
          <w:rFonts w:cs="Times New Roman" w:ascii="Times New Roman" w:hAnsi="Times New Roman"/>
          <w:lang w:val="en-GB"/>
        </w:rPr>
        <w:t>:</w:t>
      </w:r>
    </w:p>
    <w:p>
      <w:pPr>
        <w:pStyle w:val="Standard"/>
        <w:rPr>
          <w:rFonts w:ascii="Times New Roman" w:hAnsi="Times New Roman"/>
        </w:rPr>
      </w:pPr>
      <w:r>
        <w:rPr>
          <w:rFonts w:ascii="Times New Roman" w:hAnsi="Times New Roman"/>
        </w:rPr>
        <w:tab/>
        <w:t>It is commonly accepted in the academic community that human capital is an essential resource to stimulate economic growth and some argue that it is even more important than physical capital.  While some previous research raised the question of the importance of secondary education relative to tertiary education there was not a conclusive answer and some policy makers have advocated to increase primary and secondary education in Africa with the belief that they will increase economic growth.</w:t>
      </w:r>
    </w:p>
    <w:p>
      <w:pPr>
        <w:pStyle w:val="Standard"/>
        <w:rPr>
          <w:rFonts w:ascii="Times New Roman" w:hAnsi="Times New Roman"/>
        </w:rPr>
      </w:pPr>
      <w:r>
        <w:rPr>
          <w:rFonts w:ascii="Times New Roman" w:hAnsi="Times New Roman"/>
        </w:rPr>
      </w:r>
    </w:p>
    <w:p>
      <w:pPr>
        <w:pStyle w:val="Standard"/>
        <w:ind w:firstLine="360"/>
        <w:rPr/>
      </w:pPr>
      <w:r>
        <w:rPr>
          <w:rFonts w:ascii="Times New Roman" w:hAnsi="Times New Roman"/>
        </w:rPr>
        <w:t xml:space="preserve">This study contributes to the topic of human capital and economic growth by introducing a well-established methodology </w:t>
      </w:r>
      <w:r>
        <w:rPr>
          <w:rFonts w:cs="Times New Roman" w:ascii="Times New Roman" w:hAnsi="Times New Roman"/>
          <w:lang w:val="en-GB"/>
        </w:rPr>
        <w:t xml:space="preserve">fuzzy logic-based soft regression to rank the importance of education levels in which countries should invest to ensure economic prosperity and poverty reduction.  This robust methodology provides unambiguous results which opens the door for many other future research studies.  </w:t>
      </w:r>
    </w:p>
    <w:p>
      <w:pPr>
        <w:pStyle w:val="Standard"/>
        <w:rPr>
          <w:rFonts w:ascii="Times New Roman" w:hAnsi="Times New Roman"/>
        </w:rPr>
      </w:pPr>
      <w:r>
        <w:rPr>
          <w:rFonts w:ascii="Times New Roman" w:hAnsi="Times New Roman"/>
        </w:rPr>
      </w:r>
    </w:p>
    <w:p>
      <w:pPr>
        <w:pStyle w:val="Standard"/>
        <w:ind w:firstLine="360"/>
        <w:jc w:val="both"/>
        <w:rPr/>
      </w:pPr>
      <w:r>
        <w:rPr>
          <w:rFonts w:cs="Times New Roman" w:ascii="Times New Roman" w:hAnsi="Times New Roman"/>
        </w:rPr>
        <w:t xml:space="preserve">The results of this study are clear-cut that tertiary education is the engine for economic growth.  The results are strongly significant showing the importance of tertiary education relative to secondary in increasing economic growth for all the periods of the study 2000, 2007 and 2014.  Furthermore, its relative importance is increasing over time.  This can be explained by the fact that primary and secondary education become necessary education levels in modern society.  Yet, it is not enough to create competitive advantage and develop innovative skills.   </w:t>
      </w:r>
    </w:p>
    <w:p>
      <w:pPr>
        <w:pStyle w:val="Standard"/>
        <w:ind w:firstLine="360"/>
        <w:jc w:val="both"/>
        <w:rPr>
          <w:rFonts w:ascii="Times New Roman" w:hAnsi="Times New Roman" w:cs="Times New Roman"/>
        </w:rPr>
      </w:pPr>
      <w:r>
        <w:rPr>
          <w:rFonts w:cs="Times New Roman" w:ascii="Times New Roman" w:hAnsi="Times New Roman"/>
        </w:rPr>
      </w:r>
    </w:p>
    <w:p>
      <w:pPr>
        <w:pStyle w:val="Standard"/>
        <w:ind w:firstLine="360"/>
        <w:jc w:val="both"/>
        <w:rPr>
          <w:rFonts w:ascii="Times New Roman" w:hAnsi="Times New Roman" w:cs="Times New Roman"/>
          <w:highlight w:val="white"/>
        </w:rPr>
      </w:pPr>
      <w:r>
        <w:rPr>
          <w:rFonts w:cs="Times New Roman" w:ascii="Times New Roman" w:hAnsi="Times New Roman"/>
          <w:shd w:fill="FFFFFF" w:val="clear"/>
        </w:rPr>
        <w:t>Inspired by this finding, I recommend future research focusing on matching specific higher education fields that a country should promote to achieve economic competitive advantage based on its resources and geographic location.</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bCs/>
        </w:rPr>
      </w:pPr>
      <w:r>
        <w:rPr>
          <w:rFonts w:cs="Times New Roman" w:ascii="Times New Roman" w:hAnsi="Times New Roman"/>
          <w:b/>
          <w:bCs/>
        </w:rPr>
      </w:r>
      <w:r>
        <w:br w:type="page"/>
      </w:r>
    </w:p>
    <w:p>
      <w:pPr>
        <w:pStyle w:val="Standard"/>
        <w:rPr>
          <w:rFonts w:ascii="Times New Roman" w:hAnsi="Times New Roman" w:cs="Times New Roman"/>
          <w:b/>
          <w:b/>
          <w:bCs/>
        </w:rPr>
      </w:pPr>
      <w:r>
        <w:rPr>
          <w:rFonts w:cs="Times New Roman" w:ascii="Times New Roman" w:hAnsi="Times New Roman"/>
          <w:b/>
          <w:bCs/>
        </w:rPr>
        <w:t>References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Becker, G. (1964), Human Capital: A Theoretical and Empirical Analysis, with Special Reference to Education. National Bureau of Economic Research.</w:t>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rPr/>
      </w:pPr>
      <w:r>
        <w:rPr>
          <w:rFonts w:cs="Times New Roman" w:ascii="Times New Roman" w:hAnsi="Times New Roman"/>
          <w:shd w:fill="FFFFFF" w:val="clear"/>
        </w:rPr>
        <w:t xml:space="preserve">BarroLeeDataset (2016) </w:t>
      </w:r>
      <w:hyperlink r:id="rId2">
        <w:r>
          <w:rPr>
            <w:rStyle w:val="Internetlink"/>
            <w:rFonts w:cs="Times New Roman" w:ascii="Times New Roman" w:hAnsi="Times New Roman"/>
            <w:color w:val="auto"/>
            <w:highlight w:val="white"/>
          </w:rPr>
          <w:t>https://barrolee.github.io/BarroLeeDataSet/DataLeeLee.html</w:t>
        </w:r>
      </w:hyperlink>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rPr>
          <w:rFonts w:ascii="Times New Roman" w:hAnsi="Times New Roman" w:cs="Times New Roman"/>
          <w:highlight w:val="white"/>
        </w:rPr>
      </w:pPr>
      <w:r>
        <w:rPr>
          <w:rFonts w:cs="Times New Roman" w:ascii="Times New Roman" w:hAnsi="Times New Roman"/>
          <w:shd w:fill="FFFFFF" w:val="clear"/>
        </w:rPr>
        <w:t>Bloom, D. E., Canning, D., Chan, K. J., &amp; Luca, D. L. (2014). Higher education and economic growth in Africa. International Journal of African Higher Education, 1(1), 22-57.</w:t>
      </w:r>
    </w:p>
    <w:p>
      <w:pPr>
        <w:pStyle w:val="Standard"/>
        <w:rPr>
          <w:rFonts w:ascii="Times New Roman" w:hAnsi="Times New Roman" w:cs="Times New Roman"/>
          <w:lang w:val="en-GB"/>
        </w:rPr>
      </w:pPr>
      <w:r>
        <w:rPr>
          <w:rFonts w:cs="Times New Roman" w:ascii="Times New Roman" w:hAnsi="Times New Roman"/>
          <w:lang w:val="en-GB"/>
        </w:rPr>
      </w:r>
    </w:p>
    <w:p>
      <w:pPr>
        <w:pStyle w:val="Standard"/>
        <w:spacing w:before="0" w:after="120"/>
        <w:jc w:val="both"/>
        <w:rPr>
          <w:rFonts w:ascii="Times New Roman" w:hAnsi="Times New Roman" w:cs="Times New Roman"/>
          <w:highlight w:val="white"/>
        </w:rPr>
      </w:pPr>
      <w:r>
        <w:rPr>
          <w:rFonts w:cs="Times New Roman" w:ascii="Times New Roman" w:hAnsi="Times New Roman"/>
          <w:shd w:fill="FFFFFF" w:val="clear"/>
        </w:rPr>
        <w:t>Birdsall, N. (1996). Public spending on higher education in developing countries: too much or too little?. Economics of Education Review, 15(4), 407-419.</w:t>
      </w:r>
    </w:p>
    <w:p>
      <w:pPr>
        <w:pStyle w:val="Standard"/>
        <w:jc w:val="both"/>
        <w:rPr>
          <w:rFonts w:ascii="Times New Roman" w:hAnsi="Times New Roman" w:cs="Times New Roman"/>
          <w:highlight w:val="white"/>
        </w:rPr>
      </w:pPr>
      <w:r>
        <w:rPr>
          <w:rFonts w:cs="Times New Roman" w:ascii="Times New Roman" w:hAnsi="Times New Roman"/>
          <w:highlight w:val="white"/>
        </w:rPr>
      </w:r>
    </w:p>
    <w:p>
      <w:pPr>
        <w:pStyle w:val="Standard"/>
        <w:jc w:val="both"/>
        <w:rPr/>
      </w:pPr>
      <w:r>
        <w:rPr>
          <w:rFonts w:cs="Times New Roman" w:ascii="Times New Roman" w:hAnsi="Times New Roman"/>
          <w:shd w:fill="FFFFFF" w:val="clear"/>
        </w:rPr>
        <w:t>Boland, T. (1993). The importance of being literate: Reading development in primary school and its consequences for the school career in secondary education. European Journal of Psychology of Education, 8, 289-305.</w:t>
      </w:r>
    </w:p>
    <w:p>
      <w:pPr>
        <w:pStyle w:val="Standard"/>
        <w:jc w:val="both"/>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Bradley, S. and C. Green (eds.) (2020), the Economics of Education: A Comprehensive Overview. 2nd edition, Academic Press, London</w:t>
      </w:r>
    </w:p>
    <w:p>
      <w:pPr>
        <w:pStyle w:val="Standard"/>
        <w:rPr>
          <w:rFonts w:ascii="Times New Roman" w:hAnsi="Times New Roman" w:cs="Times New Roman"/>
        </w:rPr>
      </w:pPr>
      <w:r>
        <w:rPr>
          <w:rFonts w:cs="Times New Roman" w:ascii="Times New Roman" w:hAnsi="Times New Roman"/>
        </w:rPr>
      </w:r>
    </w:p>
    <w:p>
      <w:pPr>
        <w:pStyle w:val="Standard"/>
        <w:rPr/>
      </w:pPr>
      <w:r>
        <w:rPr>
          <w:rFonts w:cs="Times New Roman" w:ascii="Times New Roman" w:hAnsi="Times New Roman"/>
        </w:rPr>
        <w:t xml:space="preserve">Cohen A. 2023 Ph.D Dissertation </w:t>
      </w:r>
      <w:r>
        <w:rPr>
          <w:rFonts w:cs="Times New Roman" w:ascii="Times New Roman" w:hAnsi="Times New Roman"/>
          <w:lang w:val="en-GB"/>
        </w:rPr>
        <w:t>Diplomacy at the Cyber ‘Hidden War’ Era:</w:t>
      </w:r>
    </w:p>
    <w:p>
      <w:pPr>
        <w:pStyle w:val="Standard"/>
        <w:rPr>
          <w:rFonts w:ascii="Times New Roman" w:hAnsi="Times New Roman" w:cs="Times New Roman"/>
          <w:lang w:val="en-GB"/>
        </w:rPr>
      </w:pPr>
      <w:r>
        <w:rPr>
          <w:rFonts w:cs="Times New Roman" w:ascii="Times New Roman" w:hAnsi="Times New Roman"/>
          <w:lang w:val="en-GB"/>
        </w:rPr>
        <w:t>The Impact of Artificial Intelligence in Cyberspace on Geopolitics International relations</w:t>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rPr>
          <w:rFonts w:ascii="Times New Roman" w:hAnsi="Times New Roman" w:cs="Times New Roman"/>
          <w:highlight w:val="white"/>
        </w:rPr>
      </w:pPr>
      <w:r>
        <w:rPr>
          <w:rFonts w:cs="Times New Roman" w:ascii="Times New Roman" w:hAnsi="Times New Roman"/>
          <w:shd w:fill="FFFFFF" w:val="clear"/>
        </w:rPr>
        <w:t>Friedman, M. (1980). Friedman, Rose. Free to choose: a personal statement. New York: Harcourt Brace Jovanovich.</w:t>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rPr>
          <w:rFonts w:ascii="Times New Roman" w:hAnsi="Times New Roman" w:cs="Times New Roman"/>
          <w:highlight w:val="white"/>
        </w:rPr>
      </w:pPr>
      <w:r>
        <w:rPr>
          <w:rFonts w:cs="Times New Roman" w:ascii="Times New Roman" w:hAnsi="Times New Roman"/>
          <w:shd w:fill="FFFFFF" w:val="clear"/>
        </w:rPr>
        <w:t>Guo, Q., &amp; Jia, J. (2009). Public education policy, economic growth and human capital premium. Economic Research Journal, 44(10), 22-35.</w:t>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rPr>
          <w:rFonts w:ascii="Times New Roman" w:hAnsi="Times New Roman" w:cs="Times New Roman"/>
          <w:highlight w:val="white"/>
        </w:rPr>
      </w:pPr>
      <w:r>
        <w:rPr>
          <w:rFonts w:cs="Times New Roman" w:ascii="Times New Roman" w:hAnsi="Times New Roman"/>
          <w:shd w:fill="FFFFFF" w:val="clear"/>
        </w:rPr>
        <w:t>Gyimah-Brempong, K., Paddison, O., &amp; Mitiku, W. (2006). Higher education and economic growth in Africa. The Journal of Development Studies, 42(3), 509-529.</w:t>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spacing w:before="0" w:after="120"/>
        <w:jc w:val="both"/>
        <w:rPr/>
      </w:pPr>
      <w:r>
        <w:rPr>
          <w:rFonts w:cs="Times New Roman" w:ascii="Times New Roman" w:hAnsi="Times New Roman"/>
          <w:shd w:fill="FFFFFF" w:val="clear"/>
        </w:rPr>
        <w:t>Hanushek, E. A. (2016). Will more higher education improve economic growth?. Oxford Review of Economic Policy, 32(4), 538-552.</w:t>
      </w:r>
    </w:p>
    <w:p>
      <w:pPr>
        <w:pStyle w:val="Standard"/>
        <w:spacing w:before="0" w:after="120"/>
        <w:jc w:val="both"/>
        <w:rPr>
          <w:rFonts w:ascii="Times New Roman" w:hAnsi="Times New Roman" w:cs="Times New Roman"/>
          <w:b/>
          <w:b/>
          <w:lang w:val="en-GB"/>
        </w:rPr>
      </w:pPr>
      <w:r>
        <w:rPr>
          <w:rFonts w:cs="Times New Roman" w:ascii="Times New Roman" w:hAnsi="Times New Roman"/>
          <w:b/>
          <w:lang w:val="en-GB"/>
        </w:rPr>
      </w:r>
    </w:p>
    <w:p>
      <w:pPr>
        <w:pStyle w:val="Standard"/>
        <w:jc w:val="both"/>
        <w:rPr/>
      </w:pPr>
      <w:hyperlink r:id="rId3">
        <w:r>
          <w:rPr>
            <w:rStyle w:val="Internetlink"/>
            <w:rFonts w:cs="Times New Roman" w:ascii="Times New Roman" w:hAnsi="Times New Roman"/>
            <w:color w:val="auto"/>
            <w:highlight w:val="white"/>
          </w:rPr>
          <w:t>"International Dollar Geary-Khamis Defined, Examples Explained". Business Case Website</w:t>
        </w:r>
      </w:hyperlink>
    </w:p>
    <w:p>
      <w:pPr>
        <w:pStyle w:val="Standard"/>
        <w:jc w:val="both"/>
        <w:rPr>
          <w:rFonts w:ascii="Times New Roman" w:hAnsi="Times New Roman" w:cs="Times New Roman"/>
          <w:highlight w:val="white"/>
        </w:rPr>
      </w:pPr>
      <w:r>
        <w:rPr>
          <w:rFonts w:cs="Times New Roman" w:ascii="Times New Roman" w:hAnsi="Times New Roman"/>
          <w:highlight w:val="white"/>
        </w:rPr>
      </w:r>
    </w:p>
    <w:p>
      <w:pPr>
        <w:pStyle w:val="Standard"/>
        <w:jc w:val="both"/>
        <w:rPr>
          <w:rFonts w:ascii="Times New Roman" w:hAnsi="Times New Roman" w:cs="Times New Roman"/>
          <w:highlight w:val="white"/>
        </w:rPr>
      </w:pPr>
      <w:r>
        <w:rPr>
          <w:rFonts w:cs="Times New Roman" w:ascii="Times New Roman" w:hAnsi="Times New Roman"/>
          <w:shd w:fill="FFFFFF" w:val="clear"/>
        </w:rPr>
        <w:t>Marquez-Ramos, L., &amp; Mourelle, E. (2019). Education and economic growth: an empirical analysis of nonlinearities. Applied Economic Analysis.</w:t>
      </w:r>
    </w:p>
    <w:p>
      <w:pPr>
        <w:pStyle w:val="Standard"/>
        <w:jc w:val="both"/>
        <w:rPr>
          <w:rFonts w:ascii="Times New Roman" w:hAnsi="Times New Roman" w:cs="Times New Roman"/>
          <w:highlight w:val="white"/>
        </w:rPr>
      </w:pPr>
      <w:r>
        <w:rPr>
          <w:rFonts w:cs="Times New Roman" w:ascii="Times New Roman" w:hAnsi="Times New Roman"/>
          <w:highlight w:val="white"/>
        </w:rPr>
      </w:r>
    </w:p>
    <w:p>
      <w:pPr>
        <w:pStyle w:val="Standard"/>
        <w:jc w:val="both"/>
        <w:rPr>
          <w:rFonts w:ascii="Times New Roman" w:hAnsi="Times New Roman" w:cs="Times New Roman"/>
        </w:rPr>
      </w:pPr>
      <w:r>
        <w:rPr>
          <w:rFonts w:cs="Times New Roman" w:ascii="Times New Roman" w:hAnsi="Times New Roman"/>
        </w:rPr>
        <w:t>Mincer, J. (1974), Schooling, Experience, and Earnings, NBER.</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highlight w:val="white"/>
        </w:rPr>
      </w:pPr>
      <w:r>
        <w:rPr>
          <w:rFonts w:cs="Times New Roman" w:ascii="Times New Roman" w:hAnsi="Times New Roman"/>
          <w:shd w:fill="FFFFFF" w:val="clear"/>
        </w:rPr>
        <w:t>Mogas, J., Palau, R., Fuentes, M., &amp; Cebrián, G. (2022). Smart schools on the way: How school principals from Catalonia approach the future of education within the fourth industrial revolution. Learning Environments Research, 25(3), 875-893.</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Shnaider, E. and Yosef, A., 2018. Relative importance of explanatory variables: Traditional method versus soft regression. International Journal of Intelligent Systems, 33(6), pp.1180-1196.</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highlight w:val="white"/>
        </w:rPr>
      </w:pPr>
      <w:r>
        <w:rPr>
          <w:rFonts w:cs="Times New Roman" w:ascii="Times New Roman" w:hAnsi="Times New Roman"/>
          <w:shd w:fill="FFFFFF" w:val="clear"/>
        </w:rPr>
        <w:t>Shnaider, E. and Yosef, A., 2018. UTILIZING INTERVALS OF VALUES IN MODELING DUE TO DIVERSITY OF MEASUREMENTS. Fuzzy Economic Review, 23(2).</w:t>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rPr>
          <w:rFonts w:ascii="Times New Roman" w:hAnsi="Times New Roman" w:cs="Times New Roman"/>
        </w:rPr>
      </w:pPr>
      <w:r>
        <w:rPr>
          <w:rFonts w:cs="Times New Roman" w:ascii="Times New Roman" w:hAnsi="Times New Roman"/>
        </w:rPr>
        <w:t>Schultz, T. (1961), “Investment in Human Capital”, American Economic Review, Vol. 51/1, pp. 1-17</w:t>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spacing w:before="0" w:after="120"/>
        <w:jc w:val="both"/>
        <w:rPr>
          <w:rFonts w:ascii="Times New Roman" w:hAnsi="Times New Roman" w:cs="Times New Roman"/>
          <w:highlight w:val="white"/>
        </w:rPr>
      </w:pPr>
      <w:r>
        <w:rPr>
          <w:rFonts w:cs="Times New Roman" w:ascii="Times New Roman" w:hAnsi="Times New Roman"/>
          <w:shd w:fill="FFFFFF" w:val="clear"/>
        </w:rPr>
        <w:t>Sun, B., &amp; Ning, X. (2016). University, Q. The value and significance of education modernization for the construction of livable and happy city—The case study of Qingdao. Rev. High. Educ, 12, 16-23.</w:t>
      </w:r>
    </w:p>
    <w:p>
      <w:pPr>
        <w:pStyle w:val="Standard"/>
        <w:rPr>
          <w:rFonts w:ascii="Times New Roman" w:hAnsi="Times New Roman" w:cs="Times New Roman"/>
          <w:highlight w:val="white"/>
        </w:rPr>
      </w:pPr>
      <w:r>
        <w:rPr>
          <w:rFonts w:cs="Times New Roman" w:ascii="Times New Roman" w:hAnsi="Times New Roman"/>
          <w:shd w:fill="FFFFFF" w:val="clear"/>
        </w:rPr>
        <w:t>Rahman, T., Nakata, S., Nagashima, Y., Rahman, M., Sharma, U., &amp; Rahman, M. A. (2019). Bangladesh tertiary education sector review.</w:t>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rPr>
          <w:rFonts w:ascii="Times New Roman" w:hAnsi="Times New Roman" w:cs="Times New Roman"/>
          <w:highlight w:val="white"/>
        </w:rPr>
      </w:pPr>
      <w:r>
        <w:rPr>
          <w:rFonts w:cs="Times New Roman" w:ascii="Times New Roman" w:hAnsi="Times New Roman"/>
          <w:shd w:fill="FFFFFF" w:val="clear"/>
        </w:rPr>
        <w:t>Vedder, R. K. (2004). Going broke by degree: Why college costs too much. American Enterprise Institute.</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highlight w:val="white"/>
        </w:rPr>
      </w:pPr>
      <w:r>
        <w:rPr>
          <w:rFonts w:cs="Times New Roman" w:ascii="Times New Roman" w:hAnsi="Times New Roman"/>
          <w:shd w:fill="FFFFFF" w:val="clear"/>
        </w:rPr>
        <w:t>Wolff, E. N. (2001). The role of education in the postwar productivity convergence among OECD countries. Industrial and Corporate Change, 10(3), 735-759.</w:t>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jc w:val="both"/>
        <w:rPr>
          <w:rFonts w:ascii="Times New Roman" w:hAnsi="Times New Roman" w:cs="Times New Roman"/>
          <w:highlight w:val="white"/>
        </w:rPr>
      </w:pPr>
      <w:r>
        <w:rPr>
          <w:rFonts w:cs="Times New Roman" w:ascii="Times New Roman" w:hAnsi="Times New Roman"/>
          <w:shd w:fill="FFFFFF" w:val="clear"/>
        </w:rPr>
        <w:t>Zhang, D., Mohsin, M., Rasheed, A. K., Chang, Y., &amp; Taghizadeh-Hesary, F. (2021). Public spending and green economic growth in BRI region: mediating role of green finance. Energy Policy, 153, 112256.</w:t>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rPr>
          <w:rFonts w:ascii="Times New Roman" w:hAnsi="Times New Roman" w:cs="Times New Roman"/>
          <w:highlight w:val="white"/>
        </w:rPr>
      </w:pPr>
      <w:r>
        <w:rPr>
          <w:rFonts w:cs="Times New Roman" w:ascii="Times New Roman" w:hAnsi="Times New Roman"/>
          <w:highlight w:val="white"/>
        </w:rPr>
      </w:r>
      <w:r>
        <w:br w:type="page"/>
      </w:r>
    </w:p>
    <w:p>
      <w:pPr>
        <w:pStyle w:val="Standard"/>
        <w:rPr/>
      </w:pPr>
      <w:r>
        <w:rPr>
          <w:rFonts w:cs="Times New Roman" w:ascii="Times New Roman" w:hAnsi="Times New Roman"/>
          <w:b/>
          <w:bCs/>
          <w:sz w:val="28"/>
          <w:szCs w:val="28"/>
          <w:shd w:fill="FFFFFF" w:val="clear"/>
        </w:rPr>
        <w:t>Appendix</w:t>
      </w:r>
      <w:r>
        <w:rPr>
          <w:rFonts w:cs="Times New Roman" w:ascii="Times New Roman" w:hAnsi="Times New Roman"/>
          <w:shd w:fill="FFFFFF" w:val="clear"/>
        </w:rPr>
        <w:t>:</w:t>
      </w:r>
    </w:p>
    <w:p>
      <w:pPr>
        <w:pStyle w:val="Standard"/>
        <w:rPr>
          <w:rFonts w:ascii="Times New Roman" w:hAnsi="Times New Roman" w:cs="Times New Roman"/>
          <w:highlight w:val="white"/>
        </w:rPr>
      </w:pPr>
      <w:r>
        <w:rPr>
          <w:rFonts w:cs="Times New Roman" w:ascii="Times New Roman" w:hAnsi="Times New Roman"/>
          <w:highlight w:val="white"/>
        </w:rPr>
      </w:r>
    </w:p>
    <w:p>
      <w:pPr>
        <w:pStyle w:val="Standard"/>
        <w:rPr/>
      </w:pPr>
      <w:r>
        <w:rPr>
          <w:rFonts w:cs="Times New Roman" w:ascii="Times New Roman" w:hAnsi="Times New Roman"/>
          <w:b/>
          <w:bCs/>
          <w:shd w:fill="FFFFFF" w:val="clear"/>
        </w:rPr>
        <w:t>A</w:t>
      </w:r>
      <w:r>
        <w:rPr>
          <w:rFonts w:cs="Times New Roman" w:ascii="Times New Roman" w:hAnsi="Times New Roman"/>
          <w:shd w:fill="FFFFFF" w:val="clear"/>
        </w:rPr>
        <w:t>. Range estimation for the three periods: 200, 2007, 2014</w:t>
      </w:r>
    </w:p>
    <w:p>
      <w:pPr>
        <w:pStyle w:val="Standard"/>
        <w:rPr>
          <w:rFonts w:ascii="Times New Roman" w:hAnsi="Times New Roman" w:cs="Times New Roman"/>
          <w:sz w:val="16"/>
          <w:szCs w:val="16"/>
          <w:highlight w:val="white"/>
        </w:rPr>
      </w:pPr>
      <w:r>
        <w:rPr>
          <w:rFonts w:cs="Times New Roman" w:ascii="Times New Roman" w:hAnsi="Times New Roman"/>
          <w:sz w:val="16"/>
          <w:szCs w:val="16"/>
          <w:highlight w:val="white"/>
        </w:rPr>
      </w:r>
    </w:p>
    <w:tbl>
      <w:tblPr>
        <w:tblW w:w="8463"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900"/>
        <w:gridCol w:w="506"/>
        <w:gridCol w:w="394"/>
        <w:gridCol w:w="392"/>
        <w:gridCol w:w="393"/>
        <w:gridCol w:w="424"/>
        <w:gridCol w:w="393"/>
        <w:gridCol w:w="446"/>
        <w:gridCol w:w="394"/>
        <w:gridCol w:w="568"/>
        <w:gridCol w:w="393"/>
        <w:gridCol w:w="424"/>
        <w:gridCol w:w="391"/>
        <w:gridCol w:w="5"/>
        <w:gridCol w:w="441"/>
        <w:gridCol w:w="393"/>
        <w:gridCol w:w="392"/>
        <w:gridCol w:w="392"/>
        <w:gridCol w:w="424"/>
        <w:gridCol w:w="397"/>
      </w:tblGrid>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250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jc w:val="center"/>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2000</w:t>
            </w:r>
          </w:p>
        </w:tc>
        <w:tc>
          <w:tcPr>
            <w:tcW w:w="2621"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jc w:val="center"/>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2007</w:t>
            </w:r>
          </w:p>
        </w:tc>
        <w:tc>
          <w:tcPr>
            <w:tcW w:w="2439"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jc w:val="center"/>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2014</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Seco.</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GDP</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Seco.</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GDP</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Seco.</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GDP</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jc w:val="center"/>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Country</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Min</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Mx</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Min</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Mx</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Min</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Mx</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Min</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Mx</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Mx</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Min</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Mx</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Min</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Mx</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Min</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Mx</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Min</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Mx</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Afghanistan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Albania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0.75</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Algeria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0.55</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Angola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Argentina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0.24</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Armenia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Australia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Austria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Azerbaijan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0.38</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Bahrain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Bangladesh</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Belarus</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Belgium</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Benin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Bhutan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Bolivia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Botswana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0.77</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Brazil</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0.24</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0.34</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Bulgaria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0.38</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Burkina Faso</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Burundi</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Cabo Verde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0.78</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Cambodia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Cameroon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Canada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Central African Republic</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Chad</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Chile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China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0.65</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Colombia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Tertiary</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Comoros</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Congo, Dem. Rep.</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Congo, Rep.</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Costa Rica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0.32</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Cote d'Ivoire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Croatia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0.37</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Cuba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0.34</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Cyprus</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0.59</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0.71</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Czech Republic</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0.65</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0.43</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Denmark</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Djibouti</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Dominican Republic</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Ecuador</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Egypt, Arab Rep.</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0.61</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El Salvador</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Equatorial Guinea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Eritrea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Estonia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0.43</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Ethiopia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Fiji</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Finland</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France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Gabon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0.43</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Gambia, The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Georgia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Germany</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Ghana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Greece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0.77</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Guatemala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Guinea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Guinea-Bissau</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Guyana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Haiti</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Honduras</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Hong Kong, China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0.77</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Hungary</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0.54</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0.37</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India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Indonesia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Iran, Islamic Rep.</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0.38</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Iraq</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Ireland</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Israel</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0.73</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0.74</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Italy</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Jamaica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Japan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Jordan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0.24</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Kazakhstan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0.19</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Kenya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Korea, Rep.</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0.74</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Kyrgyz Republic</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0.83</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Lao PDR</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Latvia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0.56</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Lebanon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0.65</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0.38</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Lesotho</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Liberia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Libya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0.37</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Lithuania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0.36</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Luxembourg</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Macedonia, FYR</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Madagascar</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Malawi</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Malaysia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Mali</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Mauritania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Mauritius</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0.42</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Mexico</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0.34</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0.77</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0.37</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0.38</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Moldova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Mongolia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0.24</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Montenegro</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0.34</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Morocco</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Mozambique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Namibia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0.48</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Myanmar</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Nepal</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Netherlands</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New Zealand</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0.83</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0.83</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Nicaragua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Niger</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Nigeria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Norway</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Oman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0.54</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Pakistan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Panama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0.51</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Papua New Guinea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Paraguay</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Peru</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Philippines</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0.74</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Poland</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0.37</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Portugal</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0.49</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Romania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0.35</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Russian Federation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Rwanda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Saudi Arabia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Senegal</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Serbia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Sierra Leone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Singapore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Slovak Republic</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0.65</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Slovenia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0.75</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0.54</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South Africa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Spain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Sri Lanka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Sudan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South Sudan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Suriname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Swaziland</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Sweden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Switzerland</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0.97</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Syrian Arab Republic</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Tajikistan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0.75</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0.81</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Tanzania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Thailand</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Timor-Leste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Togo</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0.11</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Trinidad and Tobago</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0.39</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Tunisia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0.39</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0.08</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Turkey</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0.25</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0.38</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Turkmenistan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0.15</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0.32</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Uganda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Ukraine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0.19</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United Kingdom</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0.85</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United States</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0.96</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0.95</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0.79</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Uruguay</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0.58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0.62</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0.18</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0.88</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0.91</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0.93</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0.33</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0.32</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Uzbekistan</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0.82</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0.98</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0.05</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0.87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Venezuela, RB</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0.39</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0.44</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0.32</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0.29</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0.67</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0.70</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1.00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0.35</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0.46</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Vietnam</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0.47</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0.02</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Yemen, Rep.</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0.04</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0.23</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0.14</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0.13</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0.06</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0.07</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0.09</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Zambia</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r>
      <w:tr>
        <w:trPr>
          <w:trHeight w:val="300" w:hRule="atLeast"/>
        </w:trPr>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4DFEC"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Zimbabwe</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0.03</w:t>
            </w:r>
          </w:p>
        </w:tc>
        <w:tc>
          <w:tcPr>
            <w:tcW w:w="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AEEF3" w:val="clear"/>
            <w:vAlign w:val="bottom"/>
          </w:tcPr>
          <w:p>
            <w:pPr>
              <w:pStyle w:val="Standard"/>
              <w:widowControl w:val="false"/>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 </w:t>
            </w:r>
          </w:p>
        </w:tc>
        <w:tc>
          <w:tcPr>
            <w:tcW w:w="4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0.10</w:t>
            </w:r>
          </w:p>
        </w:tc>
        <w:tc>
          <w:tcPr>
            <w:tcW w:w="3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0.22</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c>
          <w:tcPr>
            <w:tcW w:w="4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0.00</w:t>
            </w:r>
          </w:p>
        </w:tc>
        <w:tc>
          <w:tcPr>
            <w:tcW w:w="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4D79B" w:val="clear"/>
            <w:vAlign w:val="bottom"/>
          </w:tcPr>
          <w:p>
            <w:pPr>
              <w:pStyle w:val="Standard"/>
              <w:widowControl w:val="false"/>
              <w:jc w:val="right"/>
              <w:rPr>
                <w:rFonts w:ascii="Times New Roman" w:hAnsi="Times New Roman" w:eastAsia="Times New Roman" w:cs="Times New Roman"/>
                <w:kern w:val="0"/>
                <w:sz w:val="14"/>
                <w:szCs w:val="14"/>
                <w:lang w:eastAsia="en-US" w:bidi="he-IL"/>
              </w:rPr>
            </w:pPr>
            <w:r>
              <w:rPr>
                <w:rFonts w:eastAsia="Times New Roman" w:cs="Times New Roman" w:ascii="Times New Roman" w:hAnsi="Times New Roman"/>
                <w:kern w:val="0"/>
                <w:sz w:val="14"/>
                <w:szCs w:val="14"/>
                <w:lang w:eastAsia="en-US" w:bidi="he-IL"/>
              </w:rPr>
              <w:t>0.01</w:t>
            </w:r>
          </w:p>
        </w:tc>
      </w:tr>
    </w:tbl>
    <w:p>
      <w:pPr>
        <w:pStyle w:val="Standard"/>
        <w:rPr>
          <w:rFonts w:ascii="Times New Roman" w:hAnsi="Times New Roman" w:cs="Times New Roman"/>
          <w:sz w:val="16"/>
          <w:szCs w:val="16"/>
          <w:highlight w:val="white"/>
        </w:rPr>
      </w:pPr>
      <w:r>
        <w:rPr>
          <w:rFonts w:cs="Times New Roman" w:ascii="Times New Roman" w:hAnsi="Times New Roman"/>
          <w:sz w:val="16"/>
          <w:szCs w:val="16"/>
          <w:highlight w:val="white"/>
        </w:rPr>
      </w:r>
    </w:p>
    <w:p>
      <w:pPr>
        <w:pStyle w:val="Standard"/>
        <w:rPr>
          <w:rFonts w:ascii="Times New Roman" w:hAnsi="Times New Roman" w:cs="Times New Roman"/>
          <w:sz w:val="16"/>
          <w:szCs w:val="16"/>
          <w:highlight w:val="white"/>
        </w:rPr>
      </w:pPr>
      <w:r>
        <w:rPr>
          <w:rFonts w:cs="Times New Roman" w:ascii="Times New Roman" w:hAnsi="Times New Roman"/>
          <w:sz w:val="16"/>
          <w:szCs w:val="16"/>
          <w:highlight w:val="white"/>
        </w:rPr>
      </w:r>
      <w:r>
        <w:br w:type="page"/>
      </w:r>
    </w:p>
    <w:p>
      <w:pPr>
        <w:pStyle w:val="Standard"/>
        <w:rPr/>
      </w:pPr>
      <w:r>
        <w:rPr>
          <w:rFonts w:cs="Times New Roman" w:ascii="Times New Roman" w:hAnsi="Times New Roman"/>
          <w:b/>
          <w:bCs/>
          <w:shd w:fill="FFFFFF" w:val="clear"/>
        </w:rPr>
        <w:t>B</w:t>
      </w:r>
      <w:r>
        <w:rPr>
          <w:rFonts w:cs="Times New Roman" w:ascii="Times New Roman" w:hAnsi="Times New Roman"/>
          <w:shd w:fill="FFFFFF" w:val="clear"/>
        </w:rPr>
        <w:t>. Description of Estimators of GDP, Secondary and tertiary education</w:t>
      </w:r>
    </w:p>
    <w:p>
      <w:pPr>
        <w:pStyle w:val="Standard"/>
        <w:rPr>
          <w:rFonts w:ascii="Times New Roman" w:hAnsi="Times New Roman" w:cs="Times New Roman"/>
          <w:highlight w:val="white"/>
        </w:rPr>
      </w:pPr>
      <w:r>
        <w:rPr>
          <w:rFonts w:cs="Times New Roman" w:ascii="Times New Roman" w:hAnsi="Times New Roman"/>
          <w:highlight w:val="white"/>
        </w:rPr>
      </w:r>
    </w:p>
    <w:tbl>
      <w:tblPr>
        <w:tblW w:w="9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656"/>
        <w:gridCol w:w="4096"/>
        <w:gridCol w:w="236"/>
        <w:gridCol w:w="662"/>
        <w:gridCol w:w="4112"/>
      </w:tblGrid>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 </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Estimators for GDP for the year 2000</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 </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Estimators for GDP for the year 2014</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Per Capita GDP (1990 International Geary-Khamis dollars)</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(current US$) 2018 file</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GDP2</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(current US$)</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GDP2</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(constant 2010 US$) 2018 file</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GDP3</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(constant 1995 US$)</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GDP3</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(current international $) 2018 file</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GDP4</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Atlas method (current US$), 2004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GDP4</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(constant 2011 international $) 2018 file</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GDP5</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(constant 1995 international $)</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GDP5</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Atlas method (current US$) 2018 file</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GDP6</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(current international $) 2004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GDP6</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(constant 2010 US$) 2018 file</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GDP7</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PPP (current international $) 2004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GDP7</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PPP (current international $) 2018 file</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GDP8</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(constant 2000 US$) 2009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GDP8</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PPP (constant 2011 international $) 2018 file</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GDP9</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(current international $) 2009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GDP9</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Standard"/>
              <w:widowControl w:val="false"/>
              <w:rPr/>
            </w:pPr>
            <w:r>
              <w:fldChar w:fldCharType="begin"/>
            </w:r>
            <w:r>
              <w:rPr>
                <w:rStyle w:val="ListLabel56"/>
                <w:sz w:val="16"/>
                <w:u w:val="single"/>
                <w:kern w:val="0"/>
                <w:szCs w:val="16"/>
                <w:rFonts w:eastAsia="Times New Roman" w:cs="Times New Roman" w:ascii="Times New Roman" w:hAnsi="Times New Roman"/>
              </w:rPr>
              <w:instrText> HYPERLINK "https://en.wikipedia.org/wiki/List_of_IMF_ranked_countries_by_GDP" \l "cite_note-3"</w:instrText>
            </w:r>
            <w:r>
              <w:rPr>
                <w:rStyle w:val="ListLabel56"/>
                <w:sz w:val="16"/>
                <w:u w:val="single"/>
                <w:kern w:val="0"/>
                <w:szCs w:val="16"/>
                <w:rFonts w:eastAsia="Times New Roman" w:cs="Times New Roman" w:ascii="Times New Roman" w:hAnsi="Times New Roman"/>
              </w:rPr>
              <w:fldChar w:fldCharType="separate"/>
            </w:r>
            <w:r>
              <w:rPr>
                <w:rStyle w:val="ListLabel56"/>
                <w:rFonts w:eastAsia="Times New Roman" w:cs="Times New Roman" w:ascii="Times New Roman" w:hAnsi="Times New Roman"/>
                <w:kern w:val="0"/>
                <w:sz w:val="16"/>
                <w:szCs w:val="16"/>
                <w:u w:val="single"/>
                <w:lang w:eastAsia="en-US" w:bidi="he-IL"/>
              </w:rPr>
              <w:t>2014 GDP published by IMF in October 2015 IMF-2015</w:t>
            </w:r>
            <w:r>
              <w:rPr>
                <w:rStyle w:val="ListLabel56"/>
                <w:sz w:val="16"/>
                <w:u w:val="single"/>
                <w:kern w:val="0"/>
                <w:szCs w:val="16"/>
                <w:rFonts w:eastAsia="Times New Roman" w:cs="Times New Roman" w:ascii="Times New Roman" w:hAnsi="Times New Roman"/>
              </w:rPr>
              <w:fldChar w:fldCharType="end"/>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GDP10</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(constant 2005 international $) 2009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GDP10</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Standard"/>
              <w:widowControl w:val="false"/>
              <w:rPr/>
            </w:pPr>
            <w:r>
              <w:fldChar w:fldCharType="begin"/>
            </w:r>
            <w:r>
              <w:rPr>
                <w:rStyle w:val="ListLabel56"/>
                <w:sz w:val="16"/>
                <w:u w:val="single"/>
                <w:kern w:val="0"/>
                <w:szCs w:val="16"/>
                <w:rFonts w:eastAsia="Times New Roman" w:cs="Times New Roman" w:ascii="Times New Roman" w:hAnsi="Times New Roman"/>
              </w:rPr>
              <w:instrText> HYPERLINK "https://en.wikipedia.org/wiki/List_of_IMF_ranked_countries_by_GDP" \l "cite_note-3"</w:instrText>
            </w:r>
            <w:r>
              <w:rPr>
                <w:rStyle w:val="ListLabel56"/>
                <w:sz w:val="16"/>
                <w:u w:val="single"/>
                <w:kern w:val="0"/>
                <w:szCs w:val="16"/>
                <w:rFonts w:eastAsia="Times New Roman" w:cs="Times New Roman" w:ascii="Times New Roman" w:hAnsi="Times New Roman"/>
              </w:rPr>
              <w:fldChar w:fldCharType="separate"/>
            </w:r>
            <w:r>
              <w:rPr>
                <w:rStyle w:val="ListLabel56"/>
                <w:rFonts w:eastAsia="Times New Roman" w:cs="Times New Roman" w:ascii="Times New Roman" w:hAnsi="Times New Roman"/>
                <w:kern w:val="0"/>
                <w:sz w:val="16"/>
                <w:szCs w:val="16"/>
                <w:u w:val="single"/>
                <w:lang w:eastAsia="en-US" w:bidi="he-IL"/>
              </w:rPr>
              <w:t>2014 GDP published by IMF in October 2015</w:t>
            </w:r>
            <w:r>
              <w:rPr>
                <w:rStyle w:val="ListLabel56"/>
                <w:sz w:val="16"/>
                <w:u w:val="single"/>
                <w:kern w:val="0"/>
                <w:szCs w:val="16"/>
                <w:rFonts w:eastAsia="Times New Roman" w:cs="Times New Roman" w:ascii="Times New Roman" w:hAnsi="Times New Roman"/>
              </w:rPr>
              <w:fldChar w:fldCharType="end"/>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GDP11</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Atlas method (current US$) 2009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GDP12</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PPP (current international $) 2009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Estimators for Tertiary Education for the year 2000</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GDP13</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(current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Ter1</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tertiary (% gross) file 2004</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GDP14</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(constant 2005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Ter2</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tertiary (% gross) file 2009</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GDP15</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(constant 2011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Ter3</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tertiary (% gross) file 2015</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GDP16</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(current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Ter4</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file lee lee</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GDP17</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Atlas method (current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Estimators for Tertiary Education for the year 2007</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GDP18</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(constant 2005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Ter1</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tertiary (% gross) file 2015</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GDP19</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PPP (constant 2011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Ter2</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tertiary (% gross) file 2019</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GDP20</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PPP (current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Ter3</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tertiary (% gross) file 2021</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 </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Estimators for GDP for the year 2007</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Estimators for Tertiary Education for the year 2014</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(current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Ter1</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tertiary (% gross) file 2018</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GDP2</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(constant 2005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Ter2</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tertiary (% gross) file 2019</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GDP3</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(constant 2011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Ter3</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tertiary (% gross) file 2023</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GDP4</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(current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GDP5</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Atlas method (current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Estimators for Secondary Education for the year 2000</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GDP6</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(constant 2005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Sec1</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secondary (% gross) file 2004</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GDP7</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PPP (current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Sec2</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secondary (% gross) file 2009</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GDP8</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PPP (constant 2011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Sec3</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secondary (% gross) file 2015</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GDP9</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(current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Sec4</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file lee lee</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GDP10</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(constant 2010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Estimators for Secondary Education for the year 2007</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GDP11</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(current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Sec1</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secondary (% gross) file 2015</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GDP12</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 per capita, PPP (constant 2017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Sec2</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secondary (% gross) file 2019</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GDP13</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Atlas method (current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Sec3</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secondary (% gross) file 2021</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GDP14</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(constant 2010 US$)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Estimators for Secondary Education for the year 2014</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GDP15</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PPP (current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Sec1</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secondary (% gross) file 2018</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GDP16</w:t>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GNI per capita, PPP (constant 2017 international $) 2015 file</w:t>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Sec2</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secondary (% gross) file 2019</w:t>
            </w:r>
          </w:p>
        </w:tc>
      </w:tr>
      <w:tr>
        <w:trPr>
          <w:trHeight w:val="300" w:hRule="atLeast"/>
        </w:trPr>
        <w:tc>
          <w:tcPr>
            <w:tcW w:w="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r>
          </w:p>
        </w:tc>
        <w:tc>
          <w:tcPr>
            <w:tcW w:w="40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2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widowControl w:val="false"/>
              <w:rPr>
                <w:rFonts w:ascii="Times New Roman" w:hAnsi="Times New Roman" w:eastAsia="Times New Roman" w:cs="Times New Roman"/>
                <w:kern w:val="0"/>
                <w:sz w:val="20"/>
                <w:szCs w:val="20"/>
                <w:lang w:eastAsia="en-US" w:bidi="he-IL"/>
              </w:rPr>
            </w:pPr>
            <w:r>
              <w:rPr>
                <w:rFonts w:eastAsia="Times New Roman" w:cs="Times New Roman" w:ascii="Times New Roman" w:hAnsi="Times New Roman"/>
                <w:kern w:val="0"/>
                <w:sz w:val="20"/>
                <w:szCs w:val="20"/>
                <w:lang w:eastAsia="en-US" w:bidi="he-IL"/>
              </w:rPr>
            </w:r>
          </w:p>
        </w:tc>
        <w:tc>
          <w:tcPr>
            <w:tcW w:w="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Sec3</w:t>
            </w:r>
          </w:p>
        </w:tc>
        <w:tc>
          <w:tcPr>
            <w:tcW w:w="4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bottom"/>
          </w:tcPr>
          <w:p>
            <w:pPr>
              <w:pStyle w:val="Standard"/>
              <w:widowControl w:val="false"/>
              <w:rPr>
                <w:rFonts w:ascii="Times New Roman" w:hAnsi="Times New Roman" w:eastAsia="Times New Roman" w:cs="Times New Roman"/>
                <w:kern w:val="0"/>
                <w:sz w:val="16"/>
                <w:szCs w:val="16"/>
                <w:lang w:eastAsia="en-US" w:bidi="he-IL"/>
              </w:rPr>
            </w:pPr>
            <w:r>
              <w:rPr>
                <w:rFonts w:eastAsia="Times New Roman" w:cs="Times New Roman" w:ascii="Times New Roman" w:hAnsi="Times New Roman"/>
                <w:kern w:val="0"/>
                <w:sz w:val="16"/>
                <w:szCs w:val="16"/>
                <w:lang w:eastAsia="en-US" w:bidi="he-IL"/>
              </w:rPr>
              <w:t>School enrollment, secondary (% gross) file 2023</w:t>
            </w:r>
          </w:p>
        </w:tc>
      </w:tr>
    </w:tbl>
    <w:p>
      <w:pPr>
        <w:pStyle w:val="Standard"/>
        <w:rPr/>
      </w:pPr>
      <w:r>
        <w:rPr/>
      </w:r>
    </w:p>
    <w:sectPr>
      <w:type w:val="nextPage"/>
      <w:pgSz w:w="11906" w:h="16838"/>
      <w:pgMar w:left="1800" w:right="180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The data utilized in this rese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w:cs="Lohit Devanagari"/>
      <w:color w:val="auto"/>
      <w:kern w:val="2"/>
      <w:sz w:val="20"/>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qFormat/>
    <w:rPr>
      <w:color w:val="0563C1"/>
      <w:u w:val="single"/>
    </w:rPr>
  </w:style>
  <w:style w:type="character" w:styleId="Emphasis">
    <w:name w:val="Emphasis"/>
    <w:qFormat/>
    <w:rPr>
      <w:i/>
      <w:iCs/>
    </w:rPr>
  </w:style>
  <w:style w:type="character" w:styleId="HTMLPreformattedChar" w:customStyle="1">
    <w:name w:val="HTML Preformatted Char"/>
    <w:basedOn w:val="DefaultParagraphFont"/>
    <w:qFormat/>
    <w:rPr>
      <w:rFonts w:ascii="Courier New" w:hAnsi="Courier New" w:eastAsia="Times New Roman" w:cs="Courier New"/>
      <w:kern w:val="0"/>
      <w:szCs w:val="20"/>
      <w:lang w:eastAsia="en-US" w:bidi="he-IL"/>
    </w:rPr>
  </w:style>
  <w:style w:type="character" w:styleId="VisitedInternetLink" w:customStyle="1">
    <w:name w:val="Visited Internet Link"/>
    <w:basedOn w:val="DefaultParagraphFont"/>
    <w:rPr>
      <w:color w:val="954F72"/>
      <w:u w:val="single"/>
    </w:rPr>
  </w:style>
  <w:style w:type="character" w:styleId="ListLabel1" w:customStyle="1">
    <w:name w:val="ListLabel 1"/>
    <w:qFormat/>
    <w:rPr>
      <w:rFonts w:cs="Symbol"/>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ListLabel4" w:customStyle="1">
    <w:name w:val="ListLabel 4"/>
    <w:qFormat/>
    <w:rPr>
      <w:rFonts w:cs="Symbol"/>
    </w:rPr>
  </w:style>
  <w:style w:type="character" w:styleId="ListLabel5" w:customStyle="1">
    <w:name w:val="ListLabel 5"/>
    <w:qFormat/>
    <w:rPr>
      <w:rFonts w:cs="Symbol"/>
    </w:rPr>
  </w:style>
  <w:style w:type="character" w:styleId="ListLabel6" w:customStyle="1">
    <w:name w:val="ListLabel 6"/>
    <w:qFormat/>
    <w:rPr>
      <w:rFonts w:cs="Symbol"/>
    </w:rPr>
  </w:style>
  <w:style w:type="character" w:styleId="ListLabel7" w:customStyle="1">
    <w:name w:val="ListLabel 7"/>
    <w:qFormat/>
    <w:rPr>
      <w:rFonts w:cs="Symbol"/>
    </w:rPr>
  </w:style>
  <w:style w:type="character" w:styleId="ListLabel8" w:customStyle="1">
    <w:name w:val="ListLabel 8"/>
    <w:qFormat/>
    <w:rPr>
      <w:rFonts w:cs="Symbol"/>
    </w:rPr>
  </w:style>
  <w:style w:type="character" w:styleId="ListLabel9" w:customStyle="1">
    <w:name w:val="ListLabel 9"/>
    <w:qFormat/>
    <w:rPr>
      <w:rFonts w:cs="Symbol"/>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style>
  <w:style w:type="character" w:styleId="ListLabel13" w:customStyle="1">
    <w:name w:val="ListLabel 13"/>
    <w:qFormat/>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customStyle="1">
    <w:name w:val="ListLabel 23"/>
    <w:qFormat/>
    <w:rPr/>
  </w:style>
  <w:style w:type="character" w:styleId="ListLabel24" w:customStyle="1">
    <w:name w:val="ListLabel 24"/>
    <w:qFormat/>
    <w:rPr/>
  </w:style>
  <w:style w:type="character" w:styleId="ListLabel25" w:customStyle="1">
    <w:name w:val="ListLabel 25"/>
    <w:qFormat/>
    <w:rPr/>
  </w:style>
  <w:style w:type="character" w:styleId="ListLabel26" w:customStyle="1">
    <w:name w:val="ListLabel 26"/>
    <w:qFormat/>
    <w:rPr/>
  </w:style>
  <w:style w:type="character" w:styleId="ListLabel27" w:customStyle="1">
    <w:name w:val="ListLabel 27"/>
    <w:qFormat/>
    <w:rPr/>
  </w:style>
  <w:style w:type="character" w:styleId="ListLabel28" w:customStyle="1">
    <w:name w:val="ListLabel 28"/>
    <w:qFormat/>
    <w:rPr/>
  </w:style>
  <w:style w:type="character" w:styleId="ListLabel29" w:customStyle="1">
    <w:name w:val="ListLabel 29"/>
    <w:qFormat/>
    <w:rPr/>
  </w:style>
  <w:style w:type="character" w:styleId="ListLabel30" w:customStyle="1">
    <w:name w:val="ListLabel 30"/>
    <w:qFormat/>
    <w:rPr/>
  </w:style>
  <w:style w:type="character" w:styleId="ListLabel31" w:customStyle="1">
    <w:name w:val="ListLabel 31"/>
    <w:qFormat/>
    <w:rPr/>
  </w:style>
  <w:style w:type="character" w:styleId="ListLabel32" w:customStyle="1">
    <w:name w:val="ListLabel 32"/>
    <w:qFormat/>
    <w:rPr/>
  </w:style>
  <w:style w:type="character" w:styleId="ListLabel33" w:customStyle="1">
    <w:name w:val="ListLabel 33"/>
    <w:qFormat/>
    <w:rPr/>
  </w:style>
  <w:style w:type="character" w:styleId="ListLabel34" w:customStyle="1">
    <w:name w:val="ListLabel 34"/>
    <w:qFormat/>
    <w:rPr/>
  </w:style>
  <w:style w:type="character" w:styleId="ListLabel35" w:customStyle="1">
    <w:name w:val="ListLabel 35"/>
    <w:qFormat/>
    <w:rPr/>
  </w:style>
  <w:style w:type="character" w:styleId="ListLabel36" w:customStyle="1">
    <w:name w:val="ListLabel 36"/>
    <w:qFormat/>
    <w:rPr/>
  </w:style>
  <w:style w:type="character" w:styleId="ListLabel37" w:customStyle="1">
    <w:name w:val="ListLabel 37"/>
    <w:qFormat/>
    <w:rPr/>
  </w:style>
  <w:style w:type="character" w:styleId="ListLabel38" w:customStyle="1">
    <w:name w:val="ListLabel 38"/>
    <w:qFormat/>
    <w:rPr/>
  </w:style>
  <w:style w:type="character" w:styleId="ListLabel39" w:customStyle="1">
    <w:name w:val="ListLabel 39"/>
    <w:qFormat/>
    <w:rPr/>
  </w:style>
  <w:style w:type="character" w:styleId="ListLabel40" w:customStyle="1">
    <w:name w:val="ListLabel 40"/>
    <w:qFormat/>
    <w:rPr/>
  </w:style>
  <w:style w:type="character" w:styleId="ListLabel41" w:customStyle="1">
    <w:name w:val="ListLabel 41"/>
    <w:qFormat/>
    <w:rPr/>
  </w:style>
  <w:style w:type="character" w:styleId="ListLabel42" w:customStyle="1">
    <w:name w:val="ListLabel 42"/>
    <w:qFormat/>
    <w:rPr/>
  </w:style>
  <w:style w:type="character" w:styleId="ListLabel43" w:customStyle="1">
    <w:name w:val="ListLabel 43"/>
    <w:qFormat/>
    <w:rPr/>
  </w:style>
  <w:style w:type="character" w:styleId="ListLabel44" w:customStyle="1">
    <w:name w:val="ListLabel 44"/>
    <w:qFormat/>
    <w:rPr/>
  </w:style>
  <w:style w:type="character" w:styleId="ListLabel45" w:customStyle="1">
    <w:name w:val="ListLabel 45"/>
    <w:qFormat/>
    <w:rPr/>
  </w:style>
  <w:style w:type="character" w:styleId="ListLabel46" w:customStyle="1">
    <w:name w:val="ListLabel 46"/>
    <w:qFormat/>
    <w:rPr/>
  </w:style>
  <w:style w:type="character" w:styleId="ListLabel47" w:customStyle="1">
    <w:name w:val="ListLabel 47"/>
    <w:qFormat/>
    <w:rPr/>
  </w:style>
  <w:style w:type="character" w:styleId="ListLabel48" w:customStyle="1">
    <w:name w:val="ListLabel 48"/>
    <w:qFormat/>
    <w:rPr/>
  </w:style>
  <w:style w:type="character" w:styleId="ListLabel49" w:customStyle="1">
    <w:name w:val="ListLabel 49"/>
    <w:qFormat/>
    <w:rPr/>
  </w:style>
  <w:style w:type="character" w:styleId="ListLabel50" w:customStyle="1">
    <w:name w:val="ListLabel 50"/>
    <w:qFormat/>
    <w:rPr/>
  </w:style>
  <w:style w:type="character" w:styleId="ListLabel51" w:customStyle="1">
    <w:name w:val="ListLabel 51"/>
    <w:qFormat/>
    <w:rPr/>
  </w:style>
  <w:style w:type="character" w:styleId="ListLabel52" w:customStyle="1">
    <w:name w:val="ListLabel 52"/>
    <w:qFormat/>
    <w:rPr/>
  </w:style>
  <w:style w:type="character" w:styleId="ListLabel53" w:customStyle="1">
    <w:name w:val="ListLabel 53"/>
    <w:qFormat/>
    <w:rPr/>
  </w:style>
  <w:style w:type="character" w:styleId="ListLabel54" w:customStyle="1">
    <w:name w:val="ListLabel 54"/>
    <w:qFormat/>
    <w:rPr/>
  </w:style>
  <w:style w:type="character" w:styleId="ListLabel55">
    <w:name w:val="ListLabel 55"/>
    <w:qFormat/>
    <w:rPr>
      <w:rFonts w:ascii="Times New Roman" w:hAnsi="Times New Roman" w:cs="Times New Roman"/>
      <w:color w:val="auto"/>
      <w:shd w:fill="FFFFFF" w:val="clear"/>
    </w:rPr>
  </w:style>
  <w:style w:type="character" w:styleId="InternetLink1">
    <w:name w:val="Internet Link"/>
    <w:rPr>
      <w:color w:val="000080"/>
      <w:u w:val="single"/>
      <w:lang w:val="zxx" w:eastAsia="zxx" w:bidi="zxx"/>
    </w:rPr>
  </w:style>
  <w:style w:type="character" w:styleId="ListLabel56">
    <w:name w:val="ListLabel 56"/>
    <w:qFormat/>
    <w:rPr>
      <w:rFonts w:ascii="Times New Roman" w:hAnsi="Times New Roman" w:eastAsia="Times New Roman" w:cs="Times New Roman"/>
      <w:kern w:val="0"/>
      <w:sz w:val="16"/>
      <w:szCs w:val="16"/>
      <w:u w:val="single"/>
      <w:lang w:eastAsia="en-US" w:bidi="he-IL"/>
    </w:rPr>
  </w:style>
  <w:style w:type="character" w:styleId="ListLabel57">
    <w:name w:val="ListLabel 57"/>
    <w:qFormat/>
    <w:rPr>
      <w:rFonts w:ascii="Times New Roman" w:hAnsi="Times New Roman" w:cs="Times New Roman"/>
      <w:color w:val="auto"/>
      <w:highlight w:val="white"/>
    </w:rPr>
  </w:style>
  <w:style w:type="character" w:styleId="ListLabel58">
    <w:name w:val="ListLabel 58"/>
    <w:qFormat/>
    <w:rPr>
      <w:rFonts w:ascii="Times New Roman" w:hAnsi="Times New Roman" w:eastAsia="Times New Roman" w:cs="Times New Roman"/>
      <w:kern w:val="0"/>
      <w:sz w:val="16"/>
      <w:szCs w:val="16"/>
      <w:u w:val="single"/>
      <w:lang w:eastAsia="en-US" w:bidi="he-IL"/>
    </w:rPr>
  </w:style>
  <w:style w:type="character" w:styleId="ListLabel59">
    <w:name w:val="ListLabel 59"/>
    <w:qFormat/>
    <w:rPr>
      <w:rFonts w:ascii="Times New Roman" w:hAnsi="Times New Roman" w:cs="Times New Roman"/>
      <w:color w:val="auto"/>
      <w:highlight w:val="white"/>
    </w:rPr>
  </w:style>
  <w:style w:type="character" w:styleId="ListLabel60">
    <w:name w:val="ListLabel 60"/>
    <w:qFormat/>
    <w:rPr>
      <w:rFonts w:ascii="Times New Roman" w:hAnsi="Times New Roman" w:eastAsia="Times New Roman" w:cs="Times New Roman"/>
      <w:kern w:val="0"/>
      <w:sz w:val="16"/>
      <w:szCs w:val="16"/>
      <w:u w:val="single"/>
      <w:lang w:eastAsia="en-US" w:bidi="he-IL"/>
    </w:rPr>
  </w:style>
  <w:style w:type="character" w:styleId="Citation">
    <w:name w:val="citation"/>
    <w:basedOn w:val="DefaultParagraphFont"/>
    <w:qFormat/>
    <w:rPr>
      <w:rFonts w:cs="Times New Roman"/>
    </w:rPr>
  </w:style>
  <w:style w:type="character" w:styleId="ListLabel61">
    <w:name w:val="ListLabel 61"/>
    <w:qFormat/>
    <w:rPr>
      <w:rFonts w:ascii="Times New Roman" w:hAnsi="Times New Roman" w:cs="Times New Roman"/>
      <w:color w:val="auto"/>
      <w:highlight w:val="white"/>
    </w:rPr>
  </w:style>
  <w:style w:type="character" w:styleId="ListLabel62">
    <w:name w:val="ListLabel 62"/>
    <w:qFormat/>
    <w:rPr>
      <w:rFonts w:ascii="Times New Roman" w:hAnsi="Times New Roman" w:eastAsia="Times New Roman" w:cs="Times New Roman"/>
      <w:kern w:val="0"/>
      <w:sz w:val="16"/>
      <w:szCs w:val="16"/>
      <w:u w:val="single"/>
      <w:lang w:eastAsia="en-US" w:bidi="he-IL"/>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eastAsia="Liberation Sans" w:cs="Liberation Sans"/>
      <w:color w:val="auto"/>
      <w:kern w:val="2"/>
      <w:sz w:val="28"/>
      <w:szCs w:val="28"/>
      <w:lang w:val="en-US" w:eastAsia="zh-CN" w:bidi="hi-IN"/>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rFonts w:ascii="Liberation Serif" w:hAnsi="Liberation Serif" w:eastAsia="Noto Sans CJK SC" w:cs="Lohit Devanagari"/>
      <w:color w:val="auto"/>
      <w:kern w:val="2"/>
      <w:sz w:val="20"/>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Noto Sans CJK SC" w:cs="Lohit Devanagari"/>
      <w:color w:val="auto"/>
      <w:kern w:val="2"/>
      <w:sz w:val="20"/>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widowControl w:val="false"/>
      <w:suppressLineNumbers/>
    </w:pPr>
    <w:rPr/>
  </w:style>
  <w:style w:type="paragraph" w:styleId="HTMLPreformatted">
    <w:name w:val="HTML Preformatted"/>
    <w:basedOn w:val="Standar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eastAsia="en-US" w:bidi="he-IL"/>
    </w:rPr>
  </w:style>
  <w:style w:type="paragraph" w:styleId="ListParagraph">
    <w:name w:val="List Paragraph"/>
    <w:basedOn w:val="Standard"/>
    <w:qFormat/>
    <w:pPr>
      <w:ind w:left="720" w:hanging="0"/>
    </w:pPr>
    <w:rPr>
      <w:rFonts w:cs="Mangal"/>
      <w:szCs w:val="21"/>
    </w:rPr>
  </w:style>
  <w:style w:type="paragraph" w:styleId="Xl65" w:customStyle="1">
    <w:name w:val="xl65"/>
    <w:basedOn w:val="Standard"/>
    <w:qFormat/>
    <w:pPr>
      <w:pBdr>
        <w:top w:val="single" w:sz="4" w:space="0" w:color="000000"/>
        <w:left w:val="single" w:sz="4" w:space="0" w:color="000000"/>
        <w:bottom w:val="single" w:sz="4" w:space="0" w:color="000000"/>
        <w:right w:val="single" w:sz="4" w:space="0" w:color="000000"/>
      </w:pBdr>
      <w:spacing w:before="280" w:after="280"/>
    </w:pPr>
    <w:rPr>
      <w:rFonts w:ascii="Times New Roman" w:hAnsi="Times New Roman" w:eastAsia="Times New Roman" w:cs="Times New Roman"/>
      <w:kern w:val="0"/>
      <w:lang w:eastAsia="en-US" w:bidi="he-IL"/>
    </w:rPr>
  </w:style>
  <w:style w:type="paragraph" w:styleId="Xl66" w:customStyle="1">
    <w:name w:val="xl66"/>
    <w:basedOn w:val="Standard"/>
    <w:qFormat/>
    <w:pPr>
      <w:pBdr>
        <w:top w:val="single" w:sz="4" w:space="0" w:color="000000"/>
        <w:left w:val="single" w:sz="4" w:space="0" w:color="000000"/>
        <w:bottom w:val="single" w:sz="4" w:space="0" w:color="000000"/>
        <w:right w:val="single" w:sz="4" w:space="0" w:color="000000"/>
      </w:pBdr>
      <w:shd w:val="clear" w:color="auto" w:fill="E4DFEC"/>
      <w:spacing w:before="280" w:after="280"/>
      <w:jc w:val="center"/>
    </w:pPr>
    <w:rPr>
      <w:rFonts w:ascii="Times New Roman" w:hAnsi="Times New Roman" w:eastAsia="Times New Roman" w:cs="Times New Roman"/>
      <w:kern w:val="0"/>
      <w:lang w:eastAsia="en-US" w:bidi="he-IL"/>
    </w:rPr>
  </w:style>
  <w:style w:type="paragraph" w:styleId="Xl67" w:customStyle="1">
    <w:name w:val="xl67"/>
    <w:basedOn w:val="Standard"/>
    <w:qFormat/>
    <w:pPr>
      <w:pBdr>
        <w:top w:val="single" w:sz="4" w:space="0" w:color="000000"/>
        <w:left w:val="single" w:sz="4" w:space="0" w:color="000000"/>
        <w:bottom w:val="single" w:sz="4" w:space="0" w:color="000000"/>
        <w:right w:val="single" w:sz="4" w:space="0" w:color="000000"/>
      </w:pBdr>
      <w:shd w:val="clear" w:color="auto" w:fill="E4DFEC"/>
      <w:spacing w:before="280" w:after="280"/>
    </w:pPr>
    <w:rPr>
      <w:rFonts w:ascii="Times New Roman" w:hAnsi="Times New Roman" w:eastAsia="Times New Roman" w:cs="Times New Roman"/>
      <w:kern w:val="0"/>
      <w:lang w:eastAsia="en-US" w:bidi="he-IL"/>
    </w:rPr>
  </w:style>
  <w:style w:type="paragraph" w:styleId="Xl68" w:customStyle="1">
    <w:name w:val="xl68"/>
    <w:basedOn w:val="Standard"/>
    <w:qFormat/>
    <w:pPr>
      <w:pBdr>
        <w:top w:val="single" w:sz="4" w:space="0" w:color="000000"/>
        <w:left w:val="single" w:sz="4" w:space="0" w:color="000000"/>
        <w:bottom w:val="single" w:sz="4" w:space="0" w:color="000000"/>
        <w:right w:val="single" w:sz="4" w:space="0" w:color="000000"/>
      </w:pBdr>
      <w:shd w:val="clear" w:color="auto" w:fill="C4D79B"/>
      <w:spacing w:before="280" w:after="280"/>
    </w:pPr>
    <w:rPr>
      <w:rFonts w:ascii="Times New Roman" w:hAnsi="Times New Roman" w:eastAsia="Times New Roman" w:cs="Times New Roman"/>
      <w:kern w:val="0"/>
      <w:lang w:eastAsia="en-US" w:bidi="he-IL"/>
    </w:rPr>
  </w:style>
  <w:style w:type="paragraph" w:styleId="Xl69" w:customStyle="1">
    <w:name w:val="xl69"/>
    <w:basedOn w:val="Standard"/>
    <w:qFormat/>
    <w:pPr>
      <w:pBdr>
        <w:top w:val="single" w:sz="4" w:space="0" w:color="000000"/>
        <w:left w:val="single" w:sz="4" w:space="0" w:color="000000"/>
        <w:bottom w:val="single" w:sz="4" w:space="0" w:color="000000"/>
        <w:right w:val="single" w:sz="4" w:space="0" w:color="000000"/>
      </w:pBdr>
      <w:shd w:val="clear" w:color="auto" w:fill="C4D79B"/>
      <w:spacing w:before="280" w:after="280"/>
    </w:pPr>
    <w:rPr>
      <w:rFonts w:ascii="Times New Roman" w:hAnsi="Times New Roman" w:eastAsia="Times New Roman" w:cs="Times New Roman"/>
      <w:kern w:val="0"/>
      <w:lang w:eastAsia="en-US" w:bidi="he-IL"/>
    </w:rPr>
  </w:style>
  <w:style w:type="paragraph" w:styleId="Xl70" w:customStyle="1">
    <w:name w:val="xl70"/>
    <w:basedOn w:val="Standard"/>
    <w:qFormat/>
    <w:pPr>
      <w:pBdr>
        <w:top w:val="single" w:sz="4" w:space="0" w:color="000000"/>
        <w:left w:val="single" w:sz="4" w:space="0" w:color="000000"/>
        <w:bottom w:val="single" w:sz="4" w:space="0" w:color="000000"/>
        <w:right w:val="single" w:sz="4" w:space="0" w:color="000000"/>
      </w:pBdr>
      <w:shd w:val="clear" w:color="auto" w:fill="DAEEF3"/>
      <w:spacing w:before="280" w:after="280"/>
    </w:pPr>
    <w:rPr>
      <w:rFonts w:ascii="Times New Roman" w:hAnsi="Times New Roman" w:eastAsia="Times New Roman" w:cs="Times New Roman"/>
      <w:kern w:val="0"/>
      <w:lang w:eastAsia="en-US" w:bidi="he-IL"/>
    </w:rPr>
  </w:style>
  <w:style w:type="paragraph" w:styleId="Xl71" w:customStyle="1">
    <w:name w:val="xl71"/>
    <w:basedOn w:val="Standard"/>
    <w:qFormat/>
    <w:pPr>
      <w:pBdr>
        <w:top w:val="single" w:sz="4" w:space="0" w:color="000000"/>
        <w:left w:val="single" w:sz="4" w:space="0" w:color="000000"/>
        <w:bottom w:val="single" w:sz="4" w:space="0" w:color="000000"/>
        <w:right w:val="single" w:sz="4" w:space="0" w:color="000000"/>
      </w:pBdr>
      <w:shd w:val="clear" w:color="auto" w:fill="DAEEF3"/>
      <w:spacing w:before="280" w:after="280"/>
    </w:pPr>
    <w:rPr>
      <w:rFonts w:ascii="Times New Roman" w:hAnsi="Times New Roman" w:eastAsia="Times New Roman" w:cs="Times New Roman"/>
      <w:kern w:val="0"/>
      <w:lang w:eastAsia="en-US" w:bidi="he-IL"/>
    </w:rPr>
  </w:style>
  <w:style w:type="paragraph" w:styleId="Xl72" w:customStyle="1">
    <w:name w:val="xl72"/>
    <w:basedOn w:val="Standard"/>
    <w:qFormat/>
    <w:pPr>
      <w:pBdr>
        <w:top w:val="single" w:sz="4" w:space="0" w:color="000000"/>
        <w:left w:val="single" w:sz="4" w:space="0" w:color="000000"/>
        <w:bottom w:val="single" w:sz="4" w:space="0" w:color="000000"/>
        <w:right w:val="single" w:sz="4" w:space="0" w:color="000000"/>
      </w:pBdr>
      <w:shd w:val="clear" w:color="auto" w:fill="DAEEF3"/>
      <w:spacing w:before="280" w:after="280"/>
    </w:pPr>
    <w:rPr>
      <w:rFonts w:ascii="Times New Roman" w:hAnsi="Times New Roman" w:eastAsia="Times New Roman" w:cs="Times New Roman"/>
      <w:kern w:val="0"/>
      <w:sz w:val="20"/>
      <w:szCs w:val="20"/>
      <w:lang w:eastAsia="en-US" w:bidi="he-IL"/>
    </w:rPr>
  </w:style>
  <w:style w:type="paragraph" w:styleId="Xl73" w:customStyle="1">
    <w:name w:val="xl73"/>
    <w:basedOn w:val="Standard"/>
    <w:qFormat/>
    <w:pPr>
      <w:pBdr>
        <w:top w:val="single" w:sz="4" w:space="0" w:color="000000"/>
        <w:left w:val="single" w:sz="4" w:space="0" w:color="000000"/>
        <w:bottom w:val="single" w:sz="4" w:space="0" w:color="000000"/>
        <w:right w:val="single" w:sz="4" w:space="0" w:color="000000"/>
      </w:pBdr>
      <w:shd w:val="clear" w:color="auto" w:fill="E4DFEC"/>
      <w:spacing w:before="280" w:after="280"/>
      <w:jc w:val="center"/>
    </w:pPr>
    <w:rPr>
      <w:rFonts w:ascii="Times New Roman" w:hAnsi="Times New Roman" w:eastAsia="Times New Roman" w:cs="Times New Roman"/>
      <w:kern w:val="0"/>
      <w:lang w:eastAsia="en-US" w:bidi="he-IL"/>
    </w:rPr>
  </w:style>
  <w:style w:type="paragraph" w:styleId="Xl74" w:customStyle="1">
    <w:name w:val="xl74"/>
    <w:basedOn w:val="Standard"/>
    <w:qFormat/>
    <w:pPr>
      <w:pBdr>
        <w:top w:val="single" w:sz="4" w:space="0" w:color="000000"/>
        <w:left w:val="single" w:sz="4" w:space="0" w:color="000000"/>
        <w:bottom w:val="single" w:sz="4" w:space="0" w:color="000000"/>
        <w:right w:val="single" w:sz="4" w:space="0" w:color="000000"/>
      </w:pBdr>
      <w:spacing w:before="280" w:after="280"/>
      <w:jc w:val="center"/>
    </w:pPr>
    <w:rPr>
      <w:rFonts w:ascii="Times New Roman" w:hAnsi="Times New Roman" w:eastAsia="Times New Roman" w:cs="Times New Roman"/>
      <w:kern w:val="0"/>
      <w:lang w:eastAsia="en-US" w:bidi="he-IL"/>
    </w:rPr>
  </w:style>
  <w:style w:type="paragraph" w:styleId="Xl75" w:customStyle="1">
    <w:name w:val="xl75"/>
    <w:basedOn w:val="Standard"/>
    <w:qFormat/>
    <w:pPr>
      <w:pBdr>
        <w:top w:val="single" w:sz="4" w:space="0" w:color="000000"/>
        <w:left w:val="single" w:sz="4" w:space="0" w:color="000000"/>
        <w:bottom w:val="single" w:sz="4" w:space="0" w:color="000000"/>
        <w:right w:val="single" w:sz="4" w:space="0" w:color="000000"/>
      </w:pBdr>
      <w:spacing w:before="280" w:after="280"/>
      <w:jc w:val="center"/>
    </w:pPr>
    <w:rPr>
      <w:rFonts w:ascii="Times New Roman" w:hAnsi="Times New Roman" w:eastAsia="Times New Roman" w:cs="Times New Roman"/>
      <w:kern w:val="0"/>
      <w:lang w:eastAsia="en-US" w:bidi="he-IL"/>
    </w:rPr>
  </w:style>
  <w:style w:type="paragraph" w:styleId="Xl63" w:customStyle="1">
    <w:name w:val="xl63"/>
    <w:basedOn w:val="Standard"/>
    <w:qFormat/>
    <w:pPr>
      <w:pBdr>
        <w:top w:val="single" w:sz="4" w:space="0" w:color="000000"/>
        <w:left w:val="single" w:sz="4" w:space="0" w:color="000000"/>
        <w:bottom w:val="single" w:sz="4" w:space="0" w:color="000000"/>
        <w:right w:val="single" w:sz="4" w:space="0" w:color="000000"/>
      </w:pBdr>
      <w:spacing w:before="280" w:after="280"/>
    </w:pPr>
    <w:rPr>
      <w:rFonts w:ascii="Times New Roman" w:hAnsi="Times New Roman" w:eastAsia="Times New Roman" w:cs="Times New Roman"/>
      <w:kern w:val="0"/>
      <w:sz w:val="14"/>
      <w:szCs w:val="14"/>
      <w:lang w:eastAsia="en-US" w:bidi="he-IL"/>
    </w:rPr>
  </w:style>
  <w:style w:type="paragraph" w:styleId="Xl64" w:customStyle="1">
    <w:name w:val="xl64"/>
    <w:basedOn w:val="Standard"/>
    <w:qFormat/>
    <w:pPr>
      <w:pBdr>
        <w:top w:val="single" w:sz="4" w:space="0" w:color="000000"/>
        <w:left w:val="single" w:sz="4" w:space="0" w:color="000000"/>
        <w:bottom w:val="single" w:sz="4" w:space="0" w:color="000000"/>
        <w:right w:val="single" w:sz="4" w:space="0" w:color="000000"/>
      </w:pBdr>
      <w:shd w:val="clear" w:color="auto" w:fill="E4DFEC"/>
      <w:spacing w:before="280" w:after="280"/>
      <w:jc w:val="center"/>
    </w:pPr>
    <w:rPr>
      <w:rFonts w:ascii="Times New Roman" w:hAnsi="Times New Roman" w:eastAsia="Times New Roman" w:cs="Times New Roman"/>
      <w:kern w:val="0"/>
      <w:sz w:val="14"/>
      <w:szCs w:val="14"/>
      <w:lang w:eastAsia="en-US" w:bidi="he-IL"/>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rrolee.github.io/BarroLeeDataSet/DataLeeLee.html" TargetMode="External"/><Relationship Id="rId3" Type="http://schemas.openxmlformats.org/officeDocument/2006/relationships/hyperlink" Target="https://www.business-case-analysis.com/international-dollar.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29</Pages>
  <Words>11051</Words>
  <Characters>56848</Characters>
  <CharactersWithSpaces>65588</CharactersWithSpaces>
  <Paragraphs>3481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2023-06-08T03:17:00Z</dcterms:created>
  <dc:creator>Amos Baranes</dc:creator>
  <dc:description/>
  <dc:language>en-US</dc:language>
  <cp:lastModifiedBy/>
  <dcterms:modified xsi:type="dcterms:W3CDTF">2023-12-07T14:03:49Z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