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Tool: Automated Governance &amp; Standards Compliance Audit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Enterprise Architects, Solution Architects, Architecture Review Boards (ARBs), Security &amp; Compliance Officers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Overview &amp; Core Value Proposition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Objective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Governance &amp; Standards Compliance Audit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an intelligent "linter" for enterprise architecture. By ingesting both policy/guardrail documents and target architecture models (such as ArchiMate models, solution architecture documents, or cloud infrastructure designs), the tool automates complex, multi-layered compliance checks prior to formal Architecture Review Board (ARB) meetings.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Value Proposition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Reduce ARB Cycle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Cut manual compliance review time by up to 80%, shifting ARB focus from routine checklist verification to strategic design decisions.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Early Defect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missing encryption layers, single points of failure (SPOFs), unapproved tech stacks, and data residency risks during the design phase rather than during runtime or implementation.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Policy Enforcement: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 evaluation across disparate solution teams using AI-guided graph workflows that cite exact policy sources.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User Journey &amp; Workflow Architecture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4"/>
          <w:szCs w:val="14"/>
          <w:rtl w:val="0"/>
        </w:rPr>
        <w:t xml:space="preserve"> +------------------------+      +-------------------------------+      +-------------------------+</w:t>
        <w:br w:type="textWrapping"/>
        <w:t xml:space="preserve"> | 1. Ingest &amp; Classify   | ---&gt; | 2. Rule Extraction &amp; Parsing  | ---&gt; | 3. LangGraph Execution  |</w:t>
        <w:br w:type="textWrapping"/>
        <w:t xml:space="preserve"> | - Upload/Link Canvas   |      | - Guardrails -&gt; Normalized    |      | - Structural Analysis   |</w:t>
        <w:br w:type="textWrapping"/>
        <w:t xml:space="preserve"> | - Assign Roles:        |      |   Rule Sets                   |      | - Semantic Verification |</w:t>
        <w:br w:type="textWrapping"/>
        <w:t xml:space="preserve"> |   [Guardrail|Target]   |      | - Target -&gt; Unified Graph Model|     | - Compliance Mapping    |</w:t>
        <w:br w:type="textWrapping"/>
        <w:t xml:space="preserve"> +------------------------+      +-------------------------------+      +-------------------------+</w:t>
        <w:br w:type="textWrapping"/>
        <w:t xml:space="preserve">                                                                                     |</w:t>
        <w:br w:type="textWrapping"/>
        <w:t xml:space="preserve">                                                                                     v</w:t>
        <w:br w:type="textWrapping"/>
        <w:t xml:space="preserve"> +------------------------+      +-------------------------------+      +-------------------------+</w:t>
        <w:br w:type="textWrapping"/>
        <w:t xml:space="preserve"> | 6. ARB Sign-off &amp; Export| &lt;--- | 5. Human-in-the-Loop (HITL)   | &lt;--- | 4. Audit Dashboard      |</w:t>
        <w:br w:type="textWrapping"/>
        <w:t xml:space="preserve"> | - Export PDF/Jira/Git  |      | - Architect Overrides/Refines |      | - Severity Matrix       |</w:t>
        <w:br w:type="textWrapping"/>
        <w:t xml:space="preserve"> | - Update Model Tags    |      | - Disputed Flags Resolution   |      | - Detailed Violations   |</w:t>
        <w:br w:type="textWrapping"/>
        <w:t xml:space="preserve"> +------------------------+      +-------------------------------+      +-------------------------+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Workflow Steps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Selection &amp; Role Assignment: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adds or links documents into the Canvas context (e.g., PDFs, Word, Markdown, Confluence links, ArchiMate Open Exchange XML/JSON).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explicitly classifies each document as either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Guardrail Document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Zero-Trust Policy, Data Protection Act, Cloud-First Rules) or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Target Document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Solution Architecture Document, ArchiMate Model Export, Infrastructure-as-Code).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 Launch: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"Run Governance Audit"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specifying optionally a scoping preset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Strict Security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GDPR 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TOGAF Alignment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Pipeline Execution: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LangGraph agentic workflow parses rules, maps guardrails to design elements, identifies discrepancies, assesses risk severity, and synthesizes findings.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Audit Dashboard: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explores interactive findings categorized by severity (Critical, Major, Minor, Info), with direct references to model nodes and policy clauses.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(HITL) Review: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Architects can approve findings, mark false positives, request mitigation plans, or add contextual waivers.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Export &amp; Actionability: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standardized ARB Briefing documents (PDF, Markdown), push issue tickets to Jira/ServiceNow, or write compliance annotations back to the model.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LangGraph Node Blueprint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               +----------------------+</w:t>
        <w:br w:type="textWrapping"/>
        <w:t xml:space="preserve">                     |     START NODE       |</w:t>
        <w:br w:type="textWrapping"/>
        <w:t xml:space="preserve">                     +----------------------+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+--------------------------+</w:t>
        <w:br w:type="textWrapping"/>
        <w:t xml:space="preserve">                   | Guardrail Parser Node    |</w:t>
        <w:br w:type="textWrapping"/>
        <w:t xml:space="preserve">                   +--------------------------+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+--------------------------+</w:t>
        <w:br w:type="textWrapping"/>
        <w:t xml:space="preserve">                   | Arch Model Extractor Node|</w:t>
        <w:br w:type="textWrapping"/>
        <w:t xml:space="preserve">                   +--------------------------+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+--------------------------+</w:t>
        <w:br w:type="textWrapping"/>
        <w:t xml:space="preserve">                   | Rule Scoping &amp; Matcher   |</w:t>
        <w:br w:type="textWrapping"/>
        <w:t xml:space="preserve">                   +--------------------------+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+--------------------------+</w:t>
        <w:br w:type="textWrapping"/>
        <w:t xml:space="preserve">                   | Compliance Verifier Node |</w:t>
        <w:br w:type="textWrapping"/>
        <w:t xml:space="preserve">                   +--------------------------+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+--------------------------+</w:t>
        <w:br w:type="textWrapping"/>
        <w:t xml:space="preserve">                   | Risk Evaluator Node      |</w:t>
        <w:br w:type="textWrapping"/>
        <w:t xml:space="preserve">                   +--------------------------+</w:t>
        <w:br w:type="textWrapping"/>
        <w:t xml:space="preserve">                                |</w:t>
        <w:br w:type="textWrapping"/>
        <w:t xml:space="preserve">              /-----------------\-----------------\</w:t>
        <w:br w:type="textWrapping"/>
        <w:t xml:space="preserve">             | Is Human Review   | High Uncertainty|</w:t>
        <w:br w:type="textWrapping"/>
        <w:t xml:space="preserve">             | Required / Requested?               |</w:t>
        <w:br w:type="textWrapping"/>
        <w:t xml:space="preserve">              \-----------------/-----------------/</w:t>
        <w:br w:type="textWrapping"/>
        <w:t xml:space="preserve">                     |                      |</w:t>
        <w:br w:type="textWrapping"/>
        <w:t xml:space="preserve">            Yes      v                      v     No</w:t>
        <w:br w:type="textWrapping"/>
        <w:t xml:space="preserve">        +----------------------+   +-------------------+</w:t>
        <w:br w:type="textWrapping"/>
        <w:t xml:space="preserve">        | HITL Override Node   |   | Report Synthesizer|</w:t>
        <w:br w:type="textWrapping"/>
        <w:t xml:space="preserve">        +----------------------+   +-------------------+</w:t>
        <w:br w:type="textWrapping"/>
        <w:t xml:space="preserve">                     |                      |</w:t>
        <w:br w:type="textWrapping"/>
        <w:t xml:space="preserve">                     +----------+-----------+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  +----------------------+</w:t>
        <w:br w:type="textWrapping"/>
        <w:t xml:space="preserve">                     |       END NODE       |</w:t>
        <w:br w:type="textWrapping"/>
        <w:t xml:space="preserve">                     +----------------------+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 Details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Guardrail Parser Node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Analyzes Guardrail documents using LLM unstructured-to-structured parsing.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Extracts discrete, testable logic rules from natural text (e.g., "All persistent data stores containing PII must use AES-256 encryption").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Updates parsed_rules array in state.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 Model Extractor Node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Parses target architecture inputs.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XML ArchiMate models or unstructured Architecture Specs into an internal JSON Graph of Elements, Interfaces, Data Flows, and Hosting Nodes.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Updates parsed_architecture state.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Scoping &amp; Matcher Node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Pre-filters and maps parsed rules to relevant architecture elements (reducing token usage and context overhead).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Matches rules about "Data Encryption" only to Data Objects, Storage Nodes, and Data Flows.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Verifier Node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Performs semantic and structural audit evaluations.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</w:p>
    <w:p w:rsidR="00000000" w:rsidDel="00000000" w:rsidP="00000000" w:rsidRDefault="00000000" w:rsidRPr="00000000" w14:paraId="0000002C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Structural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there an encryption node between Data Store A and External System B?</w:t>
      </w:r>
    </w:p>
    <w:p w:rsidR="00000000" w:rsidDel="00000000" w:rsidP="00000000" w:rsidRDefault="00000000" w:rsidRPr="00000000" w14:paraId="0000002D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Technology Radar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PostgreSQL v9.6 used despite being deprecated in guardrails?</w:t>
      </w:r>
    </w:p>
    <w:p w:rsidR="00000000" w:rsidDel="00000000" w:rsidP="00000000" w:rsidRDefault="00000000" w:rsidRPr="00000000" w14:paraId="0000002E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Topology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a single API Gateway represent a Single Point of Failure (SPOF)?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raw violations list with evidence citations.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Evaluator Node</w:t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Calculates compound risk score and assigns final severity based on impact and likelihood.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Weighs violations against context (e.g., an unencrypted internal logging queue is Major, but an unencrypted public API endpoint with PII is Critical).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(HITL) 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(Conditional Trigger)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Intercepts low-confidence evaluations or high-criticality flags for human architect verification before final report generation.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Synthesizer Node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Consolidates findings into an executive summary, scorecards (e.g., 84% Compliance Rating), and clear remediation pathways.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Guardrail Catalog &amp; Pre-built Rule Types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must support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Out-of-the-Box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Policy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Guardrail 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Example Policy /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Detection Logic in ArchiMate / Doc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Zero-Trust &amp;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"All data in transit across zone boundaries must use encrypted protocols."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Scans Flow or Triggering relationships between components across different Location / Group boundaries lacking a secure protocol property.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Protection / GDPR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"EU Customer PII must not be hosted or processed on non-EU infrastructure."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Identifies DataObject tagged as PII linked via Specialization or Serving to Node elements with Location != EU.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Resilience &amp; Fault Tolerance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"Critical Business Services must not depend on non-redundant single components."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Analyzes graph topology for BusinessService elements with path dependency on a single ApplicationComponent without active-active/standby replication.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 Radar / Standardisation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"Unapproved legacy databases (e.g., Oracle 11g) are prohibited for new designs."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Matches Node / SystemSoftware name or property fields against an Enterprise Tech Radar blacklist.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TOGAF / Architecture Principles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"Application components must interact via standard API Interfaces, not direct DB access."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Detects direct Access relationships between ApplicationComponent A and DataObject owned by ApplicationComponent B.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Functional Feature Requirements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Document Ingestion &amp; Classification (Canvas Integration)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Canvas UI must allow dragging &amp; dropping files (.xml, .json, .pdf, .docx, .md).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Toggle selection for document role: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[Guardrail Policy]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[Target Architecture]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Built-in ArchiMate parser supporting the official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Group ArchiMate Model Exchange File 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(XML schema).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Analysis &amp; Rule Customization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Scope Selector: Allow user to enable/disable specific rule categories before execution (e.g., Security, Cloud Compliance, Cost Optimization).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Sensitivity Slider: Adjust rule strictness (Strict, Standard, Tolerant).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Interactive Compliance Dashboard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FR-3.1: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Score Gauge: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Overall metric (0–100%) calculated based on weighted violations.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FR-3.2: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Filterable Violation 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Filter by Severity (Critical, Major, Minor), Category, or Architecture Domain (Business, Application, Technology).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FR-3.3: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Side-by-Side Traceability Inspector: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a violation highlights: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exact Guardrail document text snippet &amp; rule.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target ArchiMate element / document paragraph causing the violation.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AI-suggested fix / architecture refactoring options.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Audit Override &amp; Human Feedback (HITL)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FR-4.1: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actions on every finding: [Accept Finding], [Mark False Positive], [Grant Exemption / Waiver].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FR-4.2: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 a text rationale whenever an architect grants an exemption.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5.5 Reporting &amp; Integration Export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FR-5.1: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 ARB Executive Summary PDF.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FR-5.2: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 Annotated ArchiMate Model (injecting standard properties into non-compliant components: e.g., compliance_status = FAILED).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FR-5.3: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push to Jira/ServiceNow (creates actionable stories for engineering teams).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Non-Functional Requirements (NFRs)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Accuracy &amp; Determinism: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Hallucination rate must be minimized by enforcing ground-truth citations (every finding must directly quote the policy document).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&amp; 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Models and guardrails often contain confidential IP; data must be processed in zero-data-retention LLM endpoints with end-to-end encryption.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Non-compliance flags must explain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reasoning 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taken by the LangGraph agent chain.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