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喵</w:t>
            </w:r>
            <w:proofErr w:type="gramEnd"/>
            <w:r w:rsidRPr="00DF47B3">
              <w:rPr>
                <w:sz w:val="18"/>
                <w:szCs w:val="18"/>
              </w:rPr>
              <w:t>生活貓舍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W1120850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他場特寵業繁字號：第G1080004號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他場特寵業繁字號：第G1080004號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他場名稱：張嘉良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他場名稱：貓派貓坊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他場名稱：可可喵喵屋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他場名稱：貓奴奴貓舍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他場名稱：貓宅屋貓舍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他場名稱：盈芳湖內貓舍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他場名稱：盈芳湖內貓舍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他場名稱：盈芳湖內貓舍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他場名稱：盈芳貓舍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他場名稱：盈芳貓舍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他場名稱：貓宅屋貓舍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他場名稱：貓情人貓舍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他場名稱：施淑芬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他場名稱：貓宅屋貓舍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他場名稱：貓宅屋貓舍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他場名稱：貓宅屋貓舍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他場名稱：哈妮貓舍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他場名稱：哈妮貓舍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