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i w:val="false"/>
          <w:iCs w:val="false"/>
          <w:color w:val="0F6E45"/>
          <w:sz w:val="20"/>
          <w:szCs w:val="20"/>
        </w:rPr>
        <w:t xml:space="preserve">PROJECT MICRO-CREDIT BUILDER</w:t>
      </w:r>
    </w:p>
    <w:p>
      <w:pPr>
        <w:spacing w:after="80"/>
      </w:pPr>
      <w:r>
        <w:rPr>
          <w:rFonts w:ascii="Arial" w:cs="Arial" w:eastAsia="Arial" w:hAnsi="Arial"/>
          <w:b/>
          <w:bCs/>
          <w:color w:val="1A241C"/>
          <w:sz w:val="48"/>
          <w:szCs w:val="48"/>
        </w:rPr>
        <w:t xml:space="preserve">Strategy</w:t>
      </w:r>
    </w:p>
    <w:p>
      <w:pPr>
        <w:spacing w:after="120" w:before="0"/>
      </w:pPr>
      <w:r>
        <w:rPr>
          <w:rFonts w:ascii="Arial" w:cs="Arial" w:eastAsia="Arial" w:hAnsi="Arial"/>
          <w:b w:val="false"/>
          <w:bCs w:val="false"/>
          <w:i/>
          <w:iCs/>
          <w:color w:val="3D4D43"/>
          <w:sz w:val="22"/>
          <w:szCs w:val="22"/>
        </w:rPr>
        <w:t xml:space="preserve">Bank partnership, sandbox, economics, and go-to-market. Customer and operator behavior lives in the Digital Susu app.</w:t>
      </w:r>
    </w:p>
    <w:p>
      <w:pPr>
        <w:spacing w:after="120" w:before="0"/>
      </w:pPr>
      <w:r>
        <w:rPr>
          <w:rFonts w:ascii="Arial" w:cs="Arial" w:eastAsia="Arial" w:hAnsi="Arial"/>
          <w:b w:val="false"/>
          <w:bCs w:val="false"/>
          <w:i w:val="false"/>
          <w:iCs w:val="false"/>
          <w:color w:val="1A241C"/>
          <w:sz w:val="22"/>
          <w:szCs w:val="22"/>
        </w:rPr>
        <w:t xml:space="preserve">Status: working concept, October 2026. Company name, founder, and partner bank are still placeholders. The app ships with Amanfo Savings &amp; Loans as a demo label only.</w:t>
      </w:r>
    </w:p>
    <w:p>
      <w:pPr>
        <w:pStyle w:val="Heading1"/>
        <w:spacing w:after="120" w:before="280"/>
      </w:pPr>
      <w:r>
        <w:rPr>
          <w:rFonts w:ascii="Arial" w:cs="Arial" w:eastAsia="Arial" w:hAnsi="Arial"/>
          <w:b/>
          <w:bCs/>
          <w:color w:val="1A241C"/>
        </w:rPr>
        <w:t xml:space="preserve">1. What this document is for</w:t>
      </w:r>
    </w:p>
    <w:p>
      <w:pPr>
        <w:spacing w:after="120" w:before="0"/>
      </w:pPr>
      <w:r>
        <w:rPr>
          <w:rFonts w:ascii="Arial" w:cs="Arial" w:eastAsia="Arial" w:hAnsi="Arial"/>
          <w:b w:val="false"/>
          <w:bCs w:val="false"/>
          <w:i w:val="false"/>
          <w:iCs w:val="false"/>
          <w:color w:val="1A241C"/>
          <w:sz w:val="22"/>
          <w:szCs w:val="22"/>
        </w:rPr>
        <w:t xml:space="preserve">The source files mixed a product, a bank pitch, a regulatory path, and engineering notes. Anything a customer, help desk, ops admin, or super admin can do is in the app. This file keeps what the app cannot settle: who holds the license, who owns the float, how the firm gets to market, and what the board still has to decide.</w:t>
      </w:r>
    </w:p>
    <w:p>
      <w:pPr>
        <w:pStyle w:val="Heading1"/>
        <w:spacing w:after="120" w:before="280"/>
      </w:pPr>
      <w:r>
        <w:rPr>
          <w:rFonts w:ascii="Arial" w:cs="Arial" w:eastAsia="Arial" w:hAnsi="Arial"/>
          <w:b/>
          <w:bCs/>
          <w:color w:val="1A241C"/>
        </w:rPr>
        <w:t xml:space="preserve">2. The thesis</w:t>
      </w:r>
    </w:p>
    <w:p>
      <w:pPr>
        <w:spacing w:after="120" w:before="0"/>
      </w:pPr>
      <w:r>
        <w:rPr>
          <w:rFonts w:ascii="Arial" w:cs="Arial" w:eastAsia="Arial" w:hAnsi="Arial"/>
          <w:b w:val="false"/>
          <w:bCs w:val="false"/>
          <w:i w:val="false"/>
          <w:iCs w:val="false"/>
          <w:color w:val="1A241C"/>
          <w:sz w:val="22"/>
          <w:szCs w:val="22"/>
        </w:rPr>
        <w:t xml:space="preserve">Ghana retail credit into the informal market fails on missing bureau files and high non-performing loans. A traditional GH₵ 600 cash loan to a market trader is a credit decision. Digital Susu is not. The bank books a 0% loan and locks the full principal in escrow on day one. The customer never receives that cash. Each month they pay GH₵ 5 from MoMo. The bank sweeps GH₵ 45 from the lockbox. XDS Data Ghana is told a GH₵ 50 installment was paid on time.</w:t>
      </w:r>
    </w:p>
    <w:p>
      <w:pPr>
        <w:spacing w:after="120" w:before="0"/>
      </w:pPr>
      <w:r>
        <w:rPr>
          <w:rFonts w:ascii="Arial" w:cs="Arial" w:eastAsia="Arial" w:hAnsi="Arial"/>
          <w:b w:val="false"/>
          <w:bCs w:val="false"/>
          <w:i w:val="false"/>
          <w:iCs w:val="false"/>
          <w:color w:val="1A241C"/>
          <w:sz w:val="22"/>
          <w:szCs w:val="22"/>
        </w:rPr>
        <w:t xml:space="preserve">Principal credit risk on the builder loan is designed to be zero. The commercial point for the bank is not interest on the GH₵ 600. It is a locked, non-withdrawable deposit book, a cheap acquisition funnel, and a pre-screened file for a later GH₵ 2,500 SME line that the bank funds itself.</w:t>
      </w:r>
    </w:p>
    <w:p>
      <w:pPr>
        <w:spacing w:after="120" w:before="0"/>
      </w:pPr>
      <w:r>
        <w:rPr>
          <w:rFonts w:ascii="Arial" w:cs="Arial" w:eastAsia="Arial" w:hAnsi="Arial"/>
          <w:b w:val="false"/>
          <w:bCs w:val="false"/>
          <w:i w:val="false"/>
          <w:iCs w:val="false"/>
          <w:color w:val="1A241C"/>
          <w:sz w:val="22"/>
          <w:szCs w:val="22"/>
        </w:rPr>
        <w:t xml:space="preserve">The mechanic is adapted from ONE / OnePay's legacy Walmart credit-builder loop (a small out-of-pocket payment, the rest swept from locked principal, a full installment reported). That US product has since moved to a secured card. The Ghana version keeps the loan-and-lockbox shape because the buyer is a bank, not a wallet.</w:t>
      </w:r>
    </w:p>
    <w:p>
      <w:pPr>
        <w:pStyle w:val="Heading1"/>
        <w:spacing w:after="120" w:before="280"/>
      </w:pPr>
      <w:r>
        <w:rPr>
          <w:rFonts w:ascii="Arial" w:cs="Arial" w:eastAsia="Arial" w:hAnsi="Arial"/>
          <w:b/>
          <w:bCs/>
          <w:color w:val="1A241C"/>
        </w:rPr>
        <w:t xml:space="preserve">3. Do not apply to Bank of Ghana alone</w:t>
      </w:r>
    </w:p>
    <w:p>
      <w:pPr>
        <w:spacing w:after="120" w:before="0"/>
      </w:pPr>
      <w:r>
        <w:rPr>
          <w:rFonts w:ascii="Arial" w:cs="Arial" w:eastAsia="Arial" w:hAnsi="Arial"/>
          <w:b w:val="false"/>
          <w:bCs w:val="false"/>
          <w:i w:val="false"/>
          <w:iCs w:val="false"/>
          <w:color w:val="1A241C"/>
          <w:sz w:val="22"/>
          <w:szCs w:val="22"/>
        </w:rPr>
        <w:t xml:space="preserve">Three paths were compared. Only the first is recommended for a first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4DCCB" w:sz="4"/>
              <w:left w:val="single" w:color="E4DCCB" w:sz="4"/>
              <w:bottom w:val="single" w:color="E4DCCB" w:sz="4"/>
              <w:right w:val="single" w:color="E4DCCB" w:sz="4"/>
            </w:tcBorders>
            <w:shd w:fill="0F6E45" w:val="clear"/>
            <w:tcMar>
              <w:top w:type="dxa" w:w="60"/>
              <w:left w:type="dxa" w:w="80"/>
              <w:bottom w:type="dxa" w:w="60"/>
              <w:right w:type="dxa" w:w="80"/>
            </w:tcMar>
          </w:tcPr>
          <w:p>
            <w:r>
              <w:rPr>
                <w:rFonts w:ascii="Arial" w:cs="Arial" w:eastAsia="Arial" w:hAnsi="Arial"/>
                <w:b/>
                <w:bCs/>
                <w:color w:val="FFFFFF"/>
                <w:sz w:val="18"/>
                <w:szCs w:val="18"/>
              </w:rPr>
              <w:t xml:space="preserve">Path</w:t>
            </w:r>
          </w:p>
        </w:tc>
        <w:tc>
          <w:tcPr>
            <w:tcW w:type="dxa" w:w="3480"/>
            <w:tcBorders>
              <w:top w:val="single" w:color="E4DCCB" w:sz="4"/>
              <w:left w:val="single" w:color="E4DCCB" w:sz="4"/>
              <w:bottom w:val="single" w:color="E4DCCB" w:sz="4"/>
              <w:right w:val="single" w:color="E4DCCB" w:sz="4"/>
            </w:tcBorders>
            <w:shd w:fill="0F6E45" w:val="clear"/>
            <w:tcMar>
              <w:top w:type="dxa" w:w="60"/>
              <w:left w:type="dxa" w:w="80"/>
              <w:bottom w:type="dxa" w:w="60"/>
              <w:right w:type="dxa" w:w="80"/>
            </w:tcMar>
          </w:tcPr>
          <w:p>
            <w:r>
              <w:rPr>
                <w:rFonts w:ascii="Arial" w:cs="Arial" w:eastAsia="Arial" w:hAnsi="Arial"/>
                <w:b/>
                <w:bCs/>
                <w:color w:val="FFFFFF"/>
                <w:sz w:val="18"/>
                <w:szCs w:val="18"/>
              </w:rPr>
              <w:t xml:space="preserve">Why it looks attractive</w:t>
            </w:r>
          </w:p>
        </w:tc>
        <w:tc>
          <w:tcPr>
            <w:tcW w:type="dxa" w:w="3480"/>
            <w:tcBorders>
              <w:top w:val="single" w:color="E4DCCB" w:sz="4"/>
              <w:left w:val="single" w:color="E4DCCB" w:sz="4"/>
              <w:bottom w:val="single" w:color="E4DCCB" w:sz="4"/>
              <w:right w:val="single" w:color="E4DCCB" w:sz="4"/>
            </w:tcBorders>
            <w:shd w:fill="0F6E45" w:val="clear"/>
            <w:tcMar>
              <w:top w:type="dxa" w:w="60"/>
              <w:left w:type="dxa" w:w="80"/>
              <w:bottom w:type="dxa" w:w="60"/>
              <w:right w:type="dxa" w:w="80"/>
            </w:tcMar>
          </w:tcPr>
          <w:p>
            <w:r>
              <w:rPr>
                <w:rFonts w:ascii="Arial" w:cs="Arial" w:eastAsia="Arial" w:hAnsi="Arial"/>
                <w:b/>
                <w:bCs/>
                <w:color w:val="FFFFFF"/>
                <w:sz w:val="18"/>
                <w:szCs w:val="18"/>
              </w:rPr>
              <w:t xml:space="preserve">Why it is the wrong first move</w:t>
            </w:r>
          </w:p>
        </w:tc>
      </w:tr>
      <w:tr>
        <w:tc>
          <w:tcPr>
            <w:tcW w:type="dxa" w:w="2400"/>
            <w:tcBorders>
              <w:top w:val="single" w:color="E4DCCB" w:sz="4"/>
              <w:left w:val="single" w:color="E4DCCB" w:sz="4"/>
              <w:bottom w:val="single" w:color="E4DCCB" w:sz="4"/>
              <w:right w:val="single" w:color="E4DCCB" w:sz="4"/>
            </w:tcBorders>
            <w:shd w:fill="FFFFFF" w:val="clear"/>
            <w:tcMar>
              <w:top w:type="dxa" w:w="60"/>
              <w:left w:type="dxa" w:w="80"/>
              <w:bottom w:type="dxa" w:w="60"/>
              <w:right w:type="dxa" w:w="80"/>
            </w:tcMar>
          </w:tcPr>
          <w:p>
            <w:r>
              <w:rPr>
                <w:rFonts w:ascii="Arial" w:cs="Arial" w:eastAsia="Arial" w:hAnsi="Arial"/>
                <w:b w:val="false"/>
                <w:bCs w:val="false"/>
                <w:color w:val="1A241C"/>
                <w:sz w:val="18"/>
                <w:szCs w:val="18"/>
              </w:rPr>
              <w:t xml:space="preserve">Bank or savings &amp; loans partner</w:t>
            </w:r>
          </w:p>
        </w:tc>
        <w:tc>
          <w:tcPr>
            <w:tcW w:type="dxa" w:w="3480"/>
            <w:tcBorders>
              <w:top w:val="single" w:color="E4DCCB" w:sz="4"/>
              <w:left w:val="single" w:color="E4DCCB" w:sz="4"/>
              <w:bottom w:val="single" w:color="E4DCCB" w:sz="4"/>
              <w:right w:val="single" w:color="E4DCCB" w:sz="4"/>
            </w:tcBorders>
            <w:shd w:fill="FFFFFF" w:val="clear"/>
            <w:tcMar>
              <w:top w:type="dxa" w:w="60"/>
              <w:left w:type="dxa" w:w="80"/>
              <w:bottom w:type="dxa" w:w="60"/>
              <w:right w:type="dxa" w:w="80"/>
            </w:tcMar>
          </w:tcPr>
          <w:p>
            <w:r>
              <w:rPr>
                <w:rFonts w:ascii="Arial" w:cs="Arial" w:eastAsia="Arial" w:hAnsi="Arial"/>
                <w:b w:val="false"/>
                <w:bCs w:val="false"/>
                <w:color w:val="1A241C"/>
                <w:sz w:val="18"/>
                <w:szCs w:val="18"/>
              </w:rPr>
              <w:t xml:space="preserve">License, escrow on core banking, cheap deposits, sandbox cover</w:t>
            </w:r>
          </w:p>
        </w:tc>
        <w:tc>
          <w:tcPr>
            <w:tcW w:type="dxa" w:w="3480"/>
            <w:tcBorders>
              <w:top w:val="single" w:color="E4DCCB" w:sz="4"/>
              <w:left w:val="single" w:color="E4DCCB" w:sz="4"/>
              <w:bottom w:val="single" w:color="E4DCCB" w:sz="4"/>
              <w:right w:val="single" w:color="E4DCCB" w:sz="4"/>
            </w:tcBorders>
            <w:shd w:fill="FFFFFF" w:val="clear"/>
            <w:tcMar>
              <w:top w:type="dxa" w:w="60"/>
              <w:left w:type="dxa" w:w="80"/>
              <w:bottom w:type="dxa" w:w="60"/>
              <w:right w:type="dxa" w:w="80"/>
            </w:tcMar>
          </w:tcPr>
          <w:p>
            <w:r>
              <w:rPr>
                <w:rFonts w:ascii="Arial" w:cs="Arial" w:eastAsia="Arial" w:hAnsi="Arial"/>
                <w:b w:val="false"/>
                <w:bCs w:val="false"/>
                <w:color w:val="1A241C"/>
                <w:sz w:val="18"/>
                <w:szCs w:val="18"/>
              </w:rPr>
              <w:t xml:space="preserve">Slower procurement. Bank will want the float.</w:t>
            </w:r>
          </w:p>
        </w:tc>
      </w:tr>
      <w:tr>
        <w:tc>
          <w:tcPr>
            <w:tcW w:type="dxa" w:w="2400"/>
            <w:tcBorders>
              <w:top w:val="single" w:color="E4DCCB" w:sz="4"/>
              <w:left w:val="single" w:color="E4DCCB" w:sz="4"/>
              <w:bottom w:val="single" w:color="E4DCCB" w:sz="4"/>
              <w:right w:val="single" w:color="E4DCCB" w:sz="4"/>
            </w:tcBorders>
            <w:shd w:fill="FFFFFF" w:val="clear"/>
            <w:tcMar>
              <w:top w:type="dxa" w:w="60"/>
              <w:left w:type="dxa" w:w="80"/>
              <w:bottom w:type="dxa" w:w="60"/>
              <w:right w:type="dxa" w:w="80"/>
            </w:tcMar>
          </w:tcPr>
          <w:p>
            <w:r>
              <w:rPr>
                <w:rFonts w:ascii="Arial" w:cs="Arial" w:eastAsia="Arial" w:hAnsi="Arial"/>
                <w:b w:val="false"/>
                <w:bCs w:val="false"/>
                <w:color w:val="1A241C"/>
                <w:sz w:val="18"/>
                <w:szCs w:val="18"/>
              </w:rPr>
              <w:t xml:space="preserve">Direct BoG license</w:t>
            </w:r>
          </w:p>
        </w:tc>
        <w:tc>
          <w:tcPr>
            <w:tcW w:type="dxa" w:w="3480"/>
            <w:tcBorders>
              <w:top w:val="single" w:color="E4DCCB" w:sz="4"/>
              <w:left w:val="single" w:color="E4DCCB" w:sz="4"/>
              <w:bottom w:val="single" w:color="E4DCCB" w:sz="4"/>
              <w:right w:val="single" w:color="E4DCCB" w:sz="4"/>
            </w:tcBorders>
            <w:shd w:fill="FFFFFF" w:val="clear"/>
            <w:tcMar>
              <w:top w:type="dxa" w:w="60"/>
              <w:left w:type="dxa" w:w="80"/>
              <w:bottom w:type="dxa" w:w="60"/>
              <w:right w:type="dxa" w:w="80"/>
            </w:tcMar>
          </w:tcPr>
          <w:p>
            <w:r>
              <w:rPr>
                <w:rFonts w:ascii="Arial" w:cs="Arial" w:eastAsia="Arial" w:hAnsi="Arial"/>
                <w:b w:val="false"/>
                <w:bCs w:val="false"/>
                <w:color w:val="1A241C"/>
                <w:sz w:val="18"/>
                <w:szCs w:val="18"/>
              </w:rPr>
              <w:t xml:space="preserve">Full independence</w:t>
            </w:r>
          </w:p>
        </w:tc>
        <w:tc>
          <w:tcPr>
            <w:tcW w:type="dxa" w:w="3480"/>
            <w:tcBorders>
              <w:top w:val="single" w:color="E4DCCB" w:sz="4"/>
              <w:left w:val="single" w:color="E4DCCB" w:sz="4"/>
              <w:bottom w:val="single" w:color="E4DCCB" w:sz="4"/>
              <w:right w:val="single" w:color="E4DCCB" w:sz="4"/>
            </w:tcBorders>
            <w:shd w:fill="FFFFFF" w:val="clear"/>
            <w:tcMar>
              <w:top w:type="dxa" w:w="60"/>
              <w:left w:type="dxa" w:w="80"/>
              <w:bottom w:type="dxa" w:w="60"/>
              <w:right w:type="dxa" w:w="80"/>
            </w:tcMar>
          </w:tcPr>
          <w:p>
            <w:r>
              <w:rPr>
                <w:rFonts w:ascii="Arial" w:cs="Arial" w:eastAsia="Arial" w:hAnsi="Arial"/>
                <w:b w:val="false"/>
                <w:bCs w:val="false"/>
                <w:color w:val="1A241C"/>
                <w:sz w:val="18"/>
                <w:szCs w:val="18"/>
              </w:rPr>
              <w:t xml:space="preserve">Capital, governance, and time that a first product cannot carry.</w:t>
            </w:r>
          </w:p>
        </w:tc>
      </w:tr>
      <w:tr>
        <w:tc>
          <w:tcPr>
            <w:tcW w:type="dxa" w:w="2400"/>
            <w:tcBorders>
              <w:top w:val="single" w:color="E4DCCB" w:sz="4"/>
              <w:left w:val="single" w:color="E4DCCB" w:sz="4"/>
              <w:bottom w:val="single" w:color="E4DCCB" w:sz="4"/>
              <w:right w:val="single" w:color="E4DCCB" w:sz="4"/>
            </w:tcBorders>
            <w:shd w:fill="FFFFFF" w:val="clear"/>
            <w:tcMar>
              <w:top w:type="dxa" w:w="60"/>
              <w:left w:type="dxa" w:w="80"/>
              <w:bottom w:type="dxa" w:w="60"/>
              <w:right w:type="dxa" w:w="80"/>
            </w:tcMar>
          </w:tcPr>
          <w:p>
            <w:r>
              <w:rPr>
                <w:rFonts w:ascii="Arial" w:cs="Arial" w:eastAsia="Arial" w:hAnsi="Arial"/>
                <w:b w:val="false"/>
                <w:bCs w:val="false"/>
                <w:color w:val="1A241C"/>
                <w:sz w:val="18"/>
                <w:szCs w:val="18"/>
              </w:rPr>
              <w:t xml:space="preserve">Partner with a lender such as Fido</w:t>
            </w:r>
          </w:p>
        </w:tc>
        <w:tc>
          <w:tcPr>
            <w:tcW w:type="dxa" w:w="3480"/>
            <w:tcBorders>
              <w:top w:val="single" w:color="E4DCCB" w:sz="4"/>
              <w:left w:val="single" w:color="E4DCCB" w:sz="4"/>
              <w:bottom w:val="single" w:color="E4DCCB" w:sz="4"/>
              <w:right w:val="single" w:color="E4DCCB" w:sz="4"/>
            </w:tcBorders>
            <w:shd w:fill="FFFFFF" w:val="clear"/>
            <w:tcMar>
              <w:top w:type="dxa" w:w="60"/>
              <w:left w:type="dxa" w:w="80"/>
              <w:bottom w:type="dxa" w:w="60"/>
              <w:right w:type="dxa" w:w="80"/>
            </w:tcMar>
          </w:tcPr>
          <w:p>
            <w:r>
              <w:rPr>
                <w:rFonts w:ascii="Arial" w:cs="Arial" w:eastAsia="Arial" w:hAnsi="Arial"/>
                <w:b w:val="false"/>
                <w:bCs w:val="false"/>
                <w:color w:val="1A241C"/>
                <w:sz w:val="18"/>
                <w:szCs w:val="18"/>
              </w:rPr>
              <w:t xml:space="preserve">Fast tech fit</w:t>
            </w:r>
          </w:p>
        </w:tc>
        <w:tc>
          <w:tcPr>
            <w:tcW w:type="dxa" w:w="3480"/>
            <w:tcBorders>
              <w:top w:val="single" w:color="E4DCCB" w:sz="4"/>
              <w:left w:val="single" w:color="E4DCCB" w:sz="4"/>
              <w:bottom w:val="single" w:color="E4DCCB" w:sz="4"/>
              <w:right w:val="single" w:color="E4DCCB" w:sz="4"/>
            </w:tcBorders>
            <w:shd w:fill="FFFFFF" w:val="clear"/>
            <w:tcMar>
              <w:top w:type="dxa" w:w="60"/>
              <w:left w:type="dxa" w:w="80"/>
              <w:bottom w:type="dxa" w:w="60"/>
              <w:right w:type="dxa" w:w="80"/>
            </w:tcMar>
          </w:tcPr>
          <w:p>
            <w:r>
              <w:rPr>
                <w:rFonts w:ascii="Arial" w:cs="Arial" w:eastAsia="Arial" w:hAnsi="Arial"/>
                <w:b w:val="false"/>
                <w:bCs w:val="false"/>
                <w:color w:val="1A241C"/>
                <w:sz w:val="18"/>
                <w:szCs w:val="18"/>
              </w:rPr>
              <w:t xml:space="preserve">They already underwrite the same customer. Conflict, not a channel.</w:t>
            </w:r>
          </w:p>
        </w:tc>
      </w:tr>
    </w:tbl>
    <w:p>
      <w:pPr>
        <w:spacing w:after="120" w:before="160"/>
      </w:pPr>
      <w:r>
        <w:rPr>
          <w:rFonts w:ascii="Arial" w:cs="Arial" w:eastAsia="Arial" w:hAnsi="Arial"/>
          <w:b w:val="false"/>
          <w:bCs w:val="false"/>
          <w:i w:val="false"/>
          <w:iCs w:val="false"/>
          <w:color w:val="1A241C"/>
          <w:sz w:val="22"/>
          <w:szCs w:val="22"/>
        </w:rPr>
        <w:t xml:space="preserve">Target a progressive local commercial bank or an established savings and loans company. Do not open with Ecobank or Standard Chartered. The pitch is deposit mobilization with zero builder-loan NPLs, not a consumer-credit experiment.</w:t>
      </w:r>
    </w:p>
    <w:p>
      <w:pPr>
        <w:pStyle w:val="Heading1"/>
        <w:spacing w:after="120" w:before="280"/>
      </w:pPr>
      <w:r>
        <w:rPr>
          <w:rFonts w:ascii="Arial" w:cs="Arial" w:eastAsia="Arial" w:hAnsi="Arial"/>
          <w:b/>
          <w:bCs/>
          <w:color w:val="1A241C"/>
        </w:rPr>
        <w:t xml:space="preserve">4. What each side owns</w:t>
      </w:r>
    </w:p>
    <w:p>
      <w:pPr>
        <w:spacing w:after="120" w:before="0"/>
      </w:pPr>
      <w:r>
        <w:rPr>
          <w:rFonts w:ascii="Arial" w:cs="Arial" w:eastAsia="Arial" w:hAnsi="Arial"/>
          <w:b w:val="false"/>
          <w:bCs w:val="false"/>
          <w:i w:val="false"/>
          <w:iCs w:val="false"/>
          <w:color w:val="1A241C"/>
          <w:sz w:val="22"/>
          <w:szCs w:val="22"/>
        </w:rPr>
        <w:t xml:space="preserve">Technology partner: the app, USSD *385#, metadata scoring, GhIPSS callback handling, XDS submission files, help desk, group Susu ledger, and the origination file for graduated customers.</w:t>
      </w:r>
    </w:p>
    <w:p>
      <w:pPr>
        <w:spacing w:after="120" w:before="0"/>
      </w:pPr>
      <w:r>
        <w:rPr>
          <w:rFonts w:ascii="Arial" w:cs="Arial" w:eastAsia="Arial" w:hAnsi="Arial"/>
          <w:b w:val="false"/>
          <w:bCs w:val="false"/>
          <w:i w:val="false"/>
          <w:iCs w:val="false"/>
          <w:color w:val="1A241C"/>
          <w:sz w:val="22"/>
          <w:szCs w:val="22"/>
        </w:rPr>
        <w:t xml:space="preserve">Bank partner: the license, current and escrow sub-ledgers on the core, the locked cash, treasury mapping, the right of set-off, funding of any post-graduation SME line, and the BoG relationship.</w:t>
      </w:r>
    </w:p>
    <w:p>
      <w:pPr>
        <w:spacing w:after="120" w:before="0"/>
      </w:pPr>
      <w:r>
        <w:rPr>
          <w:rFonts w:ascii="Arial" w:cs="Arial" w:eastAsia="Arial" w:hAnsi="Arial"/>
          <w:b w:val="false"/>
          <w:bCs w:val="false"/>
          <w:i w:val="false"/>
          <w:iCs w:val="false"/>
          <w:color w:val="1A241C"/>
          <w:sz w:val="22"/>
          <w:szCs w:val="22"/>
        </w:rPr>
        <w:t xml:space="preserve">The app already separates these. A customer can request the GH₵ 2,500 line. They cannot draw it. Ops can set off a box. They cannot invent capital.</w:t>
      </w:r>
    </w:p>
    <w:p>
      <w:pPr>
        <w:pStyle w:val="Heading1"/>
        <w:spacing w:after="120" w:before="280"/>
      </w:pPr>
      <w:r>
        <w:rPr>
          <w:rFonts w:ascii="Arial" w:cs="Arial" w:eastAsia="Arial" w:hAnsi="Arial"/>
          <w:b/>
          <w:bCs/>
          <w:color w:val="1A241C"/>
        </w:rPr>
        <w:t xml:space="preserve">5. Sandbox, then scale</w:t>
      </w:r>
    </w:p>
    <w:p>
      <w:pPr>
        <w:spacing w:after="120" w:before="0"/>
      </w:pPr>
      <w:r>
        <w:rPr>
          <w:rFonts w:ascii="Arial" w:cs="Arial" w:eastAsia="Arial" w:hAnsi="Arial"/>
          <w:b w:val="false"/>
          <w:bCs w:val="false"/>
          <w:i w:val="false"/>
          <w:iCs w:val="false"/>
          <w:color w:val="1A241C"/>
          <w:sz w:val="22"/>
          <w:szCs w:val="22"/>
        </w:rPr>
        <w:t xml:space="preserve">Phase 1 is a joint application to the Bank of Ghana regulatory sandbox, anchored on the partner's license. Proposed pilot: 1,000 users, one region, one or two MoMo rails, monthly bureau file, and a written set-off rule the customer has already accepted in the app.</w:t>
      </w:r>
    </w:p>
    <w:p>
      <w:pPr>
        <w:spacing w:after="120" w:before="0"/>
      </w:pPr>
      <w:r>
        <w:rPr>
          <w:rFonts w:ascii="Arial" w:cs="Arial" w:eastAsia="Arial" w:hAnsi="Arial"/>
          <w:b w:val="false"/>
          <w:bCs w:val="false"/>
          <w:i w:val="false"/>
          <w:iCs w:val="false"/>
          <w:color w:val="1A241C"/>
          <w:sz w:val="22"/>
          <w:szCs w:val="22"/>
        </w:rPr>
        <w:t xml:space="preserve">Phase 2 is the same engine at 100,000 active boxes. That is the number used in the board math below. It is a target, not a forecast.</w:t>
      </w:r>
    </w:p>
    <w:p>
      <w:pPr>
        <w:spacing w:after="120" w:before="0"/>
      </w:pPr>
      <w:r>
        <w:rPr>
          <w:rFonts w:ascii="Arial" w:cs="Arial" w:eastAsia="Arial" w:hAnsi="Arial"/>
          <w:b w:val="false"/>
          <w:bCs w:val="false"/>
          <w:i w:val="false"/>
          <w:iCs w:val="false"/>
          <w:color w:val="1A241C"/>
          <w:sz w:val="22"/>
          <w:szCs w:val="22"/>
        </w:rPr>
        <w:t xml:space="preserve">Phase 3 is cross-sell: salary advance and micro-SME lines originated in the app, funded and booked by the bank. The builder loan stays 0% and fully cash-collateralized. Do not mix the two risk books.</w:t>
      </w:r>
    </w:p>
    <w:p>
      <w:pPr>
        <w:pStyle w:val="Heading1"/>
        <w:spacing w:after="120" w:before="280"/>
      </w:pPr>
      <w:r>
        <w:rPr>
          <w:rFonts w:ascii="Arial" w:cs="Arial" w:eastAsia="Arial" w:hAnsi="Arial"/>
          <w:b/>
          <w:bCs/>
          <w:color w:val="1A241C"/>
        </w:rPr>
        <w:t xml:space="preserve">6. Letter of intent, in outline</w:t>
      </w:r>
    </w:p>
    <w:p>
      <w:pPr>
        <w:spacing w:after="120" w:before="0"/>
      </w:pPr>
      <w:r>
        <w:rPr>
          <w:rFonts w:ascii="Arial" w:cs="Arial" w:eastAsia="Arial" w:hAnsi="Arial"/>
          <w:b w:val="false"/>
          <w:bCs w:val="false"/>
          <w:i w:val="false"/>
          <w:iCs w:val="false"/>
          <w:color w:val="1A241C"/>
          <w:sz w:val="22"/>
          <w:szCs w:val="22"/>
        </w:rPr>
        <w:t xml:space="preserve">Send a short confidential LOI, not the codebase. Attach the architecture only after a mutual NDA. The LOI should say:</w:t>
      </w:r>
    </w:p>
    <w:p>
      <w:pPr>
        <w:spacing w:after="120" w:before="0"/>
      </w:pPr>
      <w:r>
        <w:rPr>
          <w:rFonts w:ascii="Arial" w:cs="Arial" w:eastAsia="Arial" w:hAnsi="Arial"/>
          <w:b w:val="false"/>
          <w:bCs w:val="false"/>
          <w:i w:val="false"/>
          <w:iCs w:val="false"/>
          <w:color w:val="1A241C"/>
          <w:sz w:val="22"/>
          <w:szCs w:val="22"/>
        </w:rPr>
        <w:t xml:space="preserve">The technology firm will deploy and run Digital Susu, including Ghana Card onboarding, Act 843 consent, MoMo pulls, the co-payment sweep, bureau reporting, USSD, and support.</w:t>
      </w:r>
    </w:p>
    <w:p>
      <w:pPr>
        <w:spacing w:after="120" w:before="0"/>
      </w:pPr>
      <w:r>
        <w:rPr>
          <w:rFonts w:ascii="Arial" w:cs="Arial" w:eastAsia="Arial" w:hAnsi="Arial"/>
          <w:b w:val="false"/>
          <w:bCs w:val="false"/>
          <w:i w:val="false"/>
          <w:iCs w:val="false"/>
          <w:color w:val="1A241C"/>
          <w:sz w:val="22"/>
          <w:szCs w:val="22"/>
        </w:rPr>
        <w:t xml:space="preserve">The bank will be the regulatory umbrella, open escrow sub-ledgers, hold the locked principal, execute set-off under the agreed rule, and fund any later SME line on its own credit policy.</w:t>
      </w:r>
    </w:p>
    <w:p>
      <w:pPr>
        <w:spacing w:after="120" w:before="0"/>
      </w:pPr>
      <w:r>
        <w:rPr>
          <w:rFonts w:ascii="Arial" w:cs="Arial" w:eastAsia="Arial" w:hAnsi="Arial"/>
          <w:b w:val="false"/>
          <w:bCs w:val="false"/>
          <w:i w:val="false"/>
          <w:iCs w:val="false"/>
          <w:color w:val="1A241C"/>
          <w:sz w:val="22"/>
          <w:szCs w:val="22"/>
        </w:rPr>
        <w:t xml:space="preserve">Pilot of about 1,000 users inside the BoG sandbox. Either side can stop new origination. Existing boxes run to maturity or set-off. No exclusivity until the pilot report.</w:t>
      </w:r>
    </w:p>
    <w:p>
      <w:pPr>
        <w:spacing w:after="120" w:before="0"/>
      </w:pPr>
      <w:r>
        <w:rPr>
          <w:rFonts w:ascii="Arial" w:cs="Arial" w:eastAsia="Arial" w:hAnsi="Arial"/>
          <w:b w:val="false"/>
          <w:bCs w:val="false"/>
          <w:i w:val="false"/>
          <w:iCs w:val="false"/>
          <w:color w:val="1A241C"/>
          <w:sz w:val="22"/>
          <w:szCs w:val="22"/>
        </w:rPr>
        <w:t xml:space="preserve">Placeholders still to fill: company name, founder, email, phone, and the bank's legal name.</w:t>
      </w:r>
    </w:p>
    <w:p>
      <w:pPr>
        <w:pStyle w:val="Heading1"/>
        <w:spacing w:after="120" w:before="280"/>
      </w:pPr>
      <w:r>
        <w:rPr>
          <w:rFonts w:ascii="Arial" w:cs="Arial" w:eastAsia="Arial" w:hAnsi="Arial"/>
          <w:b/>
          <w:bCs/>
          <w:color w:val="1A241C"/>
        </w:rPr>
        <w:t xml:space="preserve">7. Revenue share to negotiate</w:t>
      </w:r>
    </w:p>
    <w:p>
      <w:pPr>
        <w:spacing w:after="120" w:before="0"/>
      </w:pPr>
      <w:r>
        <w:rPr>
          <w:rFonts w:ascii="Arial" w:cs="Arial" w:eastAsia="Arial" w:hAnsi="Arial"/>
          <w:b w:val="false"/>
          <w:bCs w:val="false"/>
          <w:i w:val="false"/>
          <w:iCs w:val="false"/>
          <w:color w:val="1A241C"/>
          <w:sz w:val="22"/>
          <w:szCs w:val="22"/>
        </w:rPr>
        <w:t xml:space="preserve">Figures below are the opening position per 100,000 active users, not agreed terms. Float yield is the bank's. Fee share is the argument.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tcW w:type="dxa" w:w="2800"/>
            <w:tcBorders>
              <w:top w:val="single" w:color="E4DCCB" w:sz="4"/>
              <w:left w:val="single" w:color="E4DCCB" w:sz="4"/>
              <w:bottom w:val="single" w:color="E4DCCB" w:sz="4"/>
              <w:right w:val="single" w:color="E4DCCB" w:sz="4"/>
            </w:tcBorders>
            <w:shd w:fill="0F6E45" w:val="clear"/>
            <w:tcMar>
              <w:top w:type="dxa" w:w="60"/>
              <w:left w:type="dxa" w:w="80"/>
              <w:bottom w:type="dxa" w:w="60"/>
              <w:right w:type="dxa" w:w="80"/>
            </w:tcMar>
          </w:tcPr>
          <w:p>
            <w:r>
              <w:rPr>
                <w:rFonts w:ascii="Arial" w:cs="Arial" w:eastAsia="Arial" w:hAnsi="Arial"/>
                <w:b/>
                <w:bCs/>
                <w:color w:val="FFFFFF"/>
                <w:sz w:val="18"/>
                <w:szCs w:val="18"/>
              </w:rPr>
              <w:t xml:space="preserve">Stream</w:t>
            </w:r>
          </w:p>
        </w:tc>
        <w:tc>
          <w:tcPr>
            <w:tcW w:type="dxa" w:w="3760"/>
            <w:tcBorders>
              <w:top w:val="single" w:color="E4DCCB" w:sz="4"/>
              <w:left w:val="single" w:color="E4DCCB" w:sz="4"/>
              <w:bottom w:val="single" w:color="E4DCCB" w:sz="4"/>
              <w:right w:val="single" w:color="E4DCCB" w:sz="4"/>
            </w:tcBorders>
            <w:shd w:fill="0F6E45" w:val="clear"/>
            <w:tcMar>
              <w:top w:type="dxa" w:w="60"/>
              <w:left w:type="dxa" w:w="80"/>
              <w:bottom w:type="dxa" w:w="60"/>
              <w:right w:type="dxa" w:w="80"/>
            </w:tcMar>
          </w:tcPr>
          <w:p>
            <w:r>
              <w:rPr>
                <w:rFonts w:ascii="Arial" w:cs="Arial" w:eastAsia="Arial" w:hAnsi="Arial"/>
                <w:b/>
                <w:bCs/>
                <w:color w:val="FFFFFF"/>
                <w:sz w:val="18"/>
                <w:szCs w:val="18"/>
              </w:rPr>
              <w:t xml:space="preserve">Shape at 100k users</w:t>
            </w:r>
          </w:p>
        </w:tc>
        <w:tc>
          <w:tcPr>
            <w:tcW w:type="dxa" w:w="2800"/>
            <w:tcBorders>
              <w:top w:val="single" w:color="E4DCCB" w:sz="4"/>
              <w:left w:val="single" w:color="E4DCCB" w:sz="4"/>
              <w:bottom w:val="single" w:color="E4DCCB" w:sz="4"/>
              <w:right w:val="single" w:color="E4DCCB" w:sz="4"/>
            </w:tcBorders>
            <w:shd w:fill="0F6E45" w:val="clear"/>
            <w:tcMar>
              <w:top w:type="dxa" w:w="60"/>
              <w:left w:type="dxa" w:w="80"/>
              <w:bottom w:type="dxa" w:w="60"/>
              <w:right w:type="dxa" w:w="80"/>
            </w:tcMar>
          </w:tcPr>
          <w:p>
            <w:r>
              <w:rPr>
                <w:rFonts w:ascii="Arial" w:cs="Arial" w:eastAsia="Arial" w:hAnsi="Arial"/>
                <w:b/>
                <w:bCs/>
                <w:color w:val="FFFFFF"/>
                <w:sz w:val="18"/>
                <w:szCs w:val="18"/>
              </w:rPr>
              <w:t xml:space="preserve">Opening split</w:t>
            </w:r>
          </w:p>
        </w:tc>
      </w:tr>
      <w:tr>
        <w:tc>
          <w:tcPr>
            <w:tcW w:type="dxa" w:w="2800"/>
            <w:tcBorders>
              <w:top w:val="single" w:color="E4DCCB" w:sz="4"/>
              <w:left w:val="single" w:color="E4DCCB" w:sz="4"/>
              <w:bottom w:val="single" w:color="E4DCCB" w:sz="4"/>
              <w:right w:val="single" w:color="E4DCCB" w:sz="4"/>
            </w:tcBorders>
            <w:shd w:fill="FFFFFF" w:val="clear"/>
            <w:tcMar>
              <w:top w:type="dxa" w:w="60"/>
              <w:left w:type="dxa" w:w="80"/>
              <w:bottom w:type="dxa" w:w="60"/>
              <w:right w:type="dxa" w:w="80"/>
            </w:tcMar>
          </w:tcPr>
          <w:p>
            <w:r>
              <w:rPr>
                <w:rFonts w:ascii="Arial" w:cs="Arial" w:eastAsia="Arial" w:hAnsi="Arial"/>
                <w:b w:val="false"/>
                <w:bCs w:val="false"/>
                <w:color w:val="1A241C"/>
                <w:sz w:val="18"/>
                <w:szCs w:val="18"/>
              </w:rPr>
              <w:t xml:space="preserve">Activation fee, GH₵ 15 once</w:t>
            </w:r>
          </w:p>
        </w:tc>
        <w:tc>
          <w:tcPr>
            <w:tcW w:type="dxa" w:w="3760"/>
            <w:tcBorders>
              <w:top w:val="single" w:color="E4DCCB" w:sz="4"/>
              <w:left w:val="single" w:color="E4DCCB" w:sz="4"/>
              <w:bottom w:val="single" w:color="E4DCCB" w:sz="4"/>
              <w:right w:val="single" w:color="E4DCCB" w:sz="4"/>
            </w:tcBorders>
            <w:shd w:fill="FFFFFF" w:val="clear"/>
            <w:tcMar>
              <w:top w:type="dxa" w:w="60"/>
              <w:left w:type="dxa" w:w="80"/>
              <w:bottom w:type="dxa" w:w="60"/>
              <w:right w:type="dxa" w:w="80"/>
            </w:tcMar>
          </w:tcPr>
          <w:p>
            <w:r>
              <w:rPr>
                <w:rFonts w:ascii="Arial" w:cs="Arial" w:eastAsia="Arial" w:hAnsi="Arial"/>
                <w:b w:val="false"/>
                <w:bCs w:val="false"/>
                <w:color w:val="1A241C"/>
                <w:sz w:val="18"/>
                <w:szCs w:val="18"/>
              </w:rPr>
              <w:t xml:space="preserve">GH₵ 1,500,000 upfront</w:t>
            </w:r>
          </w:p>
        </w:tc>
        <w:tc>
          <w:tcPr>
            <w:tcW w:type="dxa" w:w="2800"/>
            <w:tcBorders>
              <w:top w:val="single" w:color="E4DCCB" w:sz="4"/>
              <w:left w:val="single" w:color="E4DCCB" w:sz="4"/>
              <w:bottom w:val="single" w:color="E4DCCB" w:sz="4"/>
              <w:right w:val="single" w:color="E4DCCB" w:sz="4"/>
            </w:tcBorders>
            <w:shd w:fill="FFFFFF" w:val="clear"/>
            <w:tcMar>
              <w:top w:type="dxa" w:w="60"/>
              <w:left w:type="dxa" w:w="80"/>
              <w:bottom w:type="dxa" w:w="60"/>
              <w:right w:type="dxa" w:w="80"/>
            </w:tcMar>
          </w:tcPr>
          <w:p>
            <w:r>
              <w:rPr>
                <w:rFonts w:ascii="Arial" w:cs="Arial" w:eastAsia="Arial" w:hAnsi="Arial"/>
                <w:b w:val="false"/>
                <w:bCs w:val="false"/>
                <w:color w:val="1A241C"/>
                <w:sz w:val="18"/>
                <w:szCs w:val="18"/>
              </w:rPr>
              <w:t xml:space="preserve">Firm 80% / bank 20%</w:t>
            </w:r>
          </w:p>
        </w:tc>
      </w:tr>
      <w:tr>
        <w:tc>
          <w:tcPr>
            <w:tcW w:type="dxa" w:w="2800"/>
            <w:tcBorders>
              <w:top w:val="single" w:color="E4DCCB" w:sz="4"/>
              <w:left w:val="single" w:color="E4DCCB" w:sz="4"/>
              <w:bottom w:val="single" w:color="E4DCCB" w:sz="4"/>
              <w:right w:val="single" w:color="E4DCCB" w:sz="4"/>
            </w:tcBorders>
            <w:shd w:fill="FFFFFF" w:val="clear"/>
            <w:tcMar>
              <w:top w:type="dxa" w:w="60"/>
              <w:left w:type="dxa" w:w="80"/>
              <w:bottom w:type="dxa" w:w="60"/>
              <w:right w:type="dxa" w:w="80"/>
            </w:tcMar>
          </w:tcPr>
          <w:p>
            <w:r>
              <w:rPr>
                <w:rFonts w:ascii="Arial" w:cs="Arial" w:eastAsia="Arial" w:hAnsi="Arial"/>
                <w:b w:val="false"/>
                <w:bCs w:val="false"/>
                <w:color w:val="1A241C"/>
                <w:sz w:val="18"/>
                <w:szCs w:val="18"/>
              </w:rPr>
              <w:t xml:space="preserve">Ledger fee, GH₵ 1 per month</w:t>
            </w:r>
          </w:p>
        </w:tc>
        <w:tc>
          <w:tcPr>
            <w:tcW w:type="dxa" w:w="3760"/>
            <w:tcBorders>
              <w:top w:val="single" w:color="E4DCCB" w:sz="4"/>
              <w:left w:val="single" w:color="E4DCCB" w:sz="4"/>
              <w:bottom w:val="single" w:color="E4DCCB" w:sz="4"/>
              <w:right w:val="single" w:color="E4DCCB" w:sz="4"/>
            </w:tcBorders>
            <w:shd w:fill="FFFFFF" w:val="clear"/>
            <w:tcMar>
              <w:top w:type="dxa" w:w="60"/>
              <w:left w:type="dxa" w:w="80"/>
              <w:bottom w:type="dxa" w:w="60"/>
              <w:right w:type="dxa" w:w="80"/>
            </w:tcMar>
          </w:tcPr>
          <w:p>
            <w:r>
              <w:rPr>
                <w:rFonts w:ascii="Arial" w:cs="Arial" w:eastAsia="Arial" w:hAnsi="Arial"/>
                <w:b w:val="false"/>
                <w:bCs w:val="false"/>
                <w:color w:val="1A241C"/>
                <w:sz w:val="18"/>
                <w:szCs w:val="18"/>
              </w:rPr>
              <w:t xml:space="preserve">GH₵ 1,200,000 a year</w:t>
            </w:r>
          </w:p>
        </w:tc>
        <w:tc>
          <w:tcPr>
            <w:tcW w:type="dxa" w:w="2800"/>
            <w:tcBorders>
              <w:top w:val="single" w:color="E4DCCB" w:sz="4"/>
              <w:left w:val="single" w:color="E4DCCB" w:sz="4"/>
              <w:bottom w:val="single" w:color="E4DCCB" w:sz="4"/>
              <w:right w:val="single" w:color="E4DCCB" w:sz="4"/>
            </w:tcBorders>
            <w:shd w:fill="FFFFFF" w:val="clear"/>
            <w:tcMar>
              <w:top w:type="dxa" w:w="60"/>
              <w:left w:type="dxa" w:w="80"/>
              <w:bottom w:type="dxa" w:w="60"/>
              <w:right w:type="dxa" w:w="80"/>
            </w:tcMar>
          </w:tcPr>
          <w:p>
            <w:r>
              <w:rPr>
                <w:rFonts w:ascii="Arial" w:cs="Arial" w:eastAsia="Arial" w:hAnsi="Arial"/>
                <w:b w:val="false"/>
                <w:bCs w:val="false"/>
                <w:color w:val="1A241C"/>
                <w:sz w:val="18"/>
                <w:szCs w:val="18"/>
              </w:rPr>
              <w:t xml:space="preserve">Firm 70% / bank 30%</w:t>
            </w:r>
          </w:p>
        </w:tc>
      </w:tr>
      <w:tr>
        <w:tc>
          <w:tcPr>
            <w:tcW w:type="dxa" w:w="2800"/>
            <w:tcBorders>
              <w:top w:val="single" w:color="E4DCCB" w:sz="4"/>
              <w:left w:val="single" w:color="E4DCCB" w:sz="4"/>
              <w:bottom w:val="single" w:color="E4DCCB" w:sz="4"/>
              <w:right w:val="single" w:color="E4DCCB" w:sz="4"/>
            </w:tcBorders>
            <w:shd w:fill="FFFFFF" w:val="clear"/>
            <w:tcMar>
              <w:top w:type="dxa" w:w="60"/>
              <w:left w:type="dxa" w:w="80"/>
              <w:bottom w:type="dxa" w:w="60"/>
              <w:right w:type="dxa" w:w="80"/>
            </w:tcMar>
          </w:tcPr>
          <w:p>
            <w:r>
              <w:rPr>
                <w:rFonts w:ascii="Arial" w:cs="Arial" w:eastAsia="Arial" w:hAnsi="Arial"/>
                <w:b w:val="false"/>
                <w:bCs w:val="false"/>
                <w:color w:val="1A241C"/>
                <w:sz w:val="18"/>
                <w:szCs w:val="18"/>
              </w:rPr>
              <w:t xml:space="preserve">Locked escrow float</w:t>
            </w:r>
          </w:p>
        </w:tc>
        <w:tc>
          <w:tcPr>
            <w:tcW w:type="dxa" w:w="3760"/>
            <w:tcBorders>
              <w:top w:val="single" w:color="E4DCCB" w:sz="4"/>
              <w:left w:val="single" w:color="E4DCCB" w:sz="4"/>
              <w:bottom w:val="single" w:color="E4DCCB" w:sz="4"/>
              <w:right w:val="single" w:color="E4DCCB" w:sz="4"/>
            </w:tcBorders>
            <w:shd w:fill="FFFFFF" w:val="clear"/>
            <w:tcMar>
              <w:top w:type="dxa" w:w="60"/>
              <w:left w:type="dxa" w:w="80"/>
              <w:bottom w:type="dxa" w:w="60"/>
              <w:right w:type="dxa" w:w="80"/>
            </w:tcMar>
          </w:tcPr>
          <w:p>
            <w:r>
              <w:rPr>
                <w:rFonts w:ascii="Arial" w:cs="Arial" w:eastAsia="Arial" w:hAnsi="Arial"/>
                <w:b w:val="false"/>
                <w:bCs w:val="false"/>
                <w:color w:val="1A241C"/>
                <w:sz w:val="18"/>
                <w:szCs w:val="18"/>
              </w:rPr>
              <w:t xml:space="preserve">GH₵ 60,000,000 at open, declining as sweeps run</w:t>
            </w:r>
          </w:p>
        </w:tc>
        <w:tc>
          <w:tcPr>
            <w:tcW w:type="dxa" w:w="2800"/>
            <w:tcBorders>
              <w:top w:val="single" w:color="E4DCCB" w:sz="4"/>
              <w:left w:val="single" w:color="E4DCCB" w:sz="4"/>
              <w:bottom w:val="single" w:color="E4DCCB" w:sz="4"/>
              <w:right w:val="single" w:color="E4DCCB" w:sz="4"/>
            </w:tcBorders>
            <w:shd w:fill="FFFFFF" w:val="clear"/>
            <w:tcMar>
              <w:top w:type="dxa" w:w="60"/>
              <w:left w:type="dxa" w:w="80"/>
              <w:bottom w:type="dxa" w:w="60"/>
              <w:right w:type="dxa" w:w="80"/>
            </w:tcMar>
          </w:tcPr>
          <w:p>
            <w:r>
              <w:rPr>
                <w:rFonts w:ascii="Arial" w:cs="Arial" w:eastAsia="Arial" w:hAnsi="Arial"/>
                <w:b w:val="false"/>
                <w:bCs w:val="false"/>
                <w:color w:val="1A241C"/>
                <w:sz w:val="18"/>
                <w:szCs w:val="18"/>
              </w:rPr>
              <w:t xml:space="preserve">Bank 100% of treasury yield</w:t>
            </w:r>
          </w:p>
        </w:tc>
      </w:tr>
      <w:tr>
        <w:tc>
          <w:tcPr>
            <w:tcW w:type="dxa" w:w="2800"/>
            <w:tcBorders>
              <w:top w:val="single" w:color="E4DCCB" w:sz="4"/>
              <w:left w:val="single" w:color="E4DCCB" w:sz="4"/>
              <w:bottom w:val="single" w:color="E4DCCB" w:sz="4"/>
              <w:right w:val="single" w:color="E4DCCB" w:sz="4"/>
            </w:tcBorders>
            <w:shd w:fill="FFFFFF" w:val="clear"/>
            <w:tcMar>
              <w:top w:type="dxa" w:w="60"/>
              <w:left w:type="dxa" w:w="80"/>
              <w:bottom w:type="dxa" w:w="60"/>
              <w:right w:type="dxa" w:w="80"/>
            </w:tcMar>
          </w:tcPr>
          <w:p>
            <w:r>
              <w:rPr>
                <w:rFonts w:ascii="Arial" w:cs="Arial" w:eastAsia="Arial" w:hAnsi="Arial"/>
                <w:b w:val="false"/>
                <w:bCs w:val="false"/>
                <w:color w:val="1A241C"/>
                <w:sz w:val="18"/>
                <w:szCs w:val="18"/>
              </w:rPr>
              <w:t xml:space="preserve">Later SME and salary lines</w:t>
            </w:r>
          </w:p>
        </w:tc>
        <w:tc>
          <w:tcPr>
            <w:tcW w:type="dxa" w:w="3760"/>
            <w:tcBorders>
              <w:top w:val="single" w:color="E4DCCB" w:sz="4"/>
              <w:left w:val="single" w:color="E4DCCB" w:sz="4"/>
              <w:bottom w:val="single" w:color="E4DCCB" w:sz="4"/>
              <w:right w:val="single" w:color="E4DCCB" w:sz="4"/>
            </w:tcBorders>
            <w:shd w:fill="FFFFFF" w:val="clear"/>
            <w:tcMar>
              <w:top w:type="dxa" w:w="60"/>
              <w:left w:type="dxa" w:w="80"/>
              <w:bottom w:type="dxa" w:w="60"/>
              <w:right w:type="dxa" w:w="80"/>
            </w:tcMar>
          </w:tcPr>
          <w:p>
            <w:r>
              <w:rPr>
                <w:rFonts w:ascii="Arial" w:cs="Arial" w:eastAsia="Arial" w:hAnsi="Arial"/>
                <w:b w:val="false"/>
                <w:bCs w:val="false"/>
                <w:color w:val="1A241C"/>
                <w:sz w:val="18"/>
                <w:szCs w:val="18"/>
              </w:rPr>
              <w:t xml:space="preserve">Variable, bank-funded</w:t>
            </w:r>
          </w:p>
        </w:tc>
        <w:tc>
          <w:tcPr>
            <w:tcW w:type="dxa" w:w="2800"/>
            <w:tcBorders>
              <w:top w:val="single" w:color="E4DCCB" w:sz="4"/>
              <w:left w:val="single" w:color="E4DCCB" w:sz="4"/>
              <w:bottom w:val="single" w:color="E4DCCB" w:sz="4"/>
              <w:right w:val="single" w:color="E4DCCB" w:sz="4"/>
            </w:tcBorders>
            <w:shd w:fill="FFFFFF" w:val="clear"/>
            <w:tcMar>
              <w:top w:type="dxa" w:w="60"/>
              <w:left w:type="dxa" w:w="80"/>
              <w:bottom w:type="dxa" w:w="60"/>
              <w:right w:type="dxa" w:w="80"/>
            </w:tcMar>
          </w:tcPr>
          <w:p>
            <w:r>
              <w:rPr>
                <w:rFonts w:ascii="Arial" w:cs="Arial" w:eastAsia="Arial" w:hAnsi="Arial"/>
                <w:b w:val="false"/>
                <w:bCs w:val="false"/>
                <w:color w:val="1A241C"/>
                <w:sz w:val="18"/>
                <w:szCs w:val="18"/>
              </w:rPr>
              <w:t xml:space="preserve">Bank keeps loan interest. Firm 30% brokerage on originated lines.</w:t>
            </w:r>
          </w:p>
        </w:tc>
      </w:tr>
    </w:tbl>
    <w:p>
      <w:pPr>
        <w:spacing w:after="120" w:before="160"/>
      </w:pPr>
      <w:r>
        <w:rPr>
          <w:rFonts w:ascii="Arial" w:cs="Arial" w:eastAsia="Arial" w:hAnsi="Arial"/>
          <w:b w:val="false"/>
          <w:bCs w:val="false"/>
          <w:i w:val="false"/>
          <w:iCs w:val="false"/>
          <w:color w:val="1A241C"/>
          <w:sz w:val="22"/>
          <w:szCs w:val="22"/>
        </w:rPr>
        <w:t xml:space="preserve">Do not trade away the float to look generous. The bank's reason to say yes is the float and the graduated book. The firm's reason to build it is the fee annuity and the brokerage.</w:t>
      </w:r>
    </w:p>
    <w:p>
      <w:pPr>
        <w:pStyle w:val="Heading1"/>
        <w:spacing w:after="120" w:before="280"/>
      </w:pPr>
      <w:r>
        <w:rPr>
          <w:rFonts w:ascii="Arial" w:cs="Arial" w:eastAsia="Arial" w:hAnsi="Arial"/>
          <w:b/>
          <w:bCs/>
          <w:color w:val="1A241C"/>
        </w:rPr>
        <w:t xml:space="preserve">8. Unit picture the ExCo slide needs</w:t>
      </w:r>
    </w:p>
    <w:p>
      <w:pPr>
        <w:spacing w:after="120" w:before="0"/>
      </w:pPr>
      <w:r>
        <w:rPr>
          <w:rFonts w:ascii="Arial" w:cs="Arial" w:eastAsia="Arial" w:hAnsi="Arial"/>
          <w:b w:val="false"/>
          <w:bCs w:val="false"/>
          <w:i w:val="false"/>
          <w:iCs w:val="false"/>
          <w:color w:val="1A241C"/>
          <w:sz w:val="22"/>
          <w:szCs w:val="22"/>
        </w:rPr>
        <w:t xml:space="preserve">One box: GH₵ 600 locked, GH₵ 5 from the customer, GH₵ 45 swept, GH₵ 50 reported, 12 months, GH₵ 60 returned to the customer, GH₵ 15 activation, GH₵ 1 a month ledger fee inside the drop. Missed drop: 15 days of grace, no late mark. Day 16: set-off, personal drops refunded, balance owed is zero.</w:t>
      </w:r>
    </w:p>
    <w:p>
      <w:pPr>
        <w:spacing w:after="120" w:before="0"/>
      </w:pPr>
      <w:r>
        <w:rPr>
          <w:rFonts w:ascii="Arial" w:cs="Arial" w:eastAsia="Arial" w:hAnsi="Arial"/>
          <w:b w:val="false"/>
          <w:bCs w:val="false"/>
          <w:i w:val="false"/>
          <w:iCs w:val="false"/>
          <w:color w:val="1A241C"/>
          <w:sz w:val="22"/>
          <w:szCs w:val="22"/>
        </w:rPr>
        <w:t xml:space="preserve">One hundred thousand boxes at inception: GH₵ 60 million non-withdrawable. Treasury can map that predictable lock against short Bank of Ghana paper, including 91-day bills, for as long as the residual escrow remains. Residual falls by GH₵ 45 per box per month, so the float is front-loaded. Model it as a declining balance, not a permanent GH₵ 60 million.</w:t>
      </w:r>
    </w:p>
    <w:p>
      <w:pPr>
        <w:spacing w:after="120" w:before="0"/>
      </w:pPr>
      <w:r>
        <w:rPr>
          <w:rFonts w:ascii="Arial" w:cs="Arial" w:eastAsia="Arial" w:hAnsi="Arial"/>
          <w:b w:val="false"/>
          <w:bCs w:val="false"/>
          <w:i w:val="false"/>
          <w:iCs w:val="false"/>
          <w:color w:val="1A241C"/>
          <w:sz w:val="22"/>
          <w:szCs w:val="22"/>
        </w:rPr>
        <w:t xml:space="preserve">Suggested ExCo title: Project Micro-Credit Builder: retail deposit mobilization with zero credit risk on the builder book. The comparison slide is traditional informal-sector cash credit (high NPL, thin bureau files) against a cash-collateralized box with automated onboarding.</w:t>
      </w:r>
    </w:p>
    <w:p>
      <w:pPr>
        <w:pStyle w:val="Heading1"/>
        <w:spacing w:after="120" w:before="280"/>
      </w:pPr>
      <w:r>
        <w:rPr>
          <w:rFonts w:ascii="Arial" w:cs="Arial" w:eastAsia="Arial" w:hAnsi="Arial"/>
          <w:b/>
          <w:bCs/>
          <w:color w:val="1A241C"/>
        </w:rPr>
        <w:t xml:space="preserve">9. Competitive position</w:t>
      </w:r>
    </w:p>
    <w:p>
      <w:pPr>
        <w:spacing w:after="120" w:before="0"/>
      </w:pPr>
      <w:r>
        <w:rPr>
          <w:rFonts w:ascii="Arial" w:cs="Arial" w:eastAsia="Arial" w:hAnsi="Arial"/>
          <w:b w:val="false"/>
          <w:bCs w:val="false"/>
          <w:i w:val="false"/>
          <w:iCs w:val="false"/>
          <w:color w:val="1A241C"/>
          <w:sz w:val="22"/>
          <w:szCs w:val="22"/>
        </w:rPr>
        <w:t xml:space="preserve">Fido is the reference for smartphone metadata underwriting. Take the method, not a partnership. CedisPay is the reference for a visible tier ladder. Money in Minutes and Afriex are the reference for pricing that moves with behavior. Digital Susu's difference is the locked box: the first product does not need to be right about credit risk, because the cash is already in the vault.</w:t>
      </w:r>
    </w:p>
    <w:p>
      <w:pPr>
        <w:spacing w:after="120" w:before="0"/>
      </w:pPr>
      <w:r>
        <w:rPr>
          <w:rFonts w:ascii="Arial" w:cs="Arial" w:eastAsia="Arial" w:hAnsi="Arial"/>
          <w:b w:val="false"/>
          <w:bCs w:val="false"/>
          <w:i w:val="false"/>
          <w:iCs w:val="false"/>
          <w:color w:val="1A241C"/>
          <w:sz w:val="22"/>
          <w:szCs w:val="22"/>
        </w:rPr>
        <w:t xml:space="preserve">Do not market this as cheaper credit. Market it as a susu box that also writes a bureau file. The app copy is already in that voice.</w:t>
      </w:r>
    </w:p>
    <w:p>
      <w:pPr>
        <w:pStyle w:val="Heading1"/>
        <w:spacing w:after="120" w:before="280"/>
      </w:pPr>
      <w:r>
        <w:rPr>
          <w:rFonts w:ascii="Arial" w:cs="Arial" w:eastAsia="Arial" w:hAnsi="Arial"/>
          <w:b/>
          <w:bCs/>
          <w:color w:val="1A241C"/>
        </w:rPr>
        <w:t xml:space="preserve">10. Risk the board will ask about</w:t>
      </w:r>
    </w:p>
    <w:p>
      <w:pPr>
        <w:spacing w:after="120" w:before="0"/>
      </w:pPr>
      <w:r>
        <w:rPr>
          <w:rFonts w:ascii="Arial" w:cs="Arial" w:eastAsia="Arial" w:hAnsi="Arial"/>
          <w:b w:val="false"/>
          <w:bCs w:val="false"/>
          <w:i w:val="false"/>
          <w:iCs w:val="false"/>
          <w:color w:val="1A241C"/>
          <w:sz w:val="22"/>
          <w:szCs w:val="22"/>
        </w:rPr>
        <w:t xml:space="preserve">Builder-loan NPL target is zero by construction, provided set-off runs and the escrow cannot be withdrawn. The operational risks are a missed sweep, a webhook that posts twice, a bureau file that marks a grace month late, and a customer who did not understand the lock. The app's ledger, HMAC check, grace hold, and consent screen exist to kill those four.</w:t>
      </w:r>
    </w:p>
    <w:p>
      <w:pPr>
        <w:spacing w:after="120" w:before="0"/>
      </w:pPr>
      <w:r>
        <w:rPr>
          <w:rFonts w:ascii="Arial" w:cs="Arial" w:eastAsia="Arial" w:hAnsi="Arial"/>
          <w:b w:val="false"/>
          <w:bCs w:val="false"/>
          <w:i w:val="false"/>
          <w:iCs w:val="false"/>
          <w:color w:val="1A241C"/>
          <w:sz w:val="22"/>
          <w:szCs w:val="22"/>
        </w:rPr>
        <w:t xml:space="preserve">A separate credit-life note in the source files assumed a 0.25% incidence and about GH₵ 300 average outstanding escrow, inside a 1.60% annual incident ceiling across the book. Treat that as an insurance conversation with the bank, not a feature. It is not priced into the app.</w:t>
      </w:r>
    </w:p>
    <w:p>
      <w:pPr>
        <w:spacing w:after="120" w:before="0"/>
      </w:pPr>
      <w:r>
        <w:rPr>
          <w:rFonts w:ascii="Arial" w:cs="Arial" w:eastAsia="Arial" w:hAnsi="Arial"/>
          <w:b w:val="false"/>
          <w:bCs w:val="false"/>
          <w:i w:val="false"/>
          <w:iCs w:val="false"/>
          <w:color w:val="1A241C"/>
          <w:sz w:val="22"/>
          <w:szCs w:val="22"/>
        </w:rPr>
        <w:t xml:space="preserve">Graduation lines are a different risk. They are unsecured up to GH₵ 2,500, bank-funded, and only offered after 12 clean months. They will produce NPLs. Keep them off the builder-loan dashboard.</w:t>
      </w:r>
    </w:p>
    <w:p>
      <w:pPr>
        <w:spacing w:after="120" w:before="0"/>
      </w:pPr>
      <w:r>
        <w:rPr>
          <w:rFonts w:ascii="Arial" w:cs="Arial" w:eastAsia="Arial" w:hAnsi="Arial"/>
          <w:b w:val="false"/>
          <w:bCs w:val="false"/>
          <w:i w:val="false"/>
          <w:iCs w:val="false"/>
          <w:color w:val="1A241C"/>
          <w:sz w:val="22"/>
          <w:szCs w:val="22"/>
        </w:rPr>
        <w:t xml:space="preserve">Data Protection Act, 2012 (Act 843): the scan is disclosed as device configuration only. A Data Protection Commission registry update for the new processing (metadata score, bureau share, MoMo identifier, Ghana Card) is a filing, not a screen. Prepare Section A controller details, Section B processing description, Section C lawful basis and rights, Section D safeguards and any cross-border flow. Do this before the sandbox cohort, in the bank's name if they are the controller.</w:t>
      </w:r>
    </w:p>
    <w:p>
      <w:pPr>
        <w:pStyle w:val="Heading1"/>
        <w:spacing w:after="120" w:before="280"/>
      </w:pPr>
      <w:r>
        <w:rPr>
          <w:rFonts w:ascii="Arial" w:cs="Arial" w:eastAsia="Arial" w:hAnsi="Arial"/>
          <w:b/>
          <w:bCs/>
          <w:color w:val="1A241C"/>
        </w:rPr>
        <w:t xml:space="preserve">11. Go to market, outside the app</w:t>
      </w:r>
    </w:p>
    <w:p>
      <w:pPr>
        <w:spacing w:after="120" w:before="0"/>
      </w:pPr>
      <w:r>
        <w:rPr>
          <w:rFonts w:ascii="Arial" w:cs="Arial" w:eastAsia="Arial" w:hAnsi="Arial"/>
          <w:b w:val="false"/>
          <w:bCs w:val="false"/>
          <w:i w:val="false"/>
          <w:iCs w:val="false"/>
          <w:color w:val="1A241C"/>
          <w:sz w:val="22"/>
          <w:szCs w:val="22"/>
        </w:rPr>
        <w:t xml:space="preserve">Channels: market-association leaders, susu collectors who want a digital box, church and mosque welfare groups, and a short radio spot in Twi and Ga. USSD *385# is the path for traders without a smartphone. The app already runs that menu against the same ledger.</w:t>
      </w:r>
    </w:p>
    <w:p>
      <w:pPr>
        <w:spacing w:after="120" w:before="0"/>
      </w:pPr>
      <w:r>
        <w:rPr>
          <w:rFonts w:ascii="Arial" w:cs="Arial" w:eastAsia="Arial" w:hAnsi="Arial"/>
          <w:b w:val="false"/>
          <w:bCs w:val="false"/>
          <w:i w:val="false"/>
          <w:iCs w:val="false"/>
          <w:color w:val="1A241C"/>
          <w:sz w:val="22"/>
          <w:szCs w:val="22"/>
        </w:rPr>
        <w:t xml:space="preserve">Spot, 30 seconds. Sister Adobea at the stall: Faustina, this bank box. They lock GH₵ 600 in your name. You pay GH₵ 5 from MoMo. They tell the credit people you paid GH₵ 50. Twelve months, your GH₵ 60 comes back, and they can look at a GH₵ 2,500 shop loan with no collateral. If market is slow you have 15 days. After that they break the box and you owe nothing. Code is *385#.</w:t>
      </w:r>
    </w:p>
    <w:p>
      <w:pPr>
        <w:spacing w:after="120" w:before="0"/>
      </w:pPr>
      <w:r>
        <w:rPr>
          <w:rFonts w:ascii="Arial" w:cs="Arial" w:eastAsia="Arial" w:hAnsi="Arial"/>
          <w:b w:val="false"/>
          <w:bCs w:val="false"/>
          <w:i w:val="false"/>
          <w:iCs w:val="false"/>
          <w:color w:val="1A241C"/>
          <w:sz w:val="22"/>
          <w:szCs w:val="22"/>
        </w:rPr>
        <w:t xml:space="preserve">Do not promise a score increase. Promise a reported on-time file. Score movement is the bureau's.</w:t>
      </w:r>
    </w:p>
    <w:p>
      <w:pPr>
        <w:pStyle w:val="Heading1"/>
        <w:spacing w:after="120" w:before="280"/>
      </w:pPr>
      <w:r>
        <w:rPr>
          <w:rFonts w:ascii="Arial" w:cs="Arial" w:eastAsia="Arial" w:hAnsi="Arial"/>
          <w:b/>
          <w:bCs/>
          <w:color w:val="1A241C"/>
        </w:rPr>
        <w:t xml:space="preserve">12. Still open</w:t>
      </w:r>
    </w:p>
    <w:p>
      <w:pPr>
        <w:spacing w:after="120" w:before="0"/>
      </w:pPr>
      <w:r>
        <w:rPr>
          <w:rFonts w:ascii="Arial" w:cs="Arial" w:eastAsia="Arial" w:hAnsi="Arial"/>
          <w:b w:val="false"/>
          <w:bCs w:val="false"/>
          <w:i w:val="false"/>
          <w:iCs w:val="false"/>
          <w:color w:val="1A241C"/>
          <w:sz w:val="22"/>
          <w:szCs w:val="22"/>
        </w:rPr>
        <w:t xml:space="preserve">Legal name of the technology firm, and who signs. Partner bank shortlist. Whether the GH₵ 1 ledger fee sits inside the GH₵ 5 or on top of it. The app follows the FAQ: GH₵ 5 out of pocket, GH₵ 60 returned, GH₵ 1 recognized as a fee inside the drop. Counsel may want the fee itemized on the statement. Sandbox cohort size and region. Whether group Susu peer-cover is in the pilot or held back. Credit-life: buy it, or leave death and incapacity to set-off. Exclusivity period after a successful pilot.</w:t>
      </w:r>
    </w:p>
    <w:p>
      <w:pPr>
        <w:spacing w:after="120" w:before="200"/>
      </w:pPr>
      <w:r>
        <w:rPr>
          <w:rFonts w:ascii="Arial" w:cs="Arial" w:eastAsia="Arial" w:hAnsi="Arial"/>
          <w:b w:val="false"/>
          <w:bCs w:val="false"/>
          <w:i/>
          <w:iCs/>
          <w:color w:val="1A241C"/>
          <w:sz w:val="22"/>
          <w:szCs w:val="22"/>
        </w:rPr>
        <w:t xml:space="preserve">The app is the product. This file is the deal around it.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6D7B72"/>
        <w:sz w:val="18"/>
        <w:szCs w:val="18"/>
      </w:rPr>
      <w:t xml:space="preserve">Confidential  ·  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D7B72"/>
        <w:sz w:val="18"/>
        <w:szCs w:val="18"/>
      </w:rPr>
      <w:t xml:space="preserve">Project MCB  ·  Strategy  ·  not the app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6E45"/>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241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2026-10-02T06:38:07.899Z</dcterms:created>
  <dcterms:modified xsi:type="dcterms:W3CDTF">2026-10-02T06:38:07.899Z</dcterms:modified>
</cp:coreProperties>
</file>

<file path=docProps/custom.xml><?xml version="1.0" encoding="utf-8"?>
<Properties xmlns="http://schemas.openxmlformats.org/officeDocument/2006/custom-properties" xmlns:vt="http://schemas.openxmlformats.org/officeDocument/2006/docPropsVTypes"/>
</file>