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Ghana credit bureau factors and scoring models</w:t>
      </w:r>
    </w:p>
    <w:p>
      <w:r>
        <w:rPr>
          <w:i/>
        </w:rPr>
        <w:t>Comparison for the SikaScore demo. Sources: Bank of Ghana Credit Reporting Activity Report 2024, Bank of Ghana licensed-bureau list, myCreditScore’s published factor page, XDS Data Ghana’s consumer-report description, and public descriptions from Dun &amp; Bradstreet Ghana and Fido.</w:t>
      </w:r>
    </w:p>
    <w:p>
      <w:pPr>
        <w:pStyle w:val="Heading1"/>
      </w:pPr>
      <w:r>
        <w:t>The short version</w:t>
      </w:r>
    </w:p>
    <w:p>
      <w:r>
        <w:t>Ghana does not have one national score. The Bank of Ghana licenses three bureaus, and only one of them publishes the weights in its model.</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1F2933" w:val="clear"/>
          </w:tcPr>
          <w:p>
            <w:r>
              <w:rPr>
                <w:b/>
                <w:color w:val="FFFFFF"/>
              </w:rPr>
              <w:t>Bureau</w:t>
            </w:r>
          </w:p>
        </w:tc>
        <w:tc>
          <w:tcPr>
            <w:tcW w:type="dxa" w:w="2160"/>
            <w:shd w:fill="1F2933" w:val="clear"/>
          </w:tcPr>
          <w:p>
            <w:r>
              <w:rPr>
                <w:b/>
                <w:color w:val="FFFFFF"/>
              </w:rPr>
              <w:t>Licensed</w:t>
            </w:r>
          </w:p>
        </w:tc>
        <w:tc>
          <w:tcPr>
            <w:tcW w:type="dxa" w:w="2160"/>
            <w:shd w:fill="1F2933" w:val="clear"/>
          </w:tcPr>
          <w:p>
            <w:r>
              <w:rPr>
                <w:b/>
                <w:color w:val="FFFFFF"/>
              </w:rPr>
              <w:t>What it actually sells</w:t>
            </w:r>
          </w:p>
        </w:tc>
        <w:tc>
          <w:tcPr>
            <w:tcW w:type="dxa" w:w="2160"/>
            <w:shd w:fill="1F2933" w:val="clear"/>
          </w:tcPr>
          <w:p>
            <w:r>
              <w:rPr>
                <w:b/>
                <w:color w:val="FFFFFF"/>
              </w:rPr>
              <w:t>Score model</w:t>
            </w:r>
          </w:p>
        </w:tc>
      </w:tr>
      <w:tr>
        <w:tc>
          <w:tcPr>
            <w:tcW w:type="dxa" w:w="2160"/>
          </w:tcPr>
          <w:p>
            <w:r>
              <w:t>XDS Data Ghana</w:t>
            </w:r>
          </w:p>
        </w:tc>
        <w:tc>
          <w:tcPr>
            <w:tcW w:type="dxa" w:w="2160"/>
          </w:tcPr>
          <w:p>
            <w:r>
              <w:t>First bureau; full licence from 2010</w:t>
            </w:r>
          </w:p>
        </w:tc>
        <w:tc>
          <w:tcPr>
            <w:tcW w:type="dxa" w:w="2160"/>
          </w:tcPr>
          <w:p>
            <w:r>
              <w:t>The report most lenders pull. XDS says about 90% of lenders use it.</w:t>
            </w:r>
          </w:p>
        </w:tc>
        <w:tc>
          <w:tcPr>
            <w:tcW w:type="dxa" w:w="2160"/>
          </w:tcPr>
          <w:p>
            <w:r>
              <w:t>Score capacity has been claimed for years on a 300–850 scale. The Bank of Ghana’s 2024 report does not name XDS as one of the bureaus that launched a new scoring product. Weights are not public.</w:t>
            </w:r>
          </w:p>
        </w:tc>
      </w:tr>
      <w:tr>
        <w:tc>
          <w:tcPr>
            <w:tcW w:type="dxa" w:w="2160"/>
          </w:tcPr>
          <w:p>
            <w:r>
              <w:t>Dun &amp; Bradstreet Credit Bureau Ghana</w:t>
            </w:r>
          </w:p>
        </w:tc>
        <w:tc>
          <w:tcPr>
            <w:tcW w:type="dxa" w:w="2160"/>
          </w:tcPr>
          <w:p>
            <w:r>
              <w:t>Since 2008; licensed 2010</w:t>
            </w:r>
          </w:p>
        </w:tc>
        <w:tc>
          <w:tcPr>
            <w:tcW w:type="dxa" w:w="2160"/>
          </w:tcPr>
          <w:p>
            <w:r>
              <w:t>Consumer and commercial reports, plus monitoring.</w:t>
            </w:r>
          </w:p>
        </w:tc>
        <w:tc>
          <w:tcPr>
            <w:tcW w:type="dxa" w:w="2160"/>
          </w:tcPr>
          <w:p>
            <w:r>
              <w:t>The Bank of Ghana says D&amp;B introduced a credit score in 2024–25. Weights are not public. Its older public description matches a classic file score, not the myCreditScore formula.</w:t>
            </w:r>
          </w:p>
        </w:tc>
      </w:tr>
      <w:tr>
        <w:tc>
          <w:tcPr>
            <w:tcW w:type="dxa" w:w="2160"/>
          </w:tcPr>
          <w:p>
            <w:r>
              <w:t>myCredit Score</w:t>
            </w:r>
          </w:p>
        </w:tc>
        <w:tc>
          <w:tcPr>
            <w:tcW w:type="dxa" w:w="2160"/>
          </w:tcPr>
          <w:p>
            <w:r>
              <w:t>Licence No. 004, October 2024; data collection from December 2024</w:t>
            </w:r>
          </w:p>
        </w:tc>
        <w:tc>
          <w:tcPr>
            <w:tcW w:type="dxa" w:w="2160"/>
          </w:tcPr>
          <w:p>
            <w:r>
              <w:t>A consumer score with a published formula.</w:t>
            </w:r>
          </w:p>
        </w:tc>
        <w:tc>
          <w:tcPr>
            <w:tcW w:type="dxa" w:w="2160"/>
          </w:tcPr>
          <w:p>
            <w:r>
              <w:t>The only model with stated weights.</w:t>
            </w:r>
          </w:p>
        </w:tc>
      </w:tr>
    </w:tbl>
    <w:p/>
    <w:p>
      <w:r>
        <w:t>The Bank of Ghana approved bureau scoring in the 2024 credit-reporting year after reviewing data quality and methodologies, and said it will keep checking those models for fairness. In 2024, institutions ran 29.5 million searches, up from 13.7 million. 76 percent returned a file.</w:t>
      </w:r>
    </w:p>
    <w:p>
      <w:pPr>
        <w:pStyle w:val="Heading1"/>
      </w:pPr>
      <w:r>
        <w:t>Two different kinds of model</w:t>
      </w:r>
    </w:p>
    <w:p>
      <w:pPr>
        <w:pStyle w:val="Heading2"/>
      </w:pPr>
      <w:r>
        <w:t>1. Classic file score — how XDS and D&amp;B are described</w:t>
      </w:r>
    </w:p>
    <w:p>
      <w:r>
        <w:t>Built from the credit file lenders already submit. Fido, which pulls XDS and D&amp;B, describes the inputs as:</w:t>
      </w:r>
    </w:p>
    <w:p>
      <w:pPr>
        <w:pStyle w:val="ListBullet"/>
      </w:pPr>
      <w:r>
        <w:t>Repayment history (the largest piece)</w:t>
      </w:r>
    </w:p>
    <w:p>
      <w:pPr>
        <w:pStyle w:val="ListBullet"/>
      </w:pPr>
      <w:r>
        <w:t>Amount owed</w:t>
      </w:r>
    </w:p>
    <w:p>
      <w:pPr>
        <w:pStyle w:val="ListBullet"/>
      </w:pPr>
      <w:r>
        <w:t>Length of the credit history</w:t>
      </w:r>
    </w:p>
    <w:p>
      <w:pPr>
        <w:pStyle w:val="ListBullet"/>
      </w:pPr>
      <w:r>
        <w:t>New applications and enquiries</w:t>
      </w:r>
    </w:p>
    <w:p>
      <w:r>
        <w:t>XDS’s own consumer report is the raw file, not a formula: identity, facilities (limits, balances, payment history), public records such as judgments, and who enquired. A 2015 D&amp;B Ghana interview listed the same five ideas used by US bureaus: payment history, current debt, length, mix of credit, and how often you apply. No Ghana weights were published, and the three bureaus of that year are not today’s three.</w:t>
      </w:r>
    </w:p>
    <w:p>
      <w:pPr>
        <w:pStyle w:val="Heading2"/>
      </w:pPr>
      <w:r>
        <w:t>2. myCreditScore’s published formula</w:t>
      </w:r>
    </w:p>
    <w:p>
      <w:r>
        <w:t>This is not a FICO-style model. Cheques, court judgments, income, and identity are scored directly.</w:t>
      </w:r>
    </w:p>
    <w:tbl>
      <w:tblPr>
        <w:tblStyle w:val="TableGrid"/>
        <w:tblW w:type="auto" w:w="0"/>
        <w:tblLook w:firstColumn="1" w:firstRow="1" w:lastColumn="0" w:lastRow="0" w:noHBand="0" w:noVBand="1" w:val="04A0"/>
      </w:tblPr>
      <w:tblGrid>
        <w:gridCol w:w="2880"/>
        <w:gridCol w:w="2880"/>
        <w:gridCol w:w="2880"/>
      </w:tblGrid>
      <w:tr>
        <w:tc>
          <w:tcPr>
            <w:tcW w:type="dxa" w:w="2880"/>
            <w:shd w:fill="1F2933" w:val="clear"/>
          </w:tcPr>
          <w:p>
            <w:r>
              <w:rPr>
                <w:b/>
                <w:color w:val="FFFFFF"/>
              </w:rPr>
              <w:t>Factor</w:t>
            </w:r>
          </w:p>
        </w:tc>
        <w:tc>
          <w:tcPr>
            <w:tcW w:type="dxa" w:w="2880"/>
            <w:shd w:fill="1F2933" w:val="clear"/>
          </w:tcPr>
          <w:p>
            <w:r>
              <w:rPr>
                <w:b/>
                <w:color w:val="FFFFFF"/>
              </w:rPr>
              <w:t>Weight</w:t>
            </w:r>
          </w:p>
        </w:tc>
        <w:tc>
          <w:tcPr>
            <w:tcW w:type="dxa" w:w="2880"/>
            <w:shd w:fill="1F2933" w:val="clear"/>
          </w:tcPr>
          <w:p>
            <w:r>
              <w:rPr>
                <w:b/>
                <w:color w:val="FFFFFF"/>
              </w:rPr>
              <w:t>What they say it covers</w:t>
            </w:r>
          </w:p>
        </w:tc>
      </w:tr>
      <w:tr>
        <w:tc>
          <w:tcPr>
            <w:tcW w:type="dxa" w:w="2880"/>
          </w:tcPr>
          <w:p>
            <w:r>
              <w:t>Credit profile and repayment history</w:t>
            </w:r>
          </w:p>
        </w:tc>
        <w:tc>
          <w:tcPr>
            <w:tcW w:type="dxa" w:w="2880"/>
          </w:tcPr>
          <w:p>
            <w:r>
              <w:t>60%</w:t>
            </w:r>
          </w:p>
        </w:tc>
        <w:tc>
          <w:tcPr>
            <w:tcW w:type="dxa" w:w="2880"/>
          </w:tcPr>
          <w:p>
            <w:r>
              <w:t>On-time payments and balances kept clear</w:t>
            </w:r>
          </w:p>
        </w:tc>
      </w:tr>
      <w:tr>
        <w:tc>
          <w:tcPr>
            <w:tcW w:type="dxa" w:w="2880"/>
          </w:tcPr>
          <w:p>
            <w:r>
              <w:t>Dishonoured cheques</w:t>
            </w:r>
          </w:p>
        </w:tc>
        <w:tc>
          <w:tcPr>
            <w:tcW w:type="dxa" w:w="2880"/>
          </w:tcPr>
          <w:p>
            <w:r>
              <w:t>15%</w:t>
            </w:r>
          </w:p>
        </w:tc>
        <w:tc>
          <w:tcPr>
            <w:tcW w:type="dxa" w:w="2880"/>
          </w:tcPr>
          <w:p>
            <w:r>
              <w:t>Returned cheques and blacklist status</w:t>
            </w:r>
          </w:p>
        </w:tc>
      </w:tr>
      <w:tr>
        <w:tc>
          <w:tcPr>
            <w:tcW w:type="dxa" w:w="2880"/>
          </w:tcPr>
          <w:p>
            <w:r>
              <w:t>Judgment debt</w:t>
            </w:r>
          </w:p>
        </w:tc>
        <w:tc>
          <w:tcPr>
            <w:tcW w:type="dxa" w:w="2880"/>
          </w:tcPr>
          <w:p>
            <w:r>
              <w:t>10%</w:t>
            </w:r>
          </w:p>
        </w:tc>
        <w:tc>
          <w:tcPr>
            <w:tcW w:type="dxa" w:w="2880"/>
          </w:tcPr>
          <w:p>
            <w:r>
              <w:t>Unpaid court debts</w:t>
            </w:r>
          </w:p>
        </w:tc>
      </w:tr>
      <w:tr>
        <w:tc>
          <w:tcPr>
            <w:tcW w:type="dxa" w:w="2880"/>
          </w:tcPr>
          <w:p>
            <w:r>
              <w:t>Socio-economic</w:t>
            </w:r>
          </w:p>
        </w:tc>
        <w:tc>
          <w:tcPr>
            <w:tcW w:type="dxa" w:w="2880"/>
          </w:tcPr>
          <w:p>
            <w:r>
              <w:t>7%</w:t>
            </w:r>
          </w:p>
        </w:tc>
        <w:tc>
          <w:tcPr>
            <w:tcW w:type="dxa" w:w="2880"/>
          </w:tcPr>
          <w:p>
            <w:r>
              <w:t>Job, income, living situation</w:t>
            </w:r>
          </w:p>
        </w:tc>
      </w:tr>
      <w:tr>
        <w:tc>
          <w:tcPr>
            <w:tcW w:type="dxa" w:w="2880"/>
          </w:tcPr>
          <w:p>
            <w:r>
              <w:t>Economic assets</w:t>
            </w:r>
          </w:p>
        </w:tc>
        <w:tc>
          <w:tcPr>
            <w:tcW w:type="dxa" w:w="2880"/>
          </w:tcPr>
          <w:p>
            <w:r>
              <w:t>5%</w:t>
            </w:r>
          </w:p>
        </w:tc>
        <w:tc>
          <w:tcPr>
            <w:tcW w:type="dxa" w:w="2880"/>
          </w:tcPr>
          <w:p>
            <w:r>
              <w:t>Bank balance, as a cushion</w:t>
            </w:r>
          </w:p>
        </w:tc>
      </w:tr>
      <w:tr>
        <w:tc>
          <w:tcPr>
            <w:tcW w:type="dxa" w:w="2880"/>
          </w:tcPr>
          <w:p>
            <w:r>
              <w:t>Demographics</w:t>
            </w:r>
          </w:p>
        </w:tc>
        <w:tc>
          <w:tcPr>
            <w:tcW w:type="dxa" w:w="2880"/>
          </w:tcPr>
          <w:p>
            <w:r>
              <w:t>3%</w:t>
            </w:r>
          </w:p>
        </w:tc>
        <w:tc>
          <w:tcPr>
            <w:tcW w:type="dxa" w:w="2880"/>
          </w:tcPr>
          <w:p>
            <w:r>
              <w:t>Age and nationality, as identity</w:t>
            </w:r>
          </w:p>
        </w:tc>
      </w:tr>
    </w:tbl>
    <w:p/>
    <w:p>
      <w:r>
        <w:t>They also tell lenders that a score above 550 improves the chance of approval. They do not publish Excellent, Good, or Fair cut-offs on that 300–850 scale.</w:t>
      </w:r>
    </w:p>
    <w:p>
      <w:r>
        <w:t>Separately, myCreditScore markets a lender default model from a study of about 21,000 files. That one uses age, occupation, location, marital status, and digital behaviour, and is not the six-factor consumer score. In that sample, ages 30–50 were 62 percent of defaulters, informal work and a debt-to-income ratio above 45 percent were common, and men were about 1.4 times more likely to default. The Bank of Ghana’s job is to watch this kind of methodology so a score is not just a proxy for who someone is.</w:t>
      </w:r>
    </w:p>
    <w:p>
      <w:pPr>
        <w:pStyle w:val="Heading1"/>
      </w:pPr>
      <w:r>
        <w:t>What all three share</w:t>
      </w:r>
    </w:p>
    <w:p>
      <w:r>
        <w:t>The report is common ground, even when the score is not. A usable Ghana file has:</w:t>
      </w:r>
    </w:p>
    <w:p>
      <w:pPr>
        <w:pStyle w:val="ListBullet"/>
      </w:pPr>
      <w:r>
        <w:t>Identity, now tied to the Ghana Card</w:t>
      </w:r>
    </w:p>
    <w:p>
      <w:pPr>
        <w:pStyle w:val="ListBullet"/>
      </w:pPr>
      <w:r>
        <w:t>Each facility: lender, limit or amount, balance, status, monthly payment behaviour</w:t>
      </w:r>
    </w:p>
    <w:p>
      <w:pPr>
        <w:pStyle w:val="ListBullet"/>
      </w:pPr>
      <w:r>
        <w:t>Enquiries (a lender check is separate from you looking at your own file)</w:t>
      </w:r>
    </w:p>
    <w:p>
      <w:pPr>
        <w:pStyle w:val="ListBullet"/>
      </w:pPr>
      <w:r>
        <w:t>Public-record problems: dishonoured cheques and judgment debt</w:t>
      </w:r>
    </w:p>
    <w:p>
      <w:r>
        <w:t>Banks, savings and loans, microfinance, and digital lenders must check a bureau before they lend. Utilities and other designated providers also submit data. Mobile-money behaviour is used heavily by apps such as Fido and Qwikloan, but that is their score, not the XDS or D&amp;B score.</w:t>
      </w:r>
    </w:p>
    <w:p>
      <w:pPr>
        <w:pStyle w:val="Heading1"/>
      </w:pPr>
      <w:r>
        <w:t>How the three differ in practice</w:t>
      </w:r>
    </w:p>
    <w:p>
      <w:r>
        <w:rPr>
          <w:b/>
        </w:rPr>
        <w:t xml:space="preserve">Same person, different numbers. </w:t>
      </w:r>
      <w:r>
        <w:t>Files are not identical, and the maths is not identical. D&amp;B said this explicitly years ago: the bureaus can score the same report differently.</w:t>
      </w:r>
    </w:p>
    <w:p>
      <w:r>
        <w:rPr>
          <w:b/>
        </w:rPr>
        <w:t xml:space="preserve">XDS is still the lookup. </w:t>
      </w:r>
      <w:r>
        <w:t>Lenders search XDS first. Its product is the history. A number, if returned, is secondary.</w:t>
      </w:r>
    </w:p>
    <w:p>
      <w:r>
        <w:rPr>
          <w:b/>
        </w:rPr>
        <w:t xml:space="preserve">D&amp;B scores the file and the company. </w:t>
      </w:r>
      <w:r>
        <w:t>Consumer score for people; commercial reports and a global payment-index tradition for businesses. Useful if the borrower is a trader with a registered firm.</w:t>
      </w:r>
    </w:p>
    <w:p>
      <w:r>
        <w:rPr>
          <w:b/>
        </w:rPr>
        <w:t xml:space="preserve">myCreditScore scores the person, not only the loans. </w:t>
      </w:r>
      <w:r>
        <w:t>A thin file can still produce a number from job, balance, and identity. That is why it can score people the classic bureaus would return as “no hit.” It also means a salary and a bank balance move the score even when repayment is fine.</w:t>
      </w:r>
    </w:p>
    <w:p>
      <w:r>
        <w:rPr>
          <w:b/>
        </w:rPr>
        <w:t xml:space="preserve">Cheques and judgments are Ghana-specific. </w:t>
      </w:r>
      <w:r>
        <w:t>In a US-style model they are rare public records. In the myCreditScore formula they are 25 percent of the score combined.</w:t>
      </w:r>
    </w:p>
    <w:p>
      <w:pPr>
        <w:pStyle w:val="Heading1"/>
      </w:pPr>
      <w:r>
        <w:t>What this means for SikaScore</w:t>
      </w:r>
    </w:p>
    <w:p>
      <w:r>
        <w:t>The app’s six factors and the 60 / 15 / 10 / 7 / 5 / 3 split match myCreditScore only. Putting those same weights on the XDS and D&amp;B tiles overstates what those bureaus publish. The 721 / 661 / 601 bands in the app are US-style labels. myCreditScore’s only public line is 550.</w:t>
      </w:r>
    </w:p>
    <w:p>
      <w:r>
        <w:t>An honest three-bureau screen would show one combined file, then:</w:t>
      </w:r>
    </w:p>
    <w:p>
      <w:pPr>
        <w:pStyle w:val="ListBullet"/>
      </w:pPr>
      <w:r>
        <w:t>XDS — facilities, repayment, balances, enquiries (a score only if they return one)</w:t>
      </w:r>
    </w:p>
    <w:p>
      <w:pPr>
        <w:pStyle w:val="ListBullet"/>
      </w:pPr>
      <w:r>
        <w:t>D&amp;B — the same file view, plus any commercial exposure</w:t>
      </w:r>
    </w:p>
    <w:p>
      <w:pPr>
        <w:pStyle w:val="ListBullet"/>
      </w:pPr>
      <w:r>
        <w:t>myCreditScore — the six weighted factors above</w:t>
      </w:r>
    </w:p>
    <w:p>
      <w:pPr>
        <w:pStyle w:val="Heading1"/>
      </w:pPr>
      <w:r>
        <w:t>About this zip</w:t>
      </w:r>
    </w:p>
    <w:p>
      <w:r>
        <w:t>This archive is the SikaScore demo source. It does not include node_modules or build output. From the project folder, install and run with: npm install, then npm run dev. The app is a demo. It does not connect to XDS, Dun &amp; Bradstreet, or myCredit Score, and it does not move money.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