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18" w:space="6"/>
        </w:pBdr>
        <w:spacing w:after="0" w:before="600"/>
      </w:pPr>
      <w:r>
        <w:rPr>
          <w:b/>
          <w:bCs/>
          <w:color w:val="1F3864"/>
          <w:sz w:val="40"/>
          <w:szCs w:val="40"/>
        </w:rPr>
        <w:t xml:space="preserve">GENERADOR IPERC NORMATIVO – PERÚ</w:t>
      </w:r>
    </w:p>
    <w:p>
      <w:pPr>
        <w:spacing w:after="60" w:before="120"/>
      </w:pPr>
      <w:r>
        <w:rPr>
          <w:b/>
          <w:bCs/>
          <w:color w:val="2E75B6"/>
          <w:sz w:val="26"/>
          <w:szCs w:val="26"/>
        </w:rPr>
        <w:t xml:space="preserve">Identificación de Peligros, Evaluación de Riesgos y Medidas de Control</w:t>
      </w:r>
    </w:p>
    <w:p>
      <w:pPr>
        <w:spacing w:after="300"/>
      </w:pPr>
      <w:r>
        <w:rPr>
          <w:i/>
          <w:iCs/>
          <w:color w:val="595959"/>
          <w:sz w:val="24"/>
          <w:szCs w:val="24"/>
        </w:rPr>
        <w:t xml:space="preserve">Informe-guía técnico y documentación de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rPr>
        <w:tc>
          <w:tcPr>
            <w:tcW w:type="dxa" w:w="3120"/>
            <w:tcBorders>
              <w:top w:val="single" w:color="BFBFBF" w:sz="1"/>
              <w:left w:val="single" w:color="BFBFBF" w:sz="1"/>
              <w:bottom w:val="single" w:color="BFBFBF" w:sz="1"/>
              <w:right w:val="single" w:color="BFBFBF" w:sz="1"/>
            </w:tcBorders>
            <w:shd w:fill="D5E8F0" w:val="clear"/>
            <w:tcMar>
              <w:top w:type="dxa" w:w="50"/>
              <w:left w:type="dxa" w:w="110"/>
              <w:bottom w:type="dxa" w:w="50"/>
              <w:right w:type="dxa" w:w="110"/>
            </w:tcMar>
            <w:vAlign w:val="center"/>
          </w:tcPr>
          <w:p>
            <w:pPr>
              <w:jc w:val="left"/>
            </w:pPr>
            <w:r>
              <w:rPr>
                <w:b/>
                <w:bCs/>
                <w:color w:val="222222"/>
                <w:sz w:val="19"/>
                <w:szCs w:val="19"/>
              </w:rPr>
              <w:t xml:space="preserve">Producto</w:t>
            </w:r>
          </w:p>
        </w:tc>
        <w:tc>
          <w:tcPr>
            <w:tcW w:type="dxa" w:w="624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9"/>
                <w:szCs w:val="19"/>
              </w:rPr>
              <w:t xml:space="preserve">Matriz IPERC multinivel en Excel + Informe-guía en Word</w:t>
            </w:r>
          </w:p>
        </w:tc>
      </w:tr>
      <w:tr>
        <w:trPr>
          <w:cantSplit/>
        </w:trPr>
        <w:tc>
          <w:tcPr>
            <w:tcW w:type="dxa" w:w="3120"/>
            <w:tcBorders>
              <w:top w:val="single" w:color="BFBFBF" w:sz="1"/>
              <w:left w:val="single" w:color="BFBFBF" w:sz="1"/>
              <w:bottom w:val="single" w:color="BFBFBF" w:sz="1"/>
              <w:right w:val="single" w:color="BFBFBF" w:sz="1"/>
            </w:tcBorders>
            <w:shd w:fill="D5E8F0" w:val="clear"/>
            <w:tcMar>
              <w:top w:type="dxa" w:w="50"/>
              <w:left w:type="dxa" w:w="110"/>
              <w:bottom w:type="dxa" w:w="50"/>
              <w:right w:type="dxa" w:w="110"/>
            </w:tcMar>
            <w:vAlign w:val="center"/>
          </w:tcPr>
          <w:p>
            <w:pPr>
              <w:jc w:val="left"/>
            </w:pPr>
            <w:r>
              <w:rPr>
                <w:b/>
                <w:bCs/>
                <w:color w:val="222222"/>
                <w:sz w:val="19"/>
                <w:szCs w:val="19"/>
              </w:rPr>
              <w:t xml:space="preserve">Niveles disponibles</w:t>
            </w:r>
          </w:p>
        </w:tc>
        <w:tc>
          <w:tcPr>
            <w:tcW w:type="dxa" w:w="624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9"/>
                <w:szCs w:val="19"/>
              </w:rPr>
              <w:t xml:space="preserve">BÁSICO (Detalle) · MEDIO · AVANZADO · SÚPER PROFESIONAL</w:t>
            </w:r>
          </w:p>
        </w:tc>
      </w:tr>
      <w:tr>
        <w:trPr>
          <w:cantSplit/>
        </w:trPr>
        <w:tc>
          <w:tcPr>
            <w:tcW w:type="dxa" w:w="3120"/>
            <w:tcBorders>
              <w:top w:val="single" w:color="BFBFBF" w:sz="1"/>
              <w:left w:val="single" w:color="BFBFBF" w:sz="1"/>
              <w:bottom w:val="single" w:color="BFBFBF" w:sz="1"/>
              <w:right w:val="single" w:color="BFBFBF" w:sz="1"/>
            </w:tcBorders>
            <w:shd w:fill="D5E8F0" w:val="clear"/>
            <w:tcMar>
              <w:top w:type="dxa" w:w="50"/>
              <w:left w:type="dxa" w:w="110"/>
              <w:bottom w:type="dxa" w:w="50"/>
              <w:right w:type="dxa" w:w="110"/>
            </w:tcMar>
            <w:vAlign w:val="center"/>
          </w:tcPr>
          <w:p>
            <w:pPr>
              <w:jc w:val="left"/>
            </w:pPr>
            <w:r>
              <w:rPr>
                <w:b/>
                <w:bCs/>
                <w:color w:val="222222"/>
                <w:sz w:val="19"/>
                <w:szCs w:val="19"/>
              </w:rPr>
              <w:t xml:space="preserve">Marco legal</w:t>
            </w:r>
          </w:p>
        </w:tc>
        <w:tc>
          <w:tcPr>
            <w:tcW w:type="dxa" w:w="624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9"/>
                <w:szCs w:val="19"/>
              </w:rPr>
              <w:t xml:space="preserve">Ley 29783 · D.S. 005-2012-TR · R.M. 050-2013-TR y modificatorias</w:t>
            </w:r>
          </w:p>
        </w:tc>
      </w:tr>
      <w:tr>
        <w:trPr>
          <w:cantSplit/>
        </w:trPr>
        <w:tc>
          <w:tcPr>
            <w:tcW w:type="dxa" w:w="3120"/>
            <w:tcBorders>
              <w:top w:val="single" w:color="BFBFBF" w:sz="1"/>
              <w:left w:val="single" w:color="BFBFBF" w:sz="1"/>
              <w:bottom w:val="single" w:color="BFBFBF" w:sz="1"/>
              <w:right w:val="single" w:color="BFBFBF" w:sz="1"/>
            </w:tcBorders>
            <w:shd w:fill="D5E8F0" w:val="clear"/>
            <w:tcMar>
              <w:top w:type="dxa" w:w="50"/>
              <w:left w:type="dxa" w:w="110"/>
              <w:bottom w:type="dxa" w:w="50"/>
              <w:right w:type="dxa" w:w="110"/>
            </w:tcMar>
            <w:vAlign w:val="center"/>
          </w:tcPr>
          <w:p>
            <w:pPr>
              <w:jc w:val="left"/>
            </w:pPr>
            <w:r>
              <w:rPr>
                <w:b/>
                <w:bCs/>
                <w:color w:val="222222"/>
                <w:sz w:val="19"/>
                <w:szCs w:val="19"/>
              </w:rPr>
              <w:t xml:space="preserve">Metodología</w:t>
            </w:r>
          </w:p>
        </w:tc>
        <w:tc>
          <w:tcPr>
            <w:tcW w:type="dxa" w:w="624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9"/>
                <w:szCs w:val="19"/>
              </w:rPr>
              <w:t xml:space="preserve">Probabilidad (A+B+C+D) × Severidad — R.M. 050-2013-TR</w:t>
            </w:r>
          </w:p>
        </w:tc>
      </w:tr>
      <w:tr>
        <w:trPr>
          <w:cantSplit/>
        </w:trPr>
        <w:tc>
          <w:tcPr>
            <w:tcW w:type="dxa" w:w="3120"/>
            <w:tcBorders>
              <w:top w:val="single" w:color="BFBFBF" w:sz="1"/>
              <w:left w:val="single" w:color="BFBFBF" w:sz="1"/>
              <w:bottom w:val="single" w:color="BFBFBF" w:sz="1"/>
              <w:right w:val="single" w:color="BFBFBF" w:sz="1"/>
            </w:tcBorders>
            <w:shd w:fill="D5E8F0" w:val="clear"/>
            <w:tcMar>
              <w:top w:type="dxa" w:w="50"/>
              <w:left w:type="dxa" w:w="110"/>
              <w:bottom w:type="dxa" w:w="50"/>
              <w:right w:type="dxa" w:w="110"/>
            </w:tcMar>
            <w:vAlign w:val="center"/>
          </w:tcPr>
          <w:p>
            <w:pPr>
              <w:jc w:val="left"/>
            </w:pPr>
            <w:r>
              <w:rPr>
                <w:b/>
                <w:bCs/>
                <w:color w:val="222222"/>
                <w:sz w:val="19"/>
                <w:szCs w:val="19"/>
              </w:rPr>
              <w:t xml:space="preserve">Cobertura</w:t>
            </w:r>
          </w:p>
        </w:tc>
        <w:tc>
          <w:tcPr>
            <w:tcW w:type="dxa" w:w="624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9"/>
                <w:szCs w:val="19"/>
              </w:rPr>
              <w:t xml:space="preserve">Multisectorial: oficina, comercio, almacén, salud, construcción, minería e industria</w:t>
            </w:r>
          </w:p>
        </w:tc>
      </w:tr>
      <w:tr>
        <w:trPr>
          <w:cantSplit/>
        </w:trPr>
        <w:tc>
          <w:tcPr>
            <w:tcW w:type="dxa" w:w="3120"/>
            <w:tcBorders>
              <w:top w:val="single" w:color="BFBFBF" w:sz="1"/>
              <w:left w:val="single" w:color="BFBFBF" w:sz="1"/>
              <w:bottom w:val="single" w:color="BFBFBF" w:sz="1"/>
              <w:right w:val="single" w:color="BFBFBF" w:sz="1"/>
            </w:tcBorders>
            <w:shd w:fill="D5E8F0" w:val="clear"/>
            <w:tcMar>
              <w:top w:type="dxa" w:w="50"/>
              <w:left w:type="dxa" w:w="110"/>
              <w:bottom w:type="dxa" w:w="50"/>
              <w:right w:type="dxa" w:w="110"/>
            </w:tcMar>
            <w:vAlign w:val="center"/>
          </w:tcPr>
          <w:p>
            <w:pPr>
              <w:jc w:val="left"/>
            </w:pPr>
            <w:r>
              <w:rPr>
                <w:b/>
                <w:bCs/>
                <w:color w:val="222222"/>
                <w:sz w:val="19"/>
                <w:szCs w:val="19"/>
              </w:rPr>
              <w:t xml:space="preserve">Autor</w:t>
            </w:r>
          </w:p>
        </w:tc>
        <w:tc>
          <w:tcPr>
            <w:tcW w:type="dxa" w:w="624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9"/>
                <w:szCs w:val="19"/>
              </w:rPr>
              <w:t xml:space="preserve">Ing. Pierre R.</w:t>
            </w:r>
          </w:p>
        </w:tc>
      </w:tr>
      <w:tr>
        <w:trPr>
          <w:cantSplit/>
        </w:trPr>
        <w:tc>
          <w:tcPr>
            <w:tcW w:type="dxa" w:w="3120"/>
            <w:tcBorders>
              <w:top w:val="single" w:color="BFBFBF" w:sz="1"/>
              <w:left w:val="single" w:color="BFBFBF" w:sz="1"/>
              <w:bottom w:val="single" w:color="BFBFBF" w:sz="1"/>
              <w:right w:val="single" w:color="BFBFBF" w:sz="1"/>
            </w:tcBorders>
            <w:shd w:fill="D5E8F0" w:val="clear"/>
            <w:tcMar>
              <w:top w:type="dxa" w:w="50"/>
              <w:left w:type="dxa" w:w="110"/>
              <w:bottom w:type="dxa" w:w="50"/>
              <w:right w:type="dxa" w:w="110"/>
            </w:tcMar>
            <w:vAlign w:val="center"/>
          </w:tcPr>
          <w:p>
            <w:pPr>
              <w:jc w:val="left"/>
            </w:pPr>
            <w:r>
              <w:rPr>
                <w:b/>
                <w:bCs/>
                <w:color w:val="222222"/>
                <w:sz w:val="19"/>
                <w:szCs w:val="19"/>
              </w:rPr>
              <w:t xml:space="preserve">Contacto</w:t>
            </w:r>
          </w:p>
        </w:tc>
        <w:tc>
          <w:tcPr>
            <w:tcW w:type="dxa" w:w="624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9"/>
                <w:szCs w:val="19"/>
              </w:rPr>
              <w:t xml:space="preserve">peru.labs.pe@gmail.com</w:t>
            </w:r>
          </w:p>
        </w:tc>
      </w:tr>
      <w:tr>
        <w:trPr>
          <w:cantSplit/>
        </w:trPr>
        <w:tc>
          <w:tcPr>
            <w:tcW w:type="dxa" w:w="3120"/>
            <w:tcBorders>
              <w:top w:val="single" w:color="BFBFBF" w:sz="1"/>
              <w:left w:val="single" w:color="BFBFBF" w:sz="1"/>
              <w:bottom w:val="single" w:color="BFBFBF" w:sz="1"/>
              <w:right w:val="single" w:color="BFBFBF" w:sz="1"/>
            </w:tcBorders>
            <w:shd w:fill="D5E8F0" w:val="clear"/>
            <w:tcMar>
              <w:top w:type="dxa" w:w="50"/>
              <w:left w:type="dxa" w:w="110"/>
              <w:bottom w:type="dxa" w:w="50"/>
              <w:right w:type="dxa" w:w="110"/>
            </w:tcMar>
            <w:vAlign w:val="center"/>
          </w:tcPr>
          <w:p>
            <w:pPr>
              <w:jc w:val="left"/>
            </w:pPr>
            <w:r>
              <w:rPr>
                <w:b/>
                <w:bCs/>
                <w:color w:val="222222"/>
                <w:sz w:val="19"/>
                <w:szCs w:val="19"/>
              </w:rPr>
              <w:t xml:space="preserve">Edición</w:t>
            </w:r>
          </w:p>
        </w:tc>
        <w:tc>
          <w:tcPr>
            <w:tcW w:type="dxa" w:w="624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9"/>
                <w:szCs w:val="19"/>
              </w:rPr>
              <w:t xml:space="preserve">Junio 2026 · Versión 1.0</w:t>
            </w:r>
          </w:p>
        </w:tc>
      </w:tr>
    </w:tbl>
    <w:p>
      <w:pPr>
        <w:spacing w:after="240"/>
      </w:pPr>
      <w:r>
        <w:t xml:space="preserve"/>
      </w:r>
    </w:p>
    <w:p>
      <w:pPr>
        <w:pBdr>
          <w:bottom w:val="single" w:color="8EAADB" w:sz="10" w:space="1"/>
        </w:pBdr>
        <w:spacing w:after="120"/>
      </w:pPr>
      <w:r>
        <w:t xml:space="preserve"/>
      </w:r>
    </w:p>
    <w:p>
      <w:pPr>
        <w:spacing w:before="40"/>
        <w:jc w:val="left"/>
      </w:pPr>
      <w:r>
        <w:rPr>
          <w:color w:val="595959"/>
          <w:sz w:val="16"/>
          <w:szCs w:val="16"/>
        </w:rPr>
        <w:t xml:space="preserve">© 2026 Ing. Pierre R. - peru.labs.pe@gmail.com - Generador IPERC Normativo Perú. Uso bajo licencia del autor.</w:t>
      </w:r>
      <w:r>
        <w:rPr>
          <w:vanish/>
          <w:color w:val="FFFFFF"/>
          <w:sz w:val="2"/>
          <w:szCs w:val="2"/>
        </w:rPr>
        <w:t xml:space="preserve">Documento de autoría de Ing. Pierre R. (peru.labs.pe@gmail.com). Copyright 2026. Todos los derechos reservados. Marca de agua de autoría incrustada.</w:t>
      </w:r>
    </w:p>
    <w:p>
      <w:pPr>
        <w:spacing w:before="20"/>
        <w:jc w:val="left"/>
      </w:pPr>
      <w:r>
        <w:rPr>
          <w:i/>
          <w:iCs/>
          <w:color w:val="595959"/>
          <w:sz w:val="16"/>
          <w:szCs w:val="16"/>
        </w:rPr>
        <w:t xml:space="preserve">Documento referencial. No reemplaza la evaluación técnica in situ ni la validación legal por profesional SST colegiado.</w:t>
      </w:r>
    </w:p>
    <w:p>
      <w:pPr>
        <w:pStyle w:val="Heading1"/>
        <w:pageBreakBefore/>
      </w:pPr>
      <w:r>
        <w:t xml:space="preserve">Contenido</w:t>
      </w:r>
    </w:p>
    <w:sdt>
      <w:sdtPr>
        <w:alias w:val="Tabla de contenido"/>
      </w:sdtPr>
      <w:sdtContent>
        <w:p>
          <w:r>
            <w:fldChar w:fldCharType="begin" w:dirty="true"/>
            <w:instrText xml:space="preserve">TOC \h \o "1-3"</w:instrText>
            <w:fldChar w:fldCharType="separate"/>
          </w:r>
        </w:p>
        <w:p>
          <w:r>
            <w:fldChar w:fldCharType="end"/>
          </w:r>
        </w:p>
      </w:sdtContent>
    </w:sdt>
    <w:p>
      <w:pPr>
        <w:spacing w:before="80"/>
      </w:pPr>
      <w:r>
        <w:rPr>
          <w:i/>
          <w:iCs/>
          <w:color w:val="595959"/>
          <w:sz w:val="18"/>
          <w:szCs w:val="18"/>
        </w:rPr>
        <w:t xml:space="preserve">Para actualizar el índice en Word: clic derecho sobre la tabla → «Actualizar campos» → «Actualizar toda la tabla».</w:t>
      </w:r>
    </w:p>
    <w:p>
      <w:pPr>
        <w:pStyle w:val="Heading1"/>
        <w:pageBreakBefore/>
      </w:pPr>
      <w:r>
        <w:t xml:space="preserve">1. Presentación y objeto del informe</w:t>
      </w:r>
    </w:p>
    <w:p>
      <w:pPr>
        <w:spacing w:after="120" w:line="276"/>
        <w:jc w:val="both"/>
      </w:pPr>
      <w:r>
        <w:rPr>
          <w:b w:val="false"/>
          <w:bCs w:val="false"/>
          <w:i w:val="false"/>
          <w:iCs w:val="false"/>
          <w:color w:val="222222"/>
          <w:sz w:val="22"/>
          <w:szCs w:val="22"/>
        </w:rPr>
        <w:t xml:space="preserve">Este informe-guía documenta el uso, la metodología y los resultados del Generador IPERC Normativo – Perú, una herramienta en Excel diseñada para que cualquier organización —pública o privada— pueda identificar peligros, evaluar riesgos y determinar medidas de control de forma estructurada, trazable y defendible ante una fiscalización de SUNAFIL.</w:t>
      </w:r>
    </w:p>
    <w:p>
      <w:pPr>
        <w:spacing w:after="120" w:line="276"/>
        <w:jc w:val="both"/>
      </w:pPr>
      <w:r>
        <w:rPr>
          <w:b w:val="false"/>
          <w:bCs w:val="false"/>
          <w:i w:val="false"/>
          <w:iCs w:val="false"/>
          <w:color w:val="222222"/>
          <w:sz w:val="22"/>
          <w:szCs w:val="22"/>
        </w:rPr>
        <w:t xml:space="preserve">El instrumento no impone un único formato rígido: ofrece cuatro niveles de profundidad seleccionables según la madurez del sistema de gestión de la empresa, conservando en todos ellos el sustento técnico-normativo exigido por la legislación peruana de seguridad y salud en el trabajo (SST).</w:t>
      </w:r>
    </w:p>
    <w:p>
      <w:pPr>
        <w:pStyle w:val="Heading3"/>
      </w:pPr>
      <w:r>
        <w:t xml:space="preserve">1.1 Objetivos</w:t>
      </w:r>
    </w:p>
    <w:p>
      <w:pPr>
        <w:pStyle w:val="ListParagraph"/>
        <w:numPr>
          <w:ilvl w:val="0"/>
          <w:numId w:val="2"/>
        </w:numPr>
        <w:spacing w:after="60" w:line="268"/>
        <w:jc w:val="both"/>
      </w:pPr>
      <w:r>
        <w:rPr>
          <w:color w:val="222222"/>
          <w:sz w:val="22"/>
          <w:szCs w:val="22"/>
        </w:rPr>
        <w:t xml:space="preserve">Proveer una matriz IPERC parametrizable y dinámica que cubra la mayoría de los giros empresariales del Perú.</w:t>
      </w:r>
    </w:p>
    <w:p>
      <w:pPr>
        <w:pStyle w:val="ListParagraph"/>
        <w:numPr>
          <w:ilvl w:val="0"/>
          <w:numId w:val="2"/>
        </w:numPr>
        <w:spacing w:after="60" w:line="268"/>
        <w:jc w:val="both"/>
      </w:pPr>
      <w:r>
        <w:rPr>
          <w:color w:val="222222"/>
          <w:sz w:val="22"/>
          <w:szCs w:val="22"/>
        </w:rPr>
        <w:t xml:space="preserve">Asegurar que cada riesgo evaluado se vincule a un peligro, un control jerarquizado y una base normativa.</w:t>
      </w:r>
    </w:p>
    <w:p>
      <w:pPr>
        <w:pStyle w:val="ListParagraph"/>
        <w:numPr>
          <w:ilvl w:val="0"/>
          <w:numId w:val="2"/>
        </w:numPr>
        <w:spacing w:after="60" w:line="268"/>
        <w:jc w:val="both"/>
      </w:pPr>
      <w:r>
        <w:rPr>
          <w:color w:val="222222"/>
          <w:sz w:val="22"/>
          <w:szCs w:val="22"/>
        </w:rPr>
        <w:t xml:space="preserve">Documentar resultados (riesgo inicial, riesgo residual, plan de acción e indicadores) en un formato listo para entregar.</w:t>
      </w:r>
    </w:p>
    <w:p>
      <w:pPr>
        <w:pStyle w:val="ListParagraph"/>
        <w:numPr>
          <w:ilvl w:val="0"/>
          <w:numId w:val="2"/>
        </w:numPr>
        <w:spacing w:after="60" w:line="268"/>
        <w:jc w:val="both"/>
      </w:pPr>
      <w:r>
        <w:rPr>
          <w:color w:val="222222"/>
          <w:sz w:val="22"/>
          <w:szCs w:val="22"/>
        </w:rPr>
        <w:t xml:space="preserve">Servir como guía de llenado y como evidencia documental del Sistema de Gestión de SST (SGSST).</w:t>
      </w:r>
    </w:p>
    <w:p>
      <w:pPr>
        <w:pStyle w:val="Heading3"/>
      </w:pPr>
      <w:r>
        <w:t xml:space="preserve">1.2 Alcance</w:t>
      </w:r>
    </w:p>
    <w:p>
      <w:pPr>
        <w:spacing w:after="120" w:line="276"/>
        <w:jc w:val="both"/>
      </w:pPr>
      <w:r>
        <w:rPr>
          <w:b w:val="false"/>
          <w:bCs w:val="false"/>
          <w:i w:val="false"/>
          <w:iCs w:val="false"/>
          <w:color w:val="222222"/>
          <w:sz w:val="22"/>
          <w:szCs w:val="22"/>
        </w:rPr>
        <w:t xml:space="preserve">La herramienta aplica a empresas de cualquier tamaño y sector. El marco general (Ley 29783, su Reglamento y la R.M. 050-2013-TR) se activa siempre; la normativa sectorial (construcción, minería, hidrocarburos, salud, sector público) se incorpora como capa adicional cuando el giro lo requiere.</w:t>
      </w:r>
    </w:p>
    <w:p>
      <w:pPr>
        <w:pStyle w:val="Heading1"/>
        <w:pageBreakBefore/>
      </w:pPr>
      <w:r>
        <w:t xml:space="preserve">2. Base legal vigente</w:t>
      </w:r>
    </w:p>
    <w:p>
      <w:pPr>
        <w:spacing w:after="120" w:line="276"/>
        <w:jc w:val="both"/>
      </w:pPr>
      <w:r>
        <w:rPr>
          <w:b w:val="false"/>
          <w:bCs w:val="false"/>
          <w:i w:val="false"/>
          <w:iCs w:val="false"/>
          <w:color w:val="222222"/>
          <w:sz w:val="22"/>
          <w:szCs w:val="22"/>
        </w:rPr>
        <w:t xml:space="preserve">La obligación legal no consiste en «llenar una tabla», sino en mantener un sistema preventivo: identificar peligros, evaluar riesgos, adoptar controles, documentarlos, exhibirlos y actualizarlos al menos una vez al año o cuando cambien las condiciones de trabajo, con participación de los trabajadores. El siguiente es el motor normativo incorporado en la herramienta.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3360"/>
        <w:gridCol w:w="1900"/>
      </w:tblGrid>
      <w:tr>
        <w:trPr>
          <w:cantSplit/>
          <w:tblHeader/>
        </w:trPr>
        <w:tc>
          <w:tcPr>
            <w:tcW w:type="dxa" w:w="1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Norma</w:t>
            </w:r>
          </w:p>
        </w:tc>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Artículo / tema</w:t>
            </w:r>
          </w:p>
        </w:tc>
        <w:tc>
          <w:tcPr>
            <w:tcW w:type="dxa" w:w="3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Obligación esencial</w:t>
            </w:r>
          </w:p>
        </w:tc>
        <w:tc>
          <w:tcPr>
            <w:tcW w:type="dxa" w:w="1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Aplica a</w:t>
            </w:r>
          </w:p>
        </w:tc>
      </w:tr>
      <w:tr>
        <w:trPr>
          <w:cantSplit/>
        </w:trPr>
        <w:tc>
          <w:tcPr>
            <w:tcW w:type="dxa" w:w="1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222222"/>
                <w:sz w:val="17"/>
                <w:szCs w:val="17"/>
              </w:rPr>
              <w:t xml:space="preserve">Ley N.° 29783 - Ley de SST</w:t>
            </w:r>
          </w:p>
        </w:tc>
        <w:tc>
          <w:tcPr>
            <w:tcW w:type="dxa" w:w="2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6"/>
                <w:szCs w:val="16"/>
              </w:rPr>
              <w:t xml:space="preserve">Art. I (Título Prelim.) — Prevención</w:t>
            </w:r>
          </w:p>
        </w:tc>
        <w:tc>
          <w:tcPr>
            <w:tcW w:type="dxa" w:w="3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6"/>
                <w:szCs w:val="16"/>
              </w:rPr>
              <w:t xml:space="preserve">El empleador garantiza, en el centro de trabajo, el establecimiento de los medios y condiciones que protejan la vida, la salud y el bienestar de los trabajadores.</w:t>
            </w:r>
          </w:p>
        </w:tc>
        <w:tc>
          <w:tcPr>
            <w:tcW w:type="dxa" w:w="1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6"/>
                <w:szCs w:val="16"/>
              </w:rPr>
              <w:t xml:space="preserve">Todos los sectores</w:t>
            </w:r>
          </w:p>
        </w:tc>
      </w:tr>
      <w:tr>
        <w:trPr>
          <w:cantSplit/>
        </w:trPr>
        <w:tc>
          <w:tcPr>
            <w:tcW w:type="dxa" w:w="19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222222"/>
                <w:sz w:val="17"/>
                <w:szCs w:val="17"/>
              </w:rPr>
              <w:t xml:space="preserve">Ley N.° 29783 - Ley de SST</w:t>
            </w:r>
          </w:p>
        </w:tc>
        <w:tc>
          <w:tcPr>
            <w:tcW w:type="dxa" w:w="22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6"/>
                <w:szCs w:val="16"/>
              </w:rPr>
              <w:t xml:space="preserve">Art. 19 — Participación</w:t>
            </w:r>
          </w:p>
        </w:tc>
        <w:tc>
          <w:tcPr>
            <w:tcW w:type="dxa" w:w="33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6"/>
                <w:szCs w:val="16"/>
              </w:rPr>
              <w:t xml:space="preserve">La participación de los trabajadores es esencial en el Sistema de Gestión de SST.</w:t>
            </w:r>
          </w:p>
        </w:tc>
        <w:tc>
          <w:tcPr>
            <w:tcW w:type="dxa" w:w="19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6"/>
                <w:szCs w:val="16"/>
              </w:rPr>
              <w:t xml:space="preserve">Todos los sectores</w:t>
            </w:r>
          </w:p>
        </w:tc>
      </w:tr>
      <w:tr>
        <w:trPr>
          <w:cantSplit/>
        </w:trPr>
        <w:tc>
          <w:tcPr>
            <w:tcW w:type="dxa" w:w="1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222222"/>
                <w:sz w:val="17"/>
                <w:szCs w:val="17"/>
              </w:rPr>
              <w:t xml:space="preserve">Ley N.° 29783 - Ley de SST</w:t>
            </w:r>
          </w:p>
        </w:tc>
        <w:tc>
          <w:tcPr>
            <w:tcW w:type="dxa" w:w="2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6"/>
                <w:szCs w:val="16"/>
              </w:rPr>
              <w:t xml:space="preserve">Art. 21 — Jerarquía de control</w:t>
            </w:r>
          </w:p>
        </w:tc>
        <w:tc>
          <w:tcPr>
            <w:tcW w:type="dxa" w:w="3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6"/>
                <w:szCs w:val="16"/>
              </w:rPr>
              <w:t xml:space="preserve">Las medidas de prevención se aplican en el siguiente orden: eliminación, tratamiento/control en la fuente, control administrativo y EPP.</w:t>
            </w:r>
          </w:p>
        </w:tc>
        <w:tc>
          <w:tcPr>
            <w:tcW w:type="dxa" w:w="1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6"/>
                <w:szCs w:val="16"/>
              </w:rPr>
              <w:t xml:space="preserve">Todos los sectores</w:t>
            </w:r>
          </w:p>
        </w:tc>
      </w:tr>
      <w:tr>
        <w:trPr>
          <w:cantSplit/>
        </w:trPr>
        <w:tc>
          <w:tcPr>
            <w:tcW w:type="dxa" w:w="19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222222"/>
                <w:sz w:val="17"/>
                <w:szCs w:val="17"/>
              </w:rPr>
              <w:t xml:space="preserve">Ley N.° 29783 - Ley de SST</w:t>
            </w:r>
          </w:p>
        </w:tc>
        <w:tc>
          <w:tcPr>
            <w:tcW w:type="dxa" w:w="22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6"/>
                <w:szCs w:val="16"/>
              </w:rPr>
              <w:t xml:space="preserve">Art. 50 — Medidas de prevención</w:t>
            </w:r>
          </w:p>
        </w:tc>
        <w:tc>
          <w:tcPr>
            <w:tcW w:type="dxa" w:w="33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6"/>
                <w:szCs w:val="16"/>
              </w:rPr>
              <w:t xml:space="preserve">El empleador aplica medidas de prevención: gestiona riesgos, identifica peligros y evalúa riesgos.</w:t>
            </w:r>
          </w:p>
        </w:tc>
        <w:tc>
          <w:tcPr>
            <w:tcW w:type="dxa" w:w="19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6"/>
                <w:szCs w:val="16"/>
              </w:rPr>
              <w:t xml:space="preserve">Todos los sectores</w:t>
            </w:r>
          </w:p>
        </w:tc>
      </w:tr>
      <w:tr>
        <w:trPr>
          <w:cantSplit/>
        </w:trPr>
        <w:tc>
          <w:tcPr>
            <w:tcW w:type="dxa" w:w="1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222222"/>
                <w:sz w:val="17"/>
                <w:szCs w:val="17"/>
              </w:rPr>
              <w:t xml:space="preserve">Ley N.° 29783 - Ley de SST</w:t>
            </w:r>
          </w:p>
        </w:tc>
        <w:tc>
          <w:tcPr>
            <w:tcW w:type="dxa" w:w="2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6"/>
                <w:szCs w:val="16"/>
              </w:rPr>
              <w:t xml:space="preserve">Art. 57 — Actualización de la evaluación</w:t>
            </w:r>
          </w:p>
        </w:tc>
        <w:tc>
          <w:tcPr>
            <w:tcW w:type="dxa" w:w="3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6"/>
                <w:szCs w:val="16"/>
              </w:rPr>
              <w:t xml:space="preserve">El empleador actualiza la evaluación de riesgos al menos una vez al año o cuando cambien las condiciones de trabajo.</w:t>
            </w:r>
          </w:p>
        </w:tc>
        <w:tc>
          <w:tcPr>
            <w:tcW w:type="dxa" w:w="1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6"/>
                <w:szCs w:val="16"/>
              </w:rPr>
              <w:t xml:space="preserve">Todos los sectores</w:t>
            </w:r>
          </w:p>
        </w:tc>
      </w:tr>
      <w:tr>
        <w:trPr>
          <w:cantSplit/>
        </w:trPr>
        <w:tc>
          <w:tcPr>
            <w:tcW w:type="dxa" w:w="19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222222"/>
                <w:sz w:val="17"/>
                <w:szCs w:val="17"/>
              </w:rPr>
              <w:t xml:space="preserve">D.S. N.° 005-2012-TR - Reglamento</w:t>
            </w:r>
          </w:p>
        </w:tc>
        <w:tc>
          <w:tcPr>
            <w:tcW w:type="dxa" w:w="22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6"/>
                <w:szCs w:val="16"/>
              </w:rPr>
              <w:t xml:space="preserve">Art. 32 — Documentación del SGSST</w:t>
            </w:r>
          </w:p>
        </w:tc>
        <w:tc>
          <w:tcPr>
            <w:tcW w:type="dxa" w:w="33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6"/>
                <w:szCs w:val="16"/>
              </w:rPr>
              <w:t xml:space="preserve">La documentación del SGSST debe incluir IPERC, mapa de riesgos, planificación y programa anual de SST.</w:t>
            </w:r>
          </w:p>
        </w:tc>
        <w:tc>
          <w:tcPr>
            <w:tcW w:type="dxa" w:w="19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6"/>
                <w:szCs w:val="16"/>
              </w:rPr>
              <w:t xml:space="preserve">Todos los sectores</w:t>
            </w:r>
          </w:p>
        </w:tc>
      </w:tr>
      <w:tr>
        <w:trPr>
          <w:cantSplit/>
        </w:trPr>
        <w:tc>
          <w:tcPr>
            <w:tcW w:type="dxa" w:w="1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222222"/>
                <w:sz w:val="17"/>
                <w:szCs w:val="17"/>
              </w:rPr>
              <w:t xml:space="preserve">D.S. N.° 005-2012-TR - Reglamento</w:t>
            </w:r>
          </w:p>
        </w:tc>
        <w:tc>
          <w:tcPr>
            <w:tcW w:type="dxa" w:w="2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6"/>
                <w:szCs w:val="16"/>
              </w:rPr>
              <w:t xml:space="preserve">Art. 33 — Registros obligatorios</w:t>
            </w:r>
          </w:p>
        </w:tc>
        <w:tc>
          <w:tcPr>
            <w:tcW w:type="dxa" w:w="3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6"/>
                <w:szCs w:val="16"/>
              </w:rPr>
              <w:t xml:space="preserve">Registros: accidentes, incidentes peligrosos, enfermedades ocupacionales, monitoreo, inspecciones, capacitaciones, EPP.</w:t>
            </w:r>
          </w:p>
        </w:tc>
        <w:tc>
          <w:tcPr>
            <w:tcW w:type="dxa" w:w="1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6"/>
                <w:szCs w:val="16"/>
              </w:rPr>
              <w:t xml:space="preserve">Todos los sectores</w:t>
            </w:r>
          </w:p>
        </w:tc>
      </w:tr>
      <w:tr>
        <w:trPr>
          <w:cantSplit/>
        </w:trPr>
        <w:tc>
          <w:tcPr>
            <w:tcW w:type="dxa" w:w="19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222222"/>
                <w:sz w:val="17"/>
                <w:szCs w:val="17"/>
              </w:rPr>
              <w:t xml:space="preserve">D.S. N.° 005-2012-TR - Reglamento</w:t>
            </w:r>
          </w:p>
        </w:tc>
        <w:tc>
          <w:tcPr>
            <w:tcW w:type="dxa" w:w="22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6"/>
                <w:szCs w:val="16"/>
              </w:rPr>
              <w:t xml:space="preserve">Art. 77 — Evaluación inicial de riesgos</w:t>
            </w:r>
          </w:p>
        </w:tc>
        <w:tc>
          <w:tcPr>
            <w:tcW w:type="dxa" w:w="33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6"/>
                <w:szCs w:val="16"/>
              </w:rPr>
              <w:t xml:space="preserve">La evaluación inicial se realiza por puesto de trabajo, con personal competente y consulta a los trabajadores.</w:t>
            </w:r>
          </w:p>
        </w:tc>
        <w:tc>
          <w:tcPr>
            <w:tcW w:type="dxa" w:w="19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6"/>
                <w:szCs w:val="16"/>
              </w:rPr>
              <w:t xml:space="preserve">Todos los sectores</w:t>
            </w:r>
          </w:p>
        </w:tc>
      </w:tr>
      <w:tr>
        <w:trPr>
          <w:cantSplit/>
        </w:trPr>
        <w:tc>
          <w:tcPr>
            <w:tcW w:type="dxa" w:w="1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222222"/>
                <w:sz w:val="17"/>
                <w:szCs w:val="17"/>
              </w:rPr>
              <w:t xml:space="preserve">R.M. N.° 050-2013-TR</w:t>
            </w:r>
          </w:p>
        </w:tc>
        <w:tc>
          <w:tcPr>
            <w:tcW w:type="dxa" w:w="2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6"/>
                <w:szCs w:val="16"/>
              </w:rPr>
              <w:t xml:space="preserve">Anexo 3 — Metodología IPERC</w:t>
            </w:r>
          </w:p>
        </w:tc>
        <w:tc>
          <w:tcPr>
            <w:tcW w:type="dxa" w:w="3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6"/>
                <w:szCs w:val="16"/>
              </w:rPr>
              <w:t xml:space="preserve">Aprueba formatos referenciales e información mínima de registros; incluye método de evaluación probabilidad x severidad.</w:t>
            </w:r>
          </w:p>
        </w:tc>
        <w:tc>
          <w:tcPr>
            <w:tcW w:type="dxa" w:w="1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6"/>
                <w:szCs w:val="16"/>
              </w:rPr>
              <w:t xml:space="preserve">Todos los sectores</w:t>
            </w:r>
          </w:p>
        </w:tc>
      </w:tr>
      <w:tr>
        <w:trPr>
          <w:cantSplit/>
        </w:trPr>
        <w:tc>
          <w:tcPr>
            <w:tcW w:type="dxa" w:w="19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222222"/>
                <w:sz w:val="17"/>
                <w:szCs w:val="17"/>
              </w:rPr>
              <w:t xml:space="preserve">Ley N.° 30222</w:t>
            </w:r>
          </w:p>
        </w:tc>
        <w:tc>
          <w:tcPr>
            <w:tcW w:type="dxa" w:w="22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6"/>
                <w:szCs w:val="16"/>
              </w:rPr>
              <w:t xml:space="preserve">Única — Modificatoria</w:t>
            </w:r>
          </w:p>
        </w:tc>
        <w:tc>
          <w:tcPr>
            <w:tcW w:type="dxa" w:w="33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6"/>
                <w:szCs w:val="16"/>
              </w:rPr>
              <w:t xml:space="preserve">Modifica diversos artículos de la Ley 29783 (enfoque preventivo y sancionador).</w:t>
            </w:r>
          </w:p>
        </w:tc>
        <w:tc>
          <w:tcPr>
            <w:tcW w:type="dxa" w:w="19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6"/>
                <w:szCs w:val="16"/>
              </w:rPr>
              <w:t xml:space="preserve">Todos los sectores</w:t>
            </w:r>
          </w:p>
        </w:tc>
      </w:tr>
      <w:tr>
        <w:trPr>
          <w:cantSplit/>
        </w:trPr>
        <w:tc>
          <w:tcPr>
            <w:tcW w:type="dxa" w:w="1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222222"/>
                <w:sz w:val="17"/>
                <w:szCs w:val="17"/>
              </w:rPr>
              <w:t xml:space="preserve">Ley N.° 31246</w:t>
            </w:r>
          </w:p>
        </w:tc>
        <w:tc>
          <w:tcPr>
            <w:tcW w:type="dxa" w:w="2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6"/>
                <w:szCs w:val="16"/>
              </w:rPr>
              <w:t xml:space="preserve">Única — Riesgo epidemiológico</w:t>
            </w:r>
          </w:p>
        </w:tc>
        <w:tc>
          <w:tcPr>
            <w:tcW w:type="dxa" w:w="3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6"/>
                <w:szCs w:val="16"/>
              </w:rPr>
              <w:t xml:space="preserve">Modifica la Ley 29783 para garantizar SST frente a riesgos epidemiológicos y sanitarios.</w:t>
            </w:r>
          </w:p>
        </w:tc>
        <w:tc>
          <w:tcPr>
            <w:tcW w:type="dxa" w:w="1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6"/>
                <w:szCs w:val="16"/>
              </w:rPr>
              <w:t xml:space="preserve">Público y privado</w:t>
            </w:r>
          </w:p>
        </w:tc>
      </w:tr>
      <w:tr>
        <w:trPr>
          <w:cantSplit/>
        </w:trPr>
        <w:tc>
          <w:tcPr>
            <w:tcW w:type="dxa" w:w="19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222222"/>
                <w:sz w:val="17"/>
                <w:szCs w:val="17"/>
              </w:rPr>
              <w:t xml:space="preserve">R.M. N.° 375-2008-TR</w:t>
            </w:r>
          </w:p>
        </w:tc>
        <w:tc>
          <w:tcPr>
            <w:tcW w:type="dxa" w:w="22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6"/>
                <w:szCs w:val="16"/>
              </w:rPr>
              <w:t xml:space="preserve">Norma básica — Ergonomía</w:t>
            </w:r>
          </w:p>
        </w:tc>
        <w:tc>
          <w:tcPr>
            <w:tcW w:type="dxa" w:w="33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6"/>
                <w:szCs w:val="16"/>
              </w:rPr>
              <w:t xml:space="preserve">Norma Básica de Ergonomía y de Procedimiento de Evaluación de Riesgo Disergonómico.</w:t>
            </w:r>
          </w:p>
        </w:tc>
        <w:tc>
          <w:tcPr>
            <w:tcW w:type="dxa" w:w="19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6"/>
                <w:szCs w:val="16"/>
              </w:rPr>
              <w:t xml:space="preserve">Todos los sectores</w:t>
            </w:r>
          </w:p>
        </w:tc>
      </w:tr>
      <w:tr>
        <w:trPr>
          <w:cantSplit/>
        </w:trPr>
        <w:tc>
          <w:tcPr>
            <w:tcW w:type="dxa" w:w="1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222222"/>
                <w:sz w:val="17"/>
                <w:szCs w:val="17"/>
              </w:rPr>
              <w:t xml:space="preserve">D.S. N.° 011-2019-TR</w:t>
            </w:r>
          </w:p>
        </w:tc>
        <w:tc>
          <w:tcPr>
            <w:tcW w:type="dxa" w:w="2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6"/>
                <w:szCs w:val="16"/>
              </w:rPr>
              <w:t xml:space="preserve">Reglamento — Sector construcción</w:t>
            </w:r>
          </w:p>
        </w:tc>
        <w:tc>
          <w:tcPr>
            <w:tcW w:type="dxa" w:w="3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6"/>
                <w:szCs w:val="16"/>
              </w:rPr>
              <w:t xml:space="preserve">Reglamento de Seguridad y Salud en el Trabajo para el Sector Construcción.</w:t>
            </w:r>
          </w:p>
        </w:tc>
        <w:tc>
          <w:tcPr>
            <w:tcW w:type="dxa" w:w="1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6"/>
                <w:szCs w:val="16"/>
              </w:rPr>
              <w:t xml:space="preserve">Construcción</w:t>
            </w:r>
          </w:p>
        </w:tc>
      </w:tr>
      <w:tr>
        <w:trPr>
          <w:cantSplit/>
        </w:trPr>
        <w:tc>
          <w:tcPr>
            <w:tcW w:type="dxa" w:w="19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222222"/>
                <w:sz w:val="17"/>
                <w:szCs w:val="17"/>
              </w:rPr>
              <w:t xml:space="preserve">Norma G.050 (RNE)</w:t>
            </w:r>
          </w:p>
        </w:tc>
        <w:tc>
          <w:tcPr>
            <w:tcW w:type="dxa" w:w="22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6"/>
                <w:szCs w:val="16"/>
              </w:rPr>
              <w:t xml:space="preserve">Norma técnica — Seguridad en construcción</w:t>
            </w:r>
          </w:p>
        </w:tc>
        <w:tc>
          <w:tcPr>
            <w:tcW w:type="dxa" w:w="33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6"/>
                <w:szCs w:val="16"/>
              </w:rPr>
              <w:t xml:space="preserve">Seguridad durante la construcción: trabajo en altura, andamios, excavaciones, EPP.</w:t>
            </w:r>
          </w:p>
        </w:tc>
        <w:tc>
          <w:tcPr>
            <w:tcW w:type="dxa" w:w="19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6"/>
                <w:szCs w:val="16"/>
              </w:rPr>
              <w:t xml:space="preserve">Construcción</w:t>
            </w:r>
          </w:p>
        </w:tc>
      </w:tr>
      <w:tr>
        <w:trPr>
          <w:cantSplit/>
        </w:trPr>
        <w:tc>
          <w:tcPr>
            <w:tcW w:type="dxa" w:w="1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222222"/>
                <w:sz w:val="17"/>
                <w:szCs w:val="17"/>
              </w:rPr>
              <w:t xml:space="preserve">D.S. N.° 024-2016-EM</w:t>
            </w:r>
          </w:p>
        </w:tc>
        <w:tc>
          <w:tcPr>
            <w:tcW w:type="dxa" w:w="2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6"/>
                <w:szCs w:val="16"/>
              </w:rPr>
              <w:t xml:space="preserve">Reglamento — Sector minería</w:t>
            </w:r>
          </w:p>
        </w:tc>
        <w:tc>
          <w:tcPr>
            <w:tcW w:type="dxa" w:w="3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6"/>
                <w:szCs w:val="16"/>
              </w:rPr>
              <w:t xml:space="preserve">Reglamento de Seguridad y Salud Ocupacional en Minería (y modificatorias).</w:t>
            </w:r>
          </w:p>
        </w:tc>
        <w:tc>
          <w:tcPr>
            <w:tcW w:type="dxa" w:w="1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6"/>
                <w:szCs w:val="16"/>
              </w:rPr>
              <w:t xml:space="preserve">Minería</w:t>
            </w:r>
          </w:p>
        </w:tc>
      </w:tr>
      <w:tr>
        <w:trPr>
          <w:cantSplit/>
        </w:trPr>
        <w:tc>
          <w:tcPr>
            <w:tcW w:type="dxa" w:w="19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222222"/>
                <w:sz w:val="17"/>
                <w:szCs w:val="17"/>
              </w:rPr>
              <w:t xml:space="preserve">D.S. N.° 043-2007-EM</w:t>
            </w:r>
          </w:p>
        </w:tc>
        <w:tc>
          <w:tcPr>
            <w:tcW w:type="dxa" w:w="22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6"/>
                <w:szCs w:val="16"/>
              </w:rPr>
              <w:t xml:space="preserve">Reglamento — Hidrocarburos</w:t>
            </w:r>
          </w:p>
        </w:tc>
        <w:tc>
          <w:tcPr>
            <w:tcW w:type="dxa" w:w="33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6"/>
                <w:szCs w:val="16"/>
              </w:rPr>
              <w:t xml:space="preserve">Reglamento de Seguridad para las Actividades de Hidrocarburos.</w:t>
            </w:r>
          </w:p>
        </w:tc>
        <w:tc>
          <w:tcPr>
            <w:tcW w:type="dxa" w:w="19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6"/>
                <w:szCs w:val="16"/>
              </w:rPr>
              <w:t xml:space="preserve">Hidrocarburos</w:t>
            </w:r>
          </w:p>
        </w:tc>
      </w:tr>
      <w:tr>
        <w:trPr>
          <w:cantSplit/>
        </w:trPr>
        <w:tc>
          <w:tcPr>
            <w:tcW w:type="dxa" w:w="1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222222"/>
                <w:sz w:val="17"/>
                <w:szCs w:val="17"/>
              </w:rPr>
              <w:t xml:space="preserve">Lineamientos SERVIR - SST sector público</w:t>
            </w:r>
          </w:p>
        </w:tc>
        <w:tc>
          <w:tcPr>
            <w:tcW w:type="dxa" w:w="2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6"/>
                <w:szCs w:val="16"/>
              </w:rPr>
              <w:t xml:space="preserve">Lineamiento — Sector público</w:t>
            </w:r>
          </w:p>
        </w:tc>
        <w:tc>
          <w:tcPr>
            <w:tcW w:type="dxa" w:w="3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6"/>
                <w:szCs w:val="16"/>
              </w:rPr>
              <w:t xml:space="preserve">La SST en el sector público se rige por la Ley 29783 y su reglamento; la ORH es responsable del SGSST.</w:t>
            </w:r>
          </w:p>
        </w:tc>
        <w:tc>
          <w:tcPr>
            <w:tcW w:type="dxa" w:w="1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6"/>
                <w:szCs w:val="16"/>
              </w:rPr>
              <w:t xml:space="preserve">Sector público</w:t>
            </w:r>
          </w:p>
        </w:tc>
      </w:tr>
      <w:tr>
        <w:trPr>
          <w:cantSplit/>
        </w:trPr>
        <w:tc>
          <w:tcPr>
            <w:tcW w:type="dxa" w:w="19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222222"/>
                <w:sz w:val="17"/>
                <w:szCs w:val="17"/>
              </w:rPr>
              <w:t xml:space="preserve">Manual IPERC SUNAFIL / ELSSA 2.0</w:t>
            </w:r>
          </w:p>
        </w:tc>
        <w:tc>
          <w:tcPr>
            <w:tcW w:type="dxa" w:w="22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6"/>
                <w:szCs w:val="16"/>
              </w:rPr>
              <w:t xml:space="preserve">Guía técnica — IPERC</w:t>
            </w:r>
          </w:p>
        </w:tc>
        <w:tc>
          <w:tcPr>
            <w:tcW w:type="dxa" w:w="33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6"/>
                <w:szCs w:val="16"/>
              </w:rPr>
              <w:t xml:space="preserve">Guía técnica referencial para identificación de peligros, evaluación de riesgos y determinación de controles.</w:t>
            </w:r>
          </w:p>
        </w:tc>
        <w:tc>
          <w:tcPr>
            <w:tcW w:type="dxa" w:w="19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6"/>
                <w:szCs w:val="16"/>
              </w:rPr>
              <w:t xml:space="preserve">Todos los sectores</w:t>
            </w:r>
          </w:p>
        </w:tc>
      </w:tr>
    </w:tbl>
    <w:p>
      <w:pPr>
        <w:spacing w:before="80"/>
      </w:pPr>
      <w:r>
        <w:rPr>
          <w:i/>
          <w:iCs/>
          <w:color w:val="595959"/>
          <w:sz w:val="18"/>
          <w:szCs w:val="18"/>
        </w:rPr>
        <w:t xml:space="preserve">Estado: todas las normas listadas se consignan como vigentes a la fecha de edición. Verifique modificatorias antes de cada auditoría.</w:t>
      </w:r>
    </w:p>
    <w:p>
      <w:pPr>
        <w:pStyle w:val="Heading3"/>
      </w:pPr>
      <w:r>
        <w:t xml:space="preserve">2.1 Normativa sectorial activable</w:t>
      </w:r>
    </w:p>
    <w:p>
      <w:pPr>
        <w:spacing w:after="120" w:line="276"/>
        <w:jc w:val="both"/>
      </w:pPr>
      <w:r>
        <w:rPr>
          <w:b w:val="false"/>
          <w:bCs w:val="false"/>
          <w:i w:val="false"/>
          <w:iCs w:val="false"/>
          <w:color w:val="222222"/>
          <w:sz w:val="22"/>
          <w:szCs w:val="22"/>
        </w:rPr>
        <w:t xml:space="preserve">Según el giro declarado, el generador suma la base sectorial correspondiente: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vAlign w:val="center"/>
          </w:tcPr>
          <w:p>
            <w:pPr>
              <w:jc w:val="left"/>
            </w:pPr>
            <w:r>
              <w:rPr>
                <w:b/>
                <w:bCs/>
                <w:color w:val="FFFFFF"/>
                <w:sz w:val="19"/>
                <w:szCs w:val="19"/>
              </w:rPr>
              <w:t xml:space="preserve">Sector</w:t>
            </w:r>
          </w:p>
        </w:tc>
        <w:tc>
          <w:tcPr>
            <w:tcW w:type="dxa" w:w="676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vAlign w:val="center"/>
          </w:tcPr>
          <w:p>
            <w:pPr>
              <w:jc w:val="left"/>
            </w:pPr>
            <w:r>
              <w:rPr>
                <w:b/>
                <w:bCs/>
                <w:color w:val="FFFFFF"/>
                <w:sz w:val="19"/>
                <w:szCs w:val="19"/>
              </w:rPr>
              <w:t xml:space="preserve">Norma sectorial a activar</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222222"/>
                <w:sz w:val="18"/>
                <w:szCs w:val="18"/>
              </w:rPr>
              <w:t xml:space="preserve">Construcción</w:t>
            </w:r>
          </w:p>
        </w:tc>
        <w:tc>
          <w:tcPr>
            <w:tcW w:type="dxa" w:w="67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D.S. 011-2019-TR (Reglamento SST construcción) + Norma G.050</w:t>
            </w:r>
          </w:p>
        </w:tc>
      </w:tr>
      <w:tr>
        <w:trPr>
          <w:cantSplit/>
        </w:trPr>
        <w:tc>
          <w:tcPr>
            <w:tcW w:type="dxa" w:w="26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222222"/>
                <w:sz w:val="18"/>
                <w:szCs w:val="18"/>
              </w:rPr>
              <w:t xml:space="preserve">Minería</w:t>
            </w:r>
          </w:p>
        </w:tc>
        <w:tc>
          <w:tcPr>
            <w:tcW w:type="dxa" w:w="67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D.S. 024-2016-EM y modificatorias (SSO en minería)</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222222"/>
                <w:sz w:val="18"/>
                <w:szCs w:val="18"/>
              </w:rPr>
              <w:t xml:space="preserve">Hidrocarburos</w:t>
            </w:r>
          </w:p>
        </w:tc>
        <w:tc>
          <w:tcPr>
            <w:tcW w:type="dxa" w:w="67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D.S. 043-2007-EM (Seguridad para actividades de hidrocarburos)</w:t>
            </w:r>
          </w:p>
        </w:tc>
      </w:tr>
      <w:tr>
        <w:trPr>
          <w:cantSplit/>
        </w:trPr>
        <w:tc>
          <w:tcPr>
            <w:tcW w:type="dxa" w:w="26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222222"/>
                <w:sz w:val="18"/>
                <w:szCs w:val="18"/>
              </w:rPr>
              <w:t xml:space="preserve">Salud</w:t>
            </w:r>
          </w:p>
        </w:tc>
        <w:tc>
          <w:tcPr>
            <w:tcW w:type="dxa" w:w="67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Norma Técnica de SST del Sistema de Salud (MINSA)</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222222"/>
                <w:sz w:val="18"/>
                <w:szCs w:val="18"/>
              </w:rPr>
              <w:t xml:space="preserve">Sector público</w:t>
            </w:r>
          </w:p>
        </w:tc>
        <w:tc>
          <w:tcPr>
            <w:tcW w:type="dxa" w:w="67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Ley 29783 + Reglamento + lineamientos SERVIR para entidades públicas</w:t>
            </w:r>
          </w:p>
        </w:tc>
      </w:tr>
      <w:tr>
        <w:trPr>
          <w:cantSplit/>
        </w:trPr>
        <w:tc>
          <w:tcPr>
            <w:tcW w:type="dxa" w:w="26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222222"/>
                <w:sz w:val="18"/>
                <w:szCs w:val="18"/>
              </w:rPr>
              <w:t xml:space="preserve">Industria / manufactura</w:t>
            </w:r>
          </w:p>
        </w:tc>
        <w:tc>
          <w:tcPr>
            <w:tcW w:type="dxa" w:w="67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Normas técnicas según maquinaria, químicos, ruido, ergonomía, electricidad e incendio</w:t>
            </w:r>
          </w:p>
        </w:tc>
      </w:tr>
    </w:tbl>
    <w:p>
      <w:pPr>
        <w:pStyle w:val="Heading1"/>
        <w:pageBreakBefore/>
      </w:pPr>
      <w:r>
        <w:t xml:space="preserve">3. Metodología de evaluación (R.M. 050-2013-TR)</w:t>
      </w:r>
    </w:p>
    <w:p>
      <w:pPr>
        <w:spacing w:after="120" w:line="276"/>
        <w:jc w:val="both"/>
      </w:pPr>
      <w:r>
        <w:rPr>
          <w:b w:val="false"/>
          <w:bCs w:val="false"/>
          <w:i w:val="false"/>
          <w:iCs w:val="false"/>
          <w:color w:val="222222"/>
          <w:sz w:val="22"/>
          <w:szCs w:val="22"/>
        </w:rPr>
        <w:t xml:space="preserve">La herramienta adopta el método de la R.M. 050-2013-TR, ampliamente aceptado en auditorías peruanas. El nivel de riesgo resulta del producto entre la probabilidad y la severidad de las consecuencias.</w:t>
      </w:r>
    </w:p>
    <w:p>
      <w:pPr>
        <w:pStyle w:val="Heading3"/>
      </w:pPr>
      <w:r>
        <w:t xml:space="preserve">3.1 Probabilidad</w:t>
      </w:r>
    </w:p>
    <w:p>
      <w:pPr>
        <w:spacing w:after="120" w:line="276"/>
        <w:jc w:val="both"/>
      </w:pPr>
      <w:r>
        <w:rPr>
          <w:b w:val="false"/>
          <w:bCs w:val="false"/>
          <w:i w:val="false"/>
          <w:iCs w:val="false"/>
          <w:color w:val="222222"/>
          <w:sz w:val="22"/>
          <w:szCs w:val="22"/>
        </w:rPr>
        <w:t xml:space="preserve">La probabilidad es la suma de cuatro índices, cada uno valorado de 1 a 3 (rango total 4 a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cantSplit/>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Índice</w:t>
            </w:r>
          </w:p>
        </w:tc>
        <w:tc>
          <w:tcPr>
            <w:tcW w:type="dxa" w:w="4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Qué mide</w:t>
            </w:r>
          </w:p>
        </w:tc>
        <w:tc>
          <w:tcPr>
            <w:tcW w:type="dxa" w:w="2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Valores</w:t>
            </w:r>
          </w:p>
        </w:tc>
      </w:tr>
      <w:tr>
        <w:trPr>
          <w:cantSplit/>
        </w:trPr>
        <w:tc>
          <w:tcPr>
            <w:tcW w:type="dxa" w:w="3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222222"/>
                <w:sz w:val="18"/>
                <w:szCs w:val="18"/>
              </w:rPr>
              <w:t xml:space="preserve">A — Personas expuestas</w:t>
            </w:r>
          </w:p>
        </w:tc>
        <w:tc>
          <w:tcPr>
            <w:tcW w:type="dxa" w:w="4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Número de trabajadores expuestos al peligro</w:t>
            </w:r>
          </w:p>
        </w:tc>
        <w:tc>
          <w:tcPr>
            <w:tcW w:type="dxa" w:w="2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1 (1–3) · 2 (4–12) · 3 (&gt;12)</w:t>
            </w:r>
          </w:p>
        </w:tc>
      </w:tr>
      <w:tr>
        <w:trPr>
          <w:cantSplit/>
        </w:trPr>
        <w:tc>
          <w:tcPr>
            <w:tcW w:type="dxa" w:w="30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222222"/>
                <w:sz w:val="18"/>
                <w:szCs w:val="18"/>
              </w:rPr>
              <w:t xml:space="preserve">B — Procedimientos</w:t>
            </w:r>
          </w:p>
        </w:tc>
        <w:tc>
          <w:tcPr>
            <w:tcW w:type="dxa" w:w="43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Existencia y suficiencia de procedimientos de trabajo</w:t>
            </w:r>
          </w:p>
        </w:tc>
        <w:tc>
          <w:tcPr>
            <w:tcW w:type="dxa" w:w="20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1 · 2 · 3</w:t>
            </w:r>
          </w:p>
        </w:tc>
      </w:tr>
      <w:tr>
        <w:trPr>
          <w:cantSplit/>
        </w:trPr>
        <w:tc>
          <w:tcPr>
            <w:tcW w:type="dxa" w:w="3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222222"/>
                <w:sz w:val="18"/>
                <w:szCs w:val="18"/>
              </w:rPr>
              <w:t xml:space="preserve">C — Capacitación</w:t>
            </w:r>
          </w:p>
        </w:tc>
        <w:tc>
          <w:tcPr>
            <w:tcW w:type="dxa" w:w="4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Nivel de conocimiento/entrenamiento del personal</w:t>
            </w:r>
          </w:p>
        </w:tc>
        <w:tc>
          <w:tcPr>
            <w:tcW w:type="dxa" w:w="2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1 · 2 · 3</w:t>
            </w:r>
          </w:p>
        </w:tc>
      </w:tr>
      <w:tr>
        <w:trPr>
          <w:cantSplit/>
        </w:trPr>
        <w:tc>
          <w:tcPr>
            <w:tcW w:type="dxa" w:w="30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222222"/>
                <w:sz w:val="18"/>
                <w:szCs w:val="18"/>
              </w:rPr>
              <w:t xml:space="preserve">D — Exposición</w:t>
            </w:r>
          </w:p>
        </w:tc>
        <w:tc>
          <w:tcPr>
            <w:tcW w:type="dxa" w:w="43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Frecuencia de exposición al riesgo</w:t>
            </w:r>
          </w:p>
        </w:tc>
        <w:tc>
          <w:tcPr>
            <w:tcW w:type="dxa" w:w="20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1 (esporádica) · 2 (eventual) · 3 (permanente)</w:t>
            </w:r>
          </w:p>
        </w:tc>
      </w:tr>
    </w:tbl>
    <w:p>
      <w:pPr>
        <w:spacing w:after="140" w:line="276"/>
        <w:jc w:val="both"/>
      </w:pPr>
      <w:r>
        <w:rPr>
          <w:b/>
          <w:bCs/>
          <w:i w:val="false"/>
          <w:iCs w:val="false"/>
          <w:color w:val="1F3864"/>
          <w:sz w:val="22"/>
          <w:szCs w:val="22"/>
        </w:rPr>
        <w:t xml:space="preserve">Probabilidad = A + B + C + D</w:t>
      </w:r>
      <w:r>
        <w:rPr>
          <w:b w:val="false"/>
          <w:bCs w:val="false"/>
          <w:i w:val="false"/>
          <w:iCs w:val="false"/>
          <w:color w:val="222222"/>
          <w:sz w:val="22"/>
          <w:szCs w:val="22"/>
        </w:rPr>
        <w:t xml:space="preserve">  (mínimo 4, máximo 12).</w:t>
      </w:r>
    </w:p>
    <w:p>
      <w:pPr>
        <w:pStyle w:val="Heading3"/>
      </w:pPr>
      <w:r>
        <w:t xml:space="preserve">3.2 Severidad</w:t>
      </w:r>
    </w:p>
    <w:p>
      <w:pPr>
        <w:spacing w:after="120" w:line="276"/>
        <w:jc w:val="both"/>
      </w:pPr>
      <w:r>
        <w:rPr>
          <w:b w:val="false"/>
          <w:bCs w:val="false"/>
          <w:i w:val="false"/>
          <w:iCs w:val="false"/>
          <w:color w:val="222222"/>
          <w:sz w:val="22"/>
          <w:szCs w:val="22"/>
        </w:rPr>
        <w:t xml:space="preserve">La severidad (o índice de consecuencia) se valora de 1 a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vAlign w:val="center"/>
          </w:tcPr>
          <w:p>
            <w:pPr>
              <w:jc w:val="left"/>
            </w:pPr>
            <w:r>
              <w:rPr>
                <w:b/>
                <w:bCs/>
                <w:color w:val="FFFFFF"/>
                <w:sz w:val="19"/>
                <w:szCs w:val="19"/>
              </w:rPr>
              <w:t xml:space="preserve">Severidad</w:t>
            </w:r>
          </w:p>
        </w:tc>
        <w:tc>
          <w:tcPr>
            <w:tcW w:type="dxa" w:w="716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vAlign w:val="center"/>
          </w:tcPr>
          <w:p>
            <w:pPr>
              <w:jc w:val="left"/>
            </w:pPr>
            <w:r>
              <w:rPr>
                <w:b/>
                <w:bCs/>
                <w:color w:val="FFFFFF"/>
                <w:sz w:val="19"/>
                <w:szCs w:val="19"/>
              </w:rPr>
              <w:t xml:space="preserve">Descripción</w:t>
            </w:r>
          </w:p>
        </w:tc>
      </w:tr>
      <w:tr>
        <w:trPr>
          <w:cantSplit/>
        </w:trPr>
        <w:tc>
          <w:tcPr>
            <w:tcW w:type="dxa" w:w="2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222222"/>
                <w:sz w:val="18"/>
                <w:szCs w:val="18"/>
              </w:rPr>
              <w:t xml:space="preserve">1 — Ligeramente dañino</w:t>
            </w:r>
          </w:p>
        </w:tc>
        <w:tc>
          <w:tcPr>
            <w:tcW w:type="dxa" w:w="71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Lesión leve sin incapacidad; molestia o irritación.</w:t>
            </w:r>
          </w:p>
        </w:tc>
      </w:tr>
      <w:tr>
        <w:trPr>
          <w:cantSplit/>
        </w:trPr>
        <w:tc>
          <w:tcPr>
            <w:tcW w:type="dxa" w:w="22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222222"/>
                <w:sz w:val="18"/>
                <w:szCs w:val="18"/>
              </w:rPr>
              <w:t xml:space="preserve">2 — Dañino</w:t>
            </w:r>
          </w:p>
        </w:tc>
        <w:tc>
          <w:tcPr>
            <w:tcW w:type="dxa" w:w="71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Lesión con incapacidad temporal; daño a la salud reversible.</w:t>
            </w:r>
          </w:p>
        </w:tc>
      </w:tr>
      <w:tr>
        <w:trPr>
          <w:cantSplit/>
        </w:trPr>
        <w:tc>
          <w:tcPr>
            <w:tcW w:type="dxa" w:w="2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222222"/>
                <w:sz w:val="18"/>
                <w:szCs w:val="18"/>
              </w:rPr>
              <w:t xml:space="preserve">3 — Extremadamente dañino</w:t>
            </w:r>
          </w:p>
        </w:tc>
        <w:tc>
          <w:tcPr>
            <w:tcW w:type="dxa" w:w="71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Lesión grave, incapacidad permanente o muerte.</w:t>
            </w:r>
          </w:p>
        </w:tc>
      </w:tr>
    </w:tbl>
    <w:p>
      <w:pPr>
        <w:pStyle w:val="Heading3"/>
      </w:pPr>
      <w:r>
        <w:t xml:space="preserve">3.3 Nivel de riesgo y clasificación</w:t>
      </w:r>
    </w:p>
    <w:p>
      <w:pPr>
        <w:spacing w:after="140" w:line="276"/>
        <w:jc w:val="both"/>
      </w:pPr>
      <w:r>
        <w:rPr>
          <w:b/>
          <w:bCs/>
          <w:i w:val="false"/>
          <w:iCs w:val="false"/>
          <w:color w:val="1F3864"/>
          <w:sz w:val="22"/>
          <w:szCs w:val="22"/>
        </w:rPr>
        <w:t xml:space="preserve">Nivel de Riesgo = Probabilidad × Severidad</w:t>
      </w:r>
      <w:r>
        <w:rPr>
          <w:b w:val="false"/>
          <w:bCs w:val="false"/>
          <w:i w:val="false"/>
          <w:iCs w:val="false"/>
          <w:color w:val="222222"/>
          <w:sz w:val="22"/>
          <w:szCs w:val="22"/>
        </w:rPr>
        <w:t xml:space="preserve">  (rango 4 a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400"/>
        <w:gridCol w:w="3360"/>
      </w:tblGrid>
      <w:tr>
        <w:trPr>
          <w:cantSplit/>
          <w:tblHeader/>
        </w:trPr>
        <w:tc>
          <w:tcPr>
            <w:tcW w:type="dxa" w:w="1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Rango</w:t>
            </w:r>
          </w:p>
        </w:tc>
        <w:tc>
          <w:tcPr>
            <w:tcW w:type="dxa" w:w="1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Nivel</w:t>
            </w:r>
          </w:p>
        </w:tc>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¿Significativo?</w:t>
            </w:r>
          </w:p>
        </w:tc>
        <w:tc>
          <w:tcPr>
            <w:tcW w:type="dxa" w:w="3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Interpretación / actuación</w:t>
            </w:r>
          </w:p>
        </w:tc>
      </w:tr>
      <w:tr>
        <w:trPr>
          <w:cantSplit/>
        </w:trPr>
        <w:tc>
          <w:tcPr>
            <w:tcW w:type="dxa" w:w="1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4</w:t>
            </w:r>
          </w:p>
        </w:tc>
        <w:tc>
          <w:tcPr>
            <w:tcW w:type="dxa" w:w="17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left"/>
            </w:pPr>
            <w:r>
              <w:rPr>
                <w:b/>
                <w:bCs/>
                <w:color w:val="222222"/>
                <w:sz w:val="18"/>
                <w:szCs w:val="18"/>
              </w:rPr>
              <w:t xml:space="preserve">Trivial</w:t>
            </w:r>
          </w:p>
        </w:tc>
        <w:tc>
          <w:tcPr>
            <w:tcW w:type="dxa" w:w="24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No</w:t>
            </w:r>
          </w:p>
        </w:tc>
        <w:tc>
          <w:tcPr>
            <w:tcW w:type="dxa" w:w="3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Aceptable; no requiere acción específica.</w:t>
            </w:r>
          </w:p>
        </w:tc>
      </w:tr>
      <w:tr>
        <w:trPr>
          <w:cantSplit/>
        </w:trPr>
        <w:tc>
          <w:tcPr>
            <w:tcW w:type="dxa" w:w="19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5 – 8</w:t>
            </w:r>
          </w:p>
        </w:tc>
        <w:tc>
          <w:tcPr>
            <w:tcW w:type="dxa" w:w="1700"/>
            <w:tcBorders>
              <w:top w:val="single" w:color="BFBFBF" w:sz="1"/>
              <w:left w:val="single" w:color="BFBFBF" w:sz="1"/>
              <w:bottom w:val="single" w:color="BFBFBF" w:sz="1"/>
              <w:right w:val="single" w:color="BFBFBF" w:sz="1"/>
            </w:tcBorders>
            <w:shd w:fill="FFF6D6" w:val="clear"/>
            <w:tcMar>
              <w:top w:type="dxa" w:w="50"/>
              <w:left w:type="dxa" w:w="110"/>
              <w:bottom w:type="dxa" w:w="50"/>
              <w:right w:type="dxa" w:w="110"/>
            </w:tcMar>
            <w:vAlign w:val="center"/>
          </w:tcPr>
          <w:p>
            <w:pPr>
              <w:jc w:val="left"/>
            </w:pPr>
            <w:r>
              <w:rPr>
                <w:b/>
                <w:bCs/>
                <w:color w:val="222222"/>
                <w:sz w:val="18"/>
                <w:szCs w:val="18"/>
              </w:rPr>
              <w:t xml:space="preserve">Tolerable</w:t>
            </w:r>
          </w:p>
        </w:tc>
        <w:tc>
          <w:tcPr>
            <w:tcW w:type="dxa" w:w="24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No</w:t>
            </w:r>
          </w:p>
        </w:tc>
        <w:tc>
          <w:tcPr>
            <w:tcW w:type="dxa" w:w="33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Mantener controles; verificar periódicamente.</w:t>
            </w:r>
          </w:p>
        </w:tc>
      </w:tr>
      <w:tr>
        <w:trPr>
          <w:cantSplit/>
        </w:trPr>
        <w:tc>
          <w:tcPr>
            <w:tcW w:type="dxa" w:w="1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9 – 16</w:t>
            </w:r>
          </w:p>
        </w:tc>
        <w:tc>
          <w:tcPr>
            <w:tcW w:type="dxa" w:w="1700"/>
            <w:tcBorders>
              <w:top w:val="single" w:color="BFBFBF" w:sz="1"/>
              <w:left w:val="single" w:color="BFBFBF" w:sz="1"/>
              <w:bottom w:val="single" w:color="BFBFBF" w:sz="1"/>
              <w:right w:val="single" w:color="BFBFBF" w:sz="1"/>
            </w:tcBorders>
            <w:shd w:fill="FFE9C7" w:val="clear"/>
            <w:tcMar>
              <w:top w:type="dxa" w:w="50"/>
              <w:left w:type="dxa" w:w="110"/>
              <w:bottom w:type="dxa" w:w="50"/>
              <w:right w:type="dxa" w:w="110"/>
            </w:tcMar>
            <w:vAlign w:val="center"/>
          </w:tcPr>
          <w:p>
            <w:pPr>
              <w:jc w:val="left"/>
            </w:pPr>
            <w:r>
              <w:rPr>
                <w:b/>
                <w:bCs/>
                <w:color w:val="222222"/>
                <w:sz w:val="18"/>
                <w:szCs w:val="18"/>
              </w:rPr>
              <w:t xml:space="preserve">Moderado</w:t>
            </w:r>
          </w:p>
        </w:tc>
        <w:tc>
          <w:tcPr>
            <w:tcW w:type="dxa" w:w="24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Sí</w:t>
            </w:r>
          </w:p>
        </w:tc>
        <w:tc>
          <w:tcPr>
            <w:tcW w:type="dxa" w:w="3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Esfuerzo por reducir; definir plazos.</w:t>
            </w:r>
          </w:p>
        </w:tc>
      </w:tr>
      <w:tr>
        <w:trPr>
          <w:cantSplit/>
        </w:trPr>
        <w:tc>
          <w:tcPr>
            <w:tcW w:type="dxa" w:w="19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17 – 24</w:t>
            </w:r>
          </w:p>
        </w:tc>
        <w:tc>
          <w:tcPr>
            <w:tcW w:type="dxa" w:w="1700"/>
            <w:tcBorders>
              <w:top w:val="single" w:color="BFBFBF" w:sz="1"/>
              <w:left w:val="single" w:color="BFBFBF" w:sz="1"/>
              <w:bottom w:val="single" w:color="BFBFBF" w:sz="1"/>
              <w:right w:val="single" w:color="BFBFBF" w:sz="1"/>
            </w:tcBorders>
            <w:shd w:fill="F4C7C3" w:val="clear"/>
            <w:tcMar>
              <w:top w:type="dxa" w:w="50"/>
              <w:left w:type="dxa" w:w="110"/>
              <w:bottom w:type="dxa" w:w="50"/>
              <w:right w:type="dxa" w:w="110"/>
            </w:tcMar>
            <w:vAlign w:val="center"/>
          </w:tcPr>
          <w:p>
            <w:pPr>
              <w:jc w:val="left"/>
            </w:pPr>
            <w:r>
              <w:rPr>
                <w:b/>
                <w:bCs/>
                <w:color w:val="222222"/>
                <w:sz w:val="18"/>
                <w:szCs w:val="18"/>
              </w:rPr>
              <w:t xml:space="preserve">Importante</w:t>
            </w:r>
          </w:p>
        </w:tc>
        <w:tc>
          <w:tcPr>
            <w:tcW w:type="dxa" w:w="24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Sí</w:t>
            </w:r>
          </w:p>
        </w:tc>
        <w:tc>
          <w:tcPr>
            <w:tcW w:type="dxa" w:w="33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No iniciar/continuar hasta reducir el riesgo.</w:t>
            </w:r>
          </w:p>
        </w:tc>
      </w:tr>
      <w:tr>
        <w:trPr>
          <w:cantSplit/>
        </w:trPr>
        <w:tc>
          <w:tcPr>
            <w:tcW w:type="dxa" w:w="1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25 – 36</w:t>
            </w:r>
          </w:p>
        </w:tc>
        <w:tc>
          <w:tcPr>
            <w:tcW w:type="dxa" w:w="1700"/>
            <w:tcBorders>
              <w:top w:val="single" w:color="BFBFBF" w:sz="1"/>
              <w:left w:val="single" w:color="BFBFBF" w:sz="1"/>
              <w:bottom w:val="single" w:color="BFBFBF" w:sz="1"/>
              <w:right w:val="single" w:color="BFBFBF" w:sz="1"/>
            </w:tcBorders>
            <w:shd w:fill="E8B9B5" w:val="clear"/>
            <w:tcMar>
              <w:top w:type="dxa" w:w="50"/>
              <w:left w:type="dxa" w:w="110"/>
              <w:bottom w:type="dxa" w:w="50"/>
              <w:right w:type="dxa" w:w="110"/>
            </w:tcMar>
            <w:vAlign w:val="center"/>
          </w:tcPr>
          <w:p>
            <w:pPr>
              <w:jc w:val="left"/>
            </w:pPr>
            <w:r>
              <w:rPr>
                <w:b/>
                <w:bCs/>
                <w:color w:val="222222"/>
                <w:sz w:val="18"/>
                <w:szCs w:val="18"/>
              </w:rPr>
              <w:t xml:space="preserve">Intolerable</w:t>
            </w:r>
          </w:p>
        </w:tc>
        <w:tc>
          <w:tcPr>
            <w:tcW w:type="dxa" w:w="24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Sí</w:t>
            </w:r>
          </w:p>
        </w:tc>
        <w:tc>
          <w:tcPr>
            <w:tcW w:type="dxa" w:w="3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Prohibido el trabajo hasta reducir el riesgo.</w:t>
            </w:r>
          </w:p>
        </w:tc>
      </w:tr>
    </w:tbl>
    <w:p>
      <w:pPr>
        <w:spacing w:after="120" w:line="276"/>
        <w:jc w:val="both"/>
      </w:pPr>
      <w:r>
        <w:rPr>
          <w:b w:val="false"/>
          <w:bCs w:val="false"/>
          <w:i w:val="false"/>
          <w:iCs w:val="false"/>
          <w:color w:val="222222"/>
          <w:sz w:val="22"/>
          <w:szCs w:val="22"/>
        </w:rPr>
        <w:t xml:space="preserve">Se considera riesgo significativo todo aquel con nivel igual o mayor a 9, conforme al criterio de aceptabilidad adoptado. Los riesgos significativos exigen plan de acción obligatorio.</w:t>
      </w:r>
    </w:p>
    <w:p>
      <w:pPr>
        <w:pStyle w:val="Heading3"/>
      </w:pPr>
      <w:r>
        <w:t xml:space="preserve">3.4 Riesgo residual</w:t>
      </w:r>
    </w:p>
    <w:p>
      <w:pPr>
        <w:spacing w:after="120" w:line="276"/>
        <w:jc w:val="both"/>
      </w:pPr>
      <w:r>
        <w:rPr>
          <w:b w:val="false"/>
          <w:bCs w:val="false"/>
          <w:i w:val="false"/>
          <w:iCs w:val="false"/>
          <w:color w:val="222222"/>
          <w:sz w:val="22"/>
          <w:szCs w:val="22"/>
        </w:rPr>
        <w:t xml:space="preserve">Tras aplicar los controles, la herramienta recalcula el riesgo mejorando los índices de procedimientos (B) y capacitación (C), y la severidad cuando corresponde. El riesgo residual es la prueba documental de que el control funciona, no solo de que existe.</w:t>
      </w:r>
    </w:p>
    <w:p>
      <w:pPr>
        <w:pStyle w:val="Heading1"/>
        <w:pageBreakBefore/>
      </w:pPr>
      <w:r>
        <w:t xml:space="preserve">4. Niveles del generador: cómo escoger el detalle</w:t>
      </w:r>
    </w:p>
    <w:p>
      <w:pPr>
        <w:spacing w:after="120" w:line="276"/>
        <w:jc w:val="both"/>
      </w:pPr>
      <w:r>
        <w:rPr>
          <w:b w:val="false"/>
          <w:bCs w:val="false"/>
          <w:i w:val="false"/>
          <w:iCs w:val="false"/>
          <w:color w:val="222222"/>
          <w:sz w:val="22"/>
          <w:szCs w:val="22"/>
        </w:rPr>
        <w:t xml:space="preserve">La herramienta permite escoger cuánto detalle documentar. Todos los niveles comparten la misma metodología y base legal; varían en la cantidad de campos y entregables. Seleccione el nivel en la hoja «1. Niveles» según la madurez de su SGSST y la exigencia del cliente o fiscalizador.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Nivel</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Cuándo usarlo</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1F3864"/>
                <w:sz w:val="18"/>
                <w:szCs w:val="18"/>
              </w:rPr>
              <w:t xml:space="preserve">BÁSICO (Detalle)</w:t>
            </w:r>
          </w:p>
        </w:tc>
        <w:tc>
          <w:tcPr>
            <w:tcW w:type="dxa" w:w="67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Microempresa u oficina de bajo riesgo; primera IPERC; cumplimiento mínimo exigible.</w:t>
            </w:r>
          </w:p>
        </w:tc>
      </w:tr>
      <w:tr>
        <w:trPr>
          <w:cantSplit/>
        </w:trPr>
        <w:tc>
          <w:tcPr>
            <w:tcW w:type="dxa" w:w="26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1F3864"/>
                <w:sz w:val="18"/>
                <w:szCs w:val="18"/>
              </w:rPr>
              <w:t xml:space="preserve">MEDIO</w:t>
            </w:r>
          </w:p>
        </w:tc>
        <w:tc>
          <w:tcPr>
            <w:tcW w:type="dxa" w:w="67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Pyme con varios procesos; necesita plan de acción y responsables con plazos.</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1F3864"/>
                <w:sz w:val="18"/>
                <w:szCs w:val="18"/>
              </w:rPr>
              <w:t xml:space="preserve">AVANZADO</w:t>
            </w:r>
          </w:p>
        </w:tc>
        <w:tc>
          <w:tcPr>
            <w:tcW w:type="dxa" w:w="67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Empresa con SGSST en marcha; requiere riesgo residual, indicadores y mapa de riesgos.</w:t>
            </w:r>
          </w:p>
        </w:tc>
      </w:tr>
      <w:tr>
        <w:trPr>
          <w:cantSplit/>
        </w:trPr>
        <w:tc>
          <w:tcPr>
            <w:tcW w:type="dxa" w:w="26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1F3864"/>
                <w:sz w:val="18"/>
                <w:szCs w:val="18"/>
              </w:rPr>
              <w:t xml:space="preserve">SÚPER PROFESIONAL</w:t>
            </w:r>
          </w:p>
        </w:tc>
        <w:tc>
          <w:tcPr>
            <w:tcW w:type="dxa" w:w="67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Sectores de alto riesgo o auditoría exigente; trazabilidad normativa completa, dashboard y evidencias.</w:t>
            </w:r>
          </w:p>
        </w:tc>
      </w:tr>
    </w:tbl>
    <w:p>
      <w:pPr>
        <w:pStyle w:val="Heading3"/>
      </w:pPr>
      <w:r>
        <w:t xml:space="preserve">4.1 Comparativa de funcionalidades por nivel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400"/>
        <w:gridCol w:w="1400"/>
      </w:tblGrid>
      <w:tr>
        <w:trPr>
          <w:cantSplit/>
          <w:tblHeader/>
        </w:trPr>
        <w:tc>
          <w:tcPr>
            <w:tcW w:type="dxa" w:w="3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Funcionalidad</w:t>
            </w:r>
          </w:p>
        </w:tc>
        <w:tc>
          <w:tcPr>
            <w:tcW w:type="dxa" w:w="1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BÁSICO</w:t>
            </w:r>
          </w:p>
        </w:tc>
        <w:tc>
          <w:tcPr>
            <w:tcW w:type="dxa" w:w="1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MEDIO</w:t>
            </w:r>
          </w:p>
        </w:tc>
        <w:tc>
          <w:tcPr>
            <w:tcW w:type="dxa" w:w="1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AVANZADO</w:t>
            </w:r>
          </w:p>
        </w:tc>
        <w:tc>
          <w:tcPr>
            <w:tcW w:type="dxa" w:w="1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SÚPER PROF.</w:t>
            </w:r>
          </w:p>
        </w:tc>
      </w:tr>
      <w:tr>
        <w:trPr>
          <w:cantSplit/>
        </w:trPr>
        <w:tc>
          <w:tcPr>
            <w:tcW w:type="dxa" w:w="37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7"/>
                <w:szCs w:val="17"/>
              </w:rPr>
              <w:t xml:space="preserve">Datos generales de la empresa</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r>
      <w:tr>
        <w:trPr>
          <w:cantSplit/>
        </w:trPr>
        <w:tc>
          <w:tcPr>
            <w:tcW w:type="dxa" w:w="37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7"/>
                <w:szCs w:val="17"/>
              </w:rPr>
              <w:t xml:space="preserve">Identificación de peligro y riesgo</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r>
      <w:tr>
        <w:trPr>
          <w:cantSplit/>
        </w:trPr>
        <w:tc>
          <w:tcPr>
            <w:tcW w:type="dxa" w:w="37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7"/>
                <w:szCs w:val="17"/>
              </w:rPr>
              <w:t xml:space="preserve">Consecuencia / daño potencial</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r>
      <w:tr>
        <w:trPr>
          <w:cantSplit/>
        </w:trPr>
        <w:tc>
          <w:tcPr>
            <w:tcW w:type="dxa" w:w="37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7"/>
                <w:szCs w:val="17"/>
              </w:rPr>
              <w:t xml:space="preserve">Severidad y nivel de riesgo (Prob x Sev)</w:t>
            </w:r>
          </w:p>
        </w:tc>
        <w:tc>
          <w:tcPr>
            <w:tcW w:type="dxa" w:w="14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center"/>
            </w:pPr>
            <w:r>
              <w:rPr>
                <w:b w:val="false"/>
                <w:bCs w:val="false"/>
                <w:color w:val="222222"/>
                <w:sz w:val="17"/>
                <w:szCs w:val="17"/>
              </w:rPr>
              <w:t xml:space="preserve">Simplificado</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r>
      <w:tr>
        <w:trPr>
          <w:cantSplit/>
        </w:trPr>
        <w:tc>
          <w:tcPr>
            <w:tcW w:type="dxa" w:w="37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7"/>
                <w:szCs w:val="17"/>
              </w:rPr>
              <w:t xml:space="preserve">Índices A,B,C,D (R.M. 050-2013-TR)</w:t>
            </w:r>
          </w:p>
        </w:tc>
        <w:tc>
          <w:tcPr>
            <w:tcW w:type="dxa" w:w="1400"/>
            <w:tcBorders>
              <w:top w:val="single" w:color="BFBFBF" w:sz="1"/>
              <w:left w:val="single" w:color="BFBFBF" w:sz="1"/>
              <w:bottom w:val="single" w:color="BFBFBF" w:sz="1"/>
              <w:right w:val="single" w:color="BFBFBF" w:sz="1"/>
            </w:tcBorders>
            <w:shd w:fill="F4C7C3" w:val="clear"/>
            <w:tcMar>
              <w:top w:type="dxa" w:w="50"/>
              <w:left w:type="dxa" w:w="110"/>
              <w:bottom w:type="dxa" w:w="50"/>
              <w:right w:type="dxa" w:w="110"/>
            </w:tcMar>
            <w:vAlign w:val="center"/>
          </w:tcPr>
          <w:p>
            <w:pPr>
              <w:jc w:val="center"/>
            </w:pPr>
            <w:r>
              <w:rPr>
                <w:b w:val="false"/>
                <w:bCs w:val="false"/>
                <w:color w:val="222222"/>
                <w:sz w:val="17"/>
                <w:szCs w:val="17"/>
              </w:rPr>
              <w:t xml:space="preserve">No</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r>
      <w:tr>
        <w:trPr>
          <w:cantSplit/>
        </w:trPr>
        <w:tc>
          <w:tcPr>
            <w:tcW w:type="dxa" w:w="37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7"/>
                <w:szCs w:val="17"/>
              </w:rPr>
              <w:t xml:space="preserve">Controles por jerarquía (Art. 21 Ley 29783)</w:t>
            </w:r>
          </w:p>
        </w:tc>
        <w:tc>
          <w:tcPr>
            <w:tcW w:type="dxa" w:w="14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center"/>
            </w:pPr>
            <w:r>
              <w:rPr>
                <w:b w:val="false"/>
                <w:bCs w:val="false"/>
                <w:color w:val="222222"/>
                <w:sz w:val="17"/>
                <w:szCs w:val="17"/>
              </w:rPr>
              <w:t xml:space="preserve">EPP/básico</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c>
          <w:tcPr>
            <w:tcW w:type="dxa" w:w="14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center"/>
            </w:pPr>
            <w:r>
              <w:rPr>
                <w:b w:val="false"/>
                <w:bCs w:val="false"/>
                <w:color w:val="222222"/>
                <w:sz w:val="17"/>
                <w:szCs w:val="17"/>
              </w:rPr>
              <w:t xml:space="preserve">Sí (5 niveles)</w:t>
            </w:r>
          </w:p>
        </w:tc>
      </w:tr>
      <w:tr>
        <w:trPr>
          <w:cantSplit/>
        </w:trPr>
        <w:tc>
          <w:tcPr>
            <w:tcW w:type="dxa" w:w="37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7"/>
                <w:szCs w:val="17"/>
              </w:rPr>
              <w:t xml:space="preserve">Responsable y plazo de implementación</w:t>
            </w:r>
          </w:p>
        </w:tc>
        <w:tc>
          <w:tcPr>
            <w:tcW w:type="dxa" w:w="1400"/>
            <w:tcBorders>
              <w:top w:val="single" w:color="BFBFBF" w:sz="1"/>
              <w:left w:val="single" w:color="BFBFBF" w:sz="1"/>
              <w:bottom w:val="single" w:color="BFBFBF" w:sz="1"/>
              <w:right w:val="single" w:color="BFBFBF" w:sz="1"/>
            </w:tcBorders>
            <w:shd w:fill="F4C7C3" w:val="clear"/>
            <w:tcMar>
              <w:top w:type="dxa" w:w="50"/>
              <w:left w:type="dxa" w:w="110"/>
              <w:bottom w:type="dxa" w:w="50"/>
              <w:right w:type="dxa" w:w="110"/>
            </w:tcMar>
            <w:vAlign w:val="center"/>
          </w:tcPr>
          <w:p>
            <w:pPr>
              <w:jc w:val="center"/>
            </w:pPr>
            <w:r>
              <w:rPr>
                <w:b w:val="false"/>
                <w:bCs w:val="false"/>
                <w:color w:val="222222"/>
                <w:sz w:val="17"/>
                <w:szCs w:val="17"/>
              </w:rPr>
              <w:t xml:space="preserve">No</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r>
      <w:tr>
        <w:trPr>
          <w:cantSplit/>
        </w:trPr>
        <w:tc>
          <w:tcPr>
            <w:tcW w:type="dxa" w:w="37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7"/>
                <w:szCs w:val="17"/>
              </w:rPr>
              <w:t xml:space="preserve">Riesgo residual (después del control)</w:t>
            </w:r>
          </w:p>
        </w:tc>
        <w:tc>
          <w:tcPr>
            <w:tcW w:type="dxa" w:w="1400"/>
            <w:tcBorders>
              <w:top w:val="single" w:color="BFBFBF" w:sz="1"/>
              <w:left w:val="single" w:color="BFBFBF" w:sz="1"/>
              <w:bottom w:val="single" w:color="BFBFBF" w:sz="1"/>
              <w:right w:val="single" w:color="BFBFBF" w:sz="1"/>
            </w:tcBorders>
            <w:shd w:fill="F4C7C3" w:val="clear"/>
            <w:tcMar>
              <w:top w:type="dxa" w:w="50"/>
              <w:left w:type="dxa" w:w="110"/>
              <w:bottom w:type="dxa" w:w="50"/>
              <w:right w:type="dxa" w:w="110"/>
            </w:tcMar>
            <w:vAlign w:val="center"/>
          </w:tcPr>
          <w:p>
            <w:pPr>
              <w:jc w:val="center"/>
            </w:pPr>
            <w:r>
              <w:rPr>
                <w:b w:val="false"/>
                <w:bCs w:val="false"/>
                <w:color w:val="222222"/>
                <w:sz w:val="17"/>
                <w:szCs w:val="17"/>
              </w:rPr>
              <w:t xml:space="preserve">No</w:t>
            </w:r>
          </w:p>
        </w:tc>
        <w:tc>
          <w:tcPr>
            <w:tcW w:type="dxa" w:w="1400"/>
            <w:tcBorders>
              <w:top w:val="single" w:color="BFBFBF" w:sz="1"/>
              <w:left w:val="single" w:color="BFBFBF" w:sz="1"/>
              <w:bottom w:val="single" w:color="BFBFBF" w:sz="1"/>
              <w:right w:val="single" w:color="BFBFBF" w:sz="1"/>
            </w:tcBorders>
            <w:shd w:fill="F4C7C3" w:val="clear"/>
            <w:tcMar>
              <w:top w:type="dxa" w:w="50"/>
              <w:left w:type="dxa" w:w="110"/>
              <w:bottom w:type="dxa" w:w="50"/>
              <w:right w:type="dxa" w:w="110"/>
            </w:tcMar>
            <w:vAlign w:val="center"/>
          </w:tcPr>
          <w:p>
            <w:pPr>
              <w:jc w:val="center"/>
            </w:pPr>
            <w:r>
              <w:rPr>
                <w:b w:val="false"/>
                <w:bCs w:val="false"/>
                <w:color w:val="222222"/>
                <w:sz w:val="17"/>
                <w:szCs w:val="17"/>
              </w:rPr>
              <w:t xml:space="preserve">No</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r>
      <w:tr>
        <w:trPr>
          <w:cantSplit/>
        </w:trPr>
        <w:tc>
          <w:tcPr>
            <w:tcW w:type="dxa" w:w="37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7"/>
                <w:szCs w:val="17"/>
              </w:rPr>
              <w:t xml:space="preserve">Sustento normativo (norma + artículo)</w:t>
            </w:r>
          </w:p>
        </w:tc>
        <w:tc>
          <w:tcPr>
            <w:tcW w:type="dxa" w:w="14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center"/>
            </w:pPr>
            <w:r>
              <w:rPr>
                <w:b w:val="false"/>
                <w:bCs w:val="false"/>
                <w:color w:val="222222"/>
                <w:sz w:val="17"/>
                <w:szCs w:val="17"/>
              </w:rPr>
              <w:t xml:space="preserve">Referencial</w:t>
            </w:r>
          </w:p>
        </w:tc>
        <w:tc>
          <w:tcPr>
            <w:tcW w:type="dxa" w:w="14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center"/>
            </w:pPr>
            <w:r>
              <w:rPr>
                <w:b w:val="false"/>
                <w:bCs w:val="false"/>
                <w:color w:val="222222"/>
                <w:sz w:val="17"/>
                <w:szCs w:val="17"/>
              </w:rPr>
              <w:t xml:space="preserve">Referencial</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c>
          <w:tcPr>
            <w:tcW w:type="dxa" w:w="14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center"/>
            </w:pPr>
            <w:r>
              <w:rPr>
                <w:b w:val="false"/>
                <w:bCs w:val="false"/>
                <w:color w:val="222222"/>
                <w:sz w:val="17"/>
                <w:szCs w:val="17"/>
              </w:rPr>
              <w:t xml:space="preserve">Sí (motor normativo)</w:t>
            </w:r>
          </w:p>
        </w:tc>
      </w:tr>
      <w:tr>
        <w:trPr>
          <w:cantSplit/>
        </w:trPr>
        <w:tc>
          <w:tcPr>
            <w:tcW w:type="dxa" w:w="37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7"/>
                <w:szCs w:val="17"/>
              </w:rPr>
              <w:t xml:space="preserve">Evidencia exigible por riesgo</w:t>
            </w:r>
          </w:p>
        </w:tc>
        <w:tc>
          <w:tcPr>
            <w:tcW w:type="dxa" w:w="1400"/>
            <w:tcBorders>
              <w:top w:val="single" w:color="BFBFBF" w:sz="1"/>
              <w:left w:val="single" w:color="BFBFBF" w:sz="1"/>
              <w:bottom w:val="single" w:color="BFBFBF" w:sz="1"/>
              <w:right w:val="single" w:color="BFBFBF" w:sz="1"/>
            </w:tcBorders>
            <w:shd w:fill="F4C7C3" w:val="clear"/>
            <w:tcMar>
              <w:top w:type="dxa" w:w="50"/>
              <w:left w:type="dxa" w:w="110"/>
              <w:bottom w:type="dxa" w:w="50"/>
              <w:right w:type="dxa" w:w="110"/>
            </w:tcMar>
            <w:vAlign w:val="center"/>
          </w:tcPr>
          <w:p>
            <w:pPr>
              <w:jc w:val="center"/>
            </w:pPr>
            <w:r>
              <w:rPr>
                <w:b w:val="false"/>
                <w:bCs w:val="false"/>
                <w:color w:val="222222"/>
                <w:sz w:val="17"/>
                <w:szCs w:val="17"/>
              </w:rPr>
              <w:t xml:space="preserve">No</w:t>
            </w:r>
          </w:p>
        </w:tc>
        <w:tc>
          <w:tcPr>
            <w:tcW w:type="dxa" w:w="1400"/>
            <w:tcBorders>
              <w:top w:val="single" w:color="BFBFBF" w:sz="1"/>
              <w:left w:val="single" w:color="BFBFBF" w:sz="1"/>
              <w:bottom w:val="single" w:color="BFBFBF" w:sz="1"/>
              <w:right w:val="single" w:color="BFBFBF" w:sz="1"/>
            </w:tcBorders>
            <w:shd w:fill="F4C7C3" w:val="clear"/>
            <w:tcMar>
              <w:top w:type="dxa" w:w="50"/>
              <w:left w:type="dxa" w:w="110"/>
              <w:bottom w:type="dxa" w:w="50"/>
              <w:right w:type="dxa" w:w="110"/>
            </w:tcMar>
            <w:vAlign w:val="center"/>
          </w:tcPr>
          <w:p>
            <w:pPr>
              <w:jc w:val="center"/>
            </w:pPr>
            <w:r>
              <w:rPr>
                <w:b w:val="false"/>
                <w:bCs w:val="false"/>
                <w:color w:val="222222"/>
                <w:sz w:val="17"/>
                <w:szCs w:val="17"/>
              </w:rPr>
              <w:t xml:space="preserve">No</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r>
      <w:tr>
        <w:trPr>
          <w:cantSplit/>
        </w:trPr>
        <w:tc>
          <w:tcPr>
            <w:tcW w:type="dxa" w:w="37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7"/>
                <w:szCs w:val="17"/>
              </w:rPr>
              <w:t xml:space="preserve">Tarea rutinaria / no rutinaria y expuestos</w:t>
            </w:r>
          </w:p>
        </w:tc>
        <w:tc>
          <w:tcPr>
            <w:tcW w:type="dxa" w:w="1400"/>
            <w:tcBorders>
              <w:top w:val="single" w:color="BFBFBF" w:sz="1"/>
              <w:left w:val="single" w:color="BFBFBF" w:sz="1"/>
              <w:bottom w:val="single" w:color="BFBFBF" w:sz="1"/>
              <w:right w:val="single" w:color="BFBFBF" w:sz="1"/>
            </w:tcBorders>
            <w:shd w:fill="F4C7C3" w:val="clear"/>
            <w:tcMar>
              <w:top w:type="dxa" w:w="50"/>
              <w:left w:type="dxa" w:w="110"/>
              <w:bottom w:type="dxa" w:w="50"/>
              <w:right w:type="dxa" w:w="110"/>
            </w:tcMar>
            <w:vAlign w:val="center"/>
          </w:tcPr>
          <w:p>
            <w:pPr>
              <w:jc w:val="center"/>
            </w:pPr>
            <w:r>
              <w:rPr>
                <w:b w:val="false"/>
                <w:bCs w:val="false"/>
                <w:color w:val="222222"/>
                <w:sz w:val="17"/>
                <w:szCs w:val="17"/>
              </w:rPr>
              <w:t xml:space="preserve">No</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r>
      <w:tr>
        <w:trPr>
          <w:cantSplit/>
        </w:trPr>
        <w:tc>
          <w:tcPr>
            <w:tcW w:type="dxa" w:w="37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7"/>
                <w:szCs w:val="17"/>
              </w:rPr>
              <w:t xml:space="preserve">Participación trabajador / Comité SST</w:t>
            </w:r>
          </w:p>
        </w:tc>
        <w:tc>
          <w:tcPr>
            <w:tcW w:type="dxa" w:w="1400"/>
            <w:tcBorders>
              <w:top w:val="single" w:color="BFBFBF" w:sz="1"/>
              <w:left w:val="single" w:color="BFBFBF" w:sz="1"/>
              <w:bottom w:val="single" w:color="BFBFBF" w:sz="1"/>
              <w:right w:val="single" w:color="BFBFBF" w:sz="1"/>
            </w:tcBorders>
            <w:shd w:fill="F4C7C3" w:val="clear"/>
            <w:tcMar>
              <w:top w:type="dxa" w:w="50"/>
              <w:left w:type="dxa" w:w="110"/>
              <w:bottom w:type="dxa" w:w="50"/>
              <w:right w:type="dxa" w:w="110"/>
            </w:tcMar>
            <w:vAlign w:val="center"/>
          </w:tcPr>
          <w:p>
            <w:pPr>
              <w:jc w:val="center"/>
            </w:pPr>
            <w:r>
              <w:rPr>
                <w:b w:val="false"/>
                <w:bCs w:val="false"/>
                <w:color w:val="222222"/>
                <w:sz w:val="17"/>
                <w:szCs w:val="17"/>
              </w:rPr>
              <w:t xml:space="preserve">No</w:t>
            </w:r>
          </w:p>
        </w:tc>
        <w:tc>
          <w:tcPr>
            <w:tcW w:type="dxa" w:w="1400"/>
            <w:tcBorders>
              <w:top w:val="single" w:color="BFBFBF" w:sz="1"/>
              <w:left w:val="single" w:color="BFBFBF" w:sz="1"/>
              <w:bottom w:val="single" w:color="BFBFBF" w:sz="1"/>
              <w:right w:val="single" w:color="BFBFBF" w:sz="1"/>
            </w:tcBorders>
            <w:shd w:fill="F4C7C3" w:val="clear"/>
            <w:tcMar>
              <w:top w:type="dxa" w:w="50"/>
              <w:left w:type="dxa" w:w="110"/>
              <w:bottom w:type="dxa" w:w="50"/>
              <w:right w:type="dxa" w:w="110"/>
            </w:tcMar>
            <w:vAlign w:val="center"/>
          </w:tcPr>
          <w:p>
            <w:pPr>
              <w:jc w:val="center"/>
            </w:pPr>
            <w:r>
              <w:rPr>
                <w:b w:val="false"/>
                <w:bCs w:val="false"/>
                <w:color w:val="222222"/>
                <w:sz w:val="17"/>
                <w:szCs w:val="17"/>
              </w:rPr>
              <w:t xml:space="preserve">No</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r>
      <w:tr>
        <w:trPr>
          <w:cantSplit/>
        </w:trPr>
        <w:tc>
          <w:tcPr>
            <w:tcW w:type="dxa" w:w="37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7"/>
                <w:szCs w:val="17"/>
              </w:rPr>
              <w:t xml:space="preserve">Control de versión y fecha de revisión</w:t>
            </w:r>
          </w:p>
        </w:tc>
        <w:tc>
          <w:tcPr>
            <w:tcW w:type="dxa" w:w="1400"/>
            <w:tcBorders>
              <w:top w:val="single" w:color="BFBFBF" w:sz="1"/>
              <w:left w:val="single" w:color="BFBFBF" w:sz="1"/>
              <w:bottom w:val="single" w:color="BFBFBF" w:sz="1"/>
              <w:right w:val="single" w:color="BFBFBF" w:sz="1"/>
            </w:tcBorders>
            <w:shd w:fill="F4C7C3" w:val="clear"/>
            <w:tcMar>
              <w:top w:type="dxa" w:w="50"/>
              <w:left w:type="dxa" w:w="110"/>
              <w:bottom w:type="dxa" w:w="50"/>
              <w:right w:type="dxa" w:w="110"/>
            </w:tcMar>
            <w:vAlign w:val="center"/>
          </w:tcPr>
          <w:p>
            <w:pPr>
              <w:jc w:val="center"/>
            </w:pPr>
            <w:r>
              <w:rPr>
                <w:b w:val="false"/>
                <w:bCs w:val="false"/>
                <w:color w:val="222222"/>
                <w:sz w:val="17"/>
                <w:szCs w:val="17"/>
              </w:rPr>
              <w:t xml:space="preserve">No</w:t>
            </w:r>
          </w:p>
        </w:tc>
        <w:tc>
          <w:tcPr>
            <w:tcW w:type="dxa" w:w="1400"/>
            <w:tcBorders>
              <w:top w:val="single" w:color="BFBFBF" w:sz="1"/>
              <w:left w:val="single" w:color="BFBFBF" w:sz="1"/>
              <w:bottom w:val="single" w:color="BFBFBF" w:sz="1"/>
              <w:right w:val="single" w:color="BFBFBF" w:sz="1"/>
            </w:tcBorders>
            <w:shd w:fill="F4C7C3" w:val="clear"/>
            <w:tcMar>
              <w:top w:type="dxa" w:w="50"/>
              <w:left w:type="dxa" w:w="110"/>
              <w:bottom w:type="dxa" w:w="50"/>
              <w:right w:type="dxa" w:w="110"/>
            </w:tcMar>
            <w:vAlign w:val="center"/>
          </w:tcPr>
          <w:p>
            <w:pPr>
              <w:jc w:val="center"/>
            </w:pPr>
            <w:r>
              <w:rPr>
                <w:b w:val="false"/>
                <w:bCs w:val="false"/>
                <w:color w:val="222222"/>
                <w:sz w:val="17"/>
                <w:szCs w:val="17"/>
              </w:rPr>
              <w:t xml:space="preserve">No</w:t>
            </w:r>
          </w:p>
        </w:tc>
        <w:tc>
          <w:tcPr>
            <w:tcW w:type="dxa" w:w="14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center"/>
            </w:pPr>
            <w:r>
              <w:rPr>
                <w:b w:val="false"/>
                <w:bCs w:val="false"/>
                <w:color w:val="222222"/>
                <w:sz w:val="17"/>
                <w:szCs w:val="17"/>
              </w:rPr>
              <w:t xml:space="preserve">Parcial</w:t>
            </w:r>
          </w:p>
        </w:tc>
        <w:tc>
          <w:tcPr>
            <w:tcW w:type="dxa" w:w="14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center"/>
            </w:pPr>
            <w:r>
              <w:rPr>
                <w:b w:val="false"/>
                <w:bCs w:val="false"/>
                <w:color w:val="222222"/>
                <w:sz w:val="17"/>
                <w:szCs w:val="17"/>
              </w:rPr>
              <w:t xml:space="preserve">Sí (trazabilidad)</w:t>
            </w:r>
          </w:p>
        </w:tc>
      </w:tr>
      <w:tr>
        <w:trPr>
          <w:cantSplit/>
        </w:trPr>
        <w:tc>
          <w:tcPr>
            <w:tcW w:type="dxa" w:w="37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7"/>
                <w:szCs w:val="17"/>
              </w:rPr>
              <w:t xml:space="preserve">Mapa de riesgos</w:t>
            </w:r>
          </w:p>
        </w:tc>
        <w:tc>
          <w:tcPr>
            <w:tcW w:type="dxa" w:w="1400"/>
            <w:tcBorders>
              <w:top w:val="single" w:color="BFBFBF" w:sz="1"/>
              <w:left w:val="single" w:color="BFBFBF" w:sz="1"/>
              <w:bottom w:val="single" w:color="BFBFBF" w:sz="1"/>
              <w:right w:val="single" w:color="BFBFBF" w:sz="1"/>
            </w:tcBorders>
            <w:shd w:fill="F4C7C3" w:val="clear"/>
            <w:tcMar>
              <w:top w:type="dxa" w:w="50"/>
              <w:left w:type="dxa" w:w="110"/>
              <w:bottom w:type="dxa" w:w="50"/>
              <w:right w:type="dxa" w:w="110"/>
            </w:tcMar>
            <w:vAlign w:val="center"/>
          </w:tcPr>
          <w:p>
            <w:pPr>
              <w:jc w:val="center"/>
            </w:pPr>
            <w:r>
              <w:rPr>
                <w:b w:val="false"/>
                <w:bCs w:val="false"/>
                <w:color w:val="222222"/>
                <w:sz w:val="17"/>
                <w:szCs w:val="17"/>
              </w:rPr>
              <w:t xml:space="preserve">No</w:t>
            </w:r>
          </w:p>
        </w:tc>
        <w:tc>
          <w:tcPr>
            <w:tcW w:type="dxa" w:w="1400"/>
            <w:tcBorders>
              <w:top w:val="single" w:color="BFBFBF" w:sz="1"/>
              <w:left w:val="single" w:color="BFBFBF" w:sz="1"/>
              <w:bottom w:val="single" w:color="BFBFBF" w:sz="1"/>
              <w:right w:val="single" w:color="BFBFBF" w:sz="1"/>
            </w:tcBorders>
            <w:shd w:fill="F4C7C3" w:val="clear"/>
            <w:tcMar>
              <w:top w:type="dxa" w:w="50"/>
              <w:left w:type="dxa" w:w="110"/>
              <w:bottom w:type="dxa" w:w="50"/>
              <w:right w:type="dxa" w:w="110"/>
            </w:tcMar>
            <w:vAlign w:val="center"/>
          </w:tcPr>
          <w:p>
            <w:pPr>
              <w:jc w:val="center"/>
            </w:pPr>
            <w:r>
              <w:rPr>
                <w:b w:val="false"/>
                <w:bCs w:val="false"/>
                <w:color w:val="222222"/>
                <w:sz w:val="17"/>
                <w:szCs w:val="17"/>
              </w:rPr>
              <w:t xml:space="preserve">No</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r>
      <w:tr>
        <w:trPr>
          <w:cantSplit/>
        </w:trPr>
        <w:tc>
          <w:tcPr>
            <w:tcW w:type="dxa" w:w="37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7"/>
                <w:szCs w:val="17"/>
              </w:rPr>
              <w:t xml:space="preserve">Dashboard e indicadores de gestión</w:t>
            </w:r>
          </w:p>
        </w:tc>
        <w:tc>
          <w:tcPr>
            <w:tcW w:type="dxa" w:w="1400"/>
            <w:tcBorders>
              <w:top w:val="single" w:color="BFBFBF" w:sz="1"/>
              <w:left w:val="single" w:color="BFBFBF" w:sz="1"/>
              <w:bottom w:val="single" w:color="BFBFBF" w:sz="1"/>
              <w:right w:val="single" w:color="BFBFBF" w:sz="1"/>
            </w:tcBorders>
            <w:shd w:fill="F4C7C3" w:val="clear"/>
            <w:tcMar>
              <w:top w:type="dxa" w:w="50"/>
              <w:left w:type="dxa" w:w="110"/>
              <w:bottom w:type="dxa" w:w="50"/>
              <w:right w:type="dxa" w:w="110"/>
            </w:tcMar>
            <w:vAlign w:val="center"/>
          </w:tcPr>
          <w:p>
            <w:pPr>
              <w:jc w:val="center"/>
            </w:pPr>
            <w:r>
              <w:rPr>
                <w:b w:val="false"/>
                <w:bCs w:val="false"/>
                <w:color w:val="222222"/>
                <w:sz w:val="17"/>
                <w:szCs w:val="17"/>
              </w:rPr>
              <w:t xml:space="preserve">No</w:t>
            </w:r>
          </w:p>
        </w:tc>
        <w:tc>
          <w:tcPr>
            <w:tcW w:type="dxa" w:w="14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center"/>
            </w:pPr>
            <w:r>
              <w:rPr>
                <w:b w:val="false"/>
                <w:bCs w:val="false"/>
                <w:color w:val="222222"/>
                <w:sz w:val="17"/>
                <w:szCs w:val="17"/>
              </w:rPr>
              <w:t xml:space="preserve">Parcial</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c>
          <w:tcPr>
            <w:tcW w:type="dxa" w:w="14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center"/>
            </w:pPr>
            <w:r>
              <w:rPr>
                <w:b w:val="false"/>
                <w:bCs w:val="false"/>
                <w:color w:val="222222"/>
                <w:sz w:val="17"/>
                <w:szCs w:val="17"/>
              </w:rPr>
              <w:t xml:space="preserve">Sí (completo + alertas)</w:t>
            </w:r>
          </w:p>
        </w:tc>
      </w:tr>
      <w:tr>
        <w:trPr>
          <w:cantSplit/>
        </w:trPr>
        <w:tc>
          <w:tcPr>
            <w:tcW w:type="dxa" w:w="37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7"/>
                <w:szCs w:val="17"/>
              </w:rPr>
              <w:t xml:space="preserve">Módulo normativo por sector</w:t>
            </w:r>
          </w:p>
        </w:tc>
        <w:tc>
          <w:tcPr>
            <w:tcW w:type="dxa" w:w="1400"/>
            <w:tcBorders>
              <w:top w:val="single" w:color="BFBFBF" w:sz="1"/>
              <w:left w:val="single" w:color="BFBFBF" w:sz="1"/>
              <w:bottom w:val="single" w:color="BFBFBF" w:sz="1"/>
              <w:right w:val="single" w:color="BFBFBF" w:sz="1"/>
            </w:tcBorders>
            <w:shd w:fill="F4C7C3" w:val="clear"/>
            <w:tcMar>
              <w:top w:type="dxa" w:w="50"/>
              <w:left w:type="dxa" w:w="110"/>
              <w:bottom w:type="dxa" w:w="50"/>
              <w:right w:type="dxa" w:w="110"/>
            </w:tcMar>
            <w:vAlign w:val="center"/>
          </w:tcPr>
          <w:p>
            <w:pPr>
              <w:jc w:val="center"/>
            </w:pPr>
            <w:r>
              <w:rPr>
                <w:b w:val="false"/>
                <w:bCs w:val="false"/>
                <w:color w:val="222222"/>
                <w:sz w:val="17"/>
                <w:szCs w:val="17"/>
              </w:rPr>
              <w:t xml:space="preserve">No</w:t>
            </w:r>
          </w:p>
        </w:tc>
        <w:tc>
          <w:tcPr>
            <w:tcW w:type="dxa" w:w="1400"/>
            <w:tcBorders>
              <w:top w:val="single" w:color="BFBFBF" w:sz="1"/>
              <w:left w:val="single" w:color="BFBFBF" w:sz="1"/>
              <w:bottom w:val="single" w:color="BFBFBF" w:sz="1"/>
              <w:right w:val="single" w:color="BFBFBF" w:sz="1"/>
            </w:tcBorders>
            <w:shd w:fill="F4C7C3" w:val="clear"/>
            <w:tcMar>
              <w:top w:type="dxa" w:w="50"/>
              <w:left w:type="dxa" w:w="110"/>
              <w:bottom w:type="dxa" w:w="50"/>
              <w:right w:type="dxa" w:w="110"/>
            </w:tcMar>
            <w:vAlign w:val="center"/>
          </w:tcPr>
          <w:p>
            <w:pPr>
              <w:jc w:val="center"/>
            </w:pPr>
            <w:r>
              <w:rPr>
                <w:b w:val="false"/>
                <w:bCs w:val="false"/>
                <w:color w:val="222222"/>
                <w:sz w:val="17"/>
                <w:szCs w:val="17"/>
              </w:rPr>
              <w:t xml:space="preserve">No</w:t>
            </w:r>
          </w:p>
        </w:tc>
        <w:tc>
          <w:tcPr>
            <w:tcW w:type="dxa" w:w="14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center"/>
            </w:pPr>
            <w:r>
              <w:rPr>
                <w:b w:val="false"/>
                <w:bCs w:val="false"/>
                <w:color w:val="222222"/>
                <w:sz w:val="17"/>
                <w:szCs w:val="17"/>
              </w:rPr>
              <w:t xml:space="preserve">Parcial</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r>
      <w:tr>
        <w:trPr>
          <w:cantSplit/>
        </w:trPr>
        <w:tc>
          <w:tcPr>
            <w:tcW w:type="dxa" w:w="37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7"/>
                <w:szCs w:val="17"/>
              </w:rPr>
              <w:t xml:space="preserve">Apto para fiscalización SUNAFIL</w:t>
            </w:r>
          </w:p>
        </w:tc>
        <w:tc>
          <w:tcPr>
            <w:tcW w:type="dxa" w:w="14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center"/>
            </w:pPr>
            <w:r>
              <w:rPr>
                <w:b w:val="false"/>
                <w:bCs w:val="false"/>
                <w:color w:val="222222"/>
                <w:sz w:val="17"/>
                <w:szCs w:val="17"/>
              </w:rPr>
              <w:t xml:space="preserve">Inicial</w:t>
            </w:r>
          </w:p>
        </w:tc>
        <w:tc>
          <w:tcPr>
            <w:tcW w:type="dxa" w:w="14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center"/>
            </w:pPr>
            <w:r>
              <w:rPr>
                <w:b w:val="false"/>
                <w:bCs w:val="false"/>
                <w:color w:val="222222"/>
                <w:sz w:val="17"/>
                <w:szCs w:val="17"/>
              </w:rPr>
              <w:t xml:space="preserve">Parcial</w:t>
            </w:r>
          </w:p>
        </w:tc>
        <w:tc>
          <w:tcPr>
            <w:tcW w:type="dxa" w:w="1400"/>
            <w:tcBorders>
              <w:top w:val="single" w:color="BFBFBF" w:sz="1"/>
              <w:left w:val="single" w:color="BFBFBF" w:sz="1"/>
              <w:bottom w:val="single" w:color="BFBFBF" w:sz="1"/>
              <w:right w:val="single" w:color="BFBFBF" w:sz="1"/>
            </w:tcBorders>
            <w:shd w:fill="EAF1E2" w:val="clear"/>
            <w:tcMar>
              <w:top w:type="dxa" w:w="50"/>
              <w:left w:type="dxa" w:w="110"/>
              <w:bottom w:type="dxa" w:w="50"/>
              <w:right w:type="dxa" w:w="110"/>
            </w:tcMar>
            <w:vAlign w:val="center"/>
          </w:tcPr>
          <w:p>
            <w:pPr>
              <w:jc w:val="center"/>
            </w:pPr>
            <w:r>
              <w:rPr>
                <w:b/>
                <w:bCs/>
                <w:color w:val="222222"/>
                <w:sz w:val="17"/>
                <w:szCs w:val="17"/>
              </w:rPr>
              <w:t xml:space="preserve">Sí</w:t>
            </w:r>
          </w:p>
        </w:tc>
        <w:tc>
          <w:tcPr>
            <w:tcW w:type="dxa" w:w="14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center"/>
            </w:pPr>
            <w:r>
              <w:rPr>
                <w:b w:val="false"/>
                <w:bCs w:val="false"/>
                <w:color w:val="222222"/>
                <w:sz w:val="17"/>
                <w:szCs w:val="17"/>
              </w:rPr>
              <w:t xml:space="preserve">Sí (defendible)</w:t>
            </w:r>
          </w:p>
        </w:tc>
      </w:tr>
    </w:tbl>
    <w:p>
      <w:pPr>
        <w:pStyle w:val="Heading1"/>
        <w:pageBreakBefore/>
      </w:pPr>
      <w:r>
        <w:t xml:space="preserve">5. Estructura del libro Excel</w:t>
      </w:r>
    </w:p>
    <w:p>
      <w:pPr>
        <w:spacing w:after="120" w:line="276"/>
        <w:jc w:val="both"/>
      </w:pPr>
      <w:r>
        <w:rPr>
          <w:b w:val="false"/>
          <w:bCs w:val="false"/>
          <w:i w:val="false"/>
          <w:iCs w:val="false"/>
          <w:color w:val="222222"/>
          <w:sz w:val="22"/>
          <w:szCs w:val="22"/>
        </w:rPr>
        <w:t xml:space="preserve">El archivo IPERC_Generador_Normativo_Peru.xlsx contiene las siguientes hojas, ordenadas según el flujo de trabajo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Hoja</w:t>
            </w:r>
          </w:p>
        </w:tc>
        <w:tc>
          <w:tcPr>
            <w:tcW w:type="dxa" w:w="66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Función</w:t>
            </w:r>
          </w:p>
        </w:tc>
      </w:tr>
      <w:tr>
        <w:trPr>
          <w:cantSplit/>
        </w:trPr>
        <w:tc>
          <w:tcPr>
            <w:tcW w:type="dxa" w:w="27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1F3864"/>
                <w:sz w:val="18"/>
                <w:szCs w:val="18"/>
              </w:rPr>
              <w:t xml:space="preserve">Portada</w:t>
            </w:r>
          </w:p>
        </w:tc>
        <w:tc>
          <w:tcPr>
            <w:tcW w:type="dxa" w:w="66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Identificación del producto, autor y aviso legal.</w:t>
            </w:r>
          </w:p>
        </w:tc>
      </w:tr>
      <w:tr>
        <w:trPr>
          <w:cantSplit/>
        </w:trPr>
        <w:tc>
          <w:tcPr>
            <w:tcW w:type="dxa" w:w="27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1F3864"/>
                <w:sz w:val="18"/>
                <w:szCs w:val="18"/>
              </w:rPr>
              <w:t xml:space="preserve">1. Niveles</w:t>
            </w:r>
          </w:p>
        </w:tc>
        <w:tc>
          <w:tcPr>
            <w:tcW w:type="dxa" w:w="66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Selección del nivel de detalle y comparativa de funcionalidades.</w:t>
            </w:r>
          </w:p>
        </w:tc>
      </w:tr>
      <w:tr>
        <w:trPr>
          <w:cantSplit/>
        </w:trPr>
        <w:tc>
          <w:tcPr>
            <w:tcW w:type="dxa" w:w="27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1F3864"/>
                <w:sz w:val="18"/>
                <w:szCs w:val="18"/>
              </w:rPr>
              <w:t xml:space="preserve">2. Datos Generales</w:t>
            </w:r>
          </w:p>
        </w:tc>
        <w:tc>
          <w:tcPr>
            <w:tcW w:type="dxa" w:w="66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Razón social, RUC, CIIU, sede, responsables y datos del SGSST.</w:t>
            </w:r>
          </w:p>
        </w:tc>
      </w:tr>
      <w:tr>
        <w:trPr>
          <w:cantSplit/>
        </w:trPr>
        <w:tc>
          <w:tcPr>
            <w:tcW w:type="dxa" w:w="27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1F3864"/>
                <w:sz w:val="18"/>
                <w:szCs w:val="18"/>
              </w:rPr>
              <w:t xml:space="preserve">3. Metodología</w:t>
            </w:r>
          </w:p>
        </w:tc>
        <w:tc>
          <w:tcPr>
            <w:tcW w:type="dxa" w:w="66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Tablas de índices, severidad y clasificación del riesgo (referencia).</w:t>
            </w:r>
          </w:p>
        </w:tc>
      </w:tr>
      <w:tr>
        <w:trPr>
          <w:cantSplit/>
        </w:trPr>
        <w:tc>
          <w:tcPr>
            <w:tcW w:type="dxa" w:w="27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1F3864"/>
                <w:sz w:val="18"/>
                <w:szCs w:val="18"/>
              </w:rPr>
              <w:t xml:space="preserve">4. Catálogo Peligros</w:t>
            </w:r>
          </w:p>
        </w:tc>
        <w:tc>
          <w:tcPr>
            <w:tcW w:type="dxa" w:w="66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Biblioteca multisectorial de peligros, riesgos, consecuencias y controles.</w:t>
            </w:r>
          </w:p>
        </w:tc>
      </w:tr>
      <w:tr>
        <w:trPr>
          <w:cantSplit/>
        </w:trPr>
        <w:tc>
          <w:tcPr>
            <w:tcW w:type="dxa" w:w="27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1F3864"/>
                <w:sz w:val="18"/>
                <w:szCs w:val="18"/>
              </w:rPr>
              <w:t xml:space="preserve">5. Matriz IPERC</w:t>
            </w:r>
          </w:p>
        </w:tc>
        <w:tc>
          <w:tcPr>
            <w:tcW w:type="dxa" w:w="66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Hoja de trabajo principal: identificación, evaluación y control con cálculo automático.</w:t>
            </w:r>
          </w:p>
        </w:tc>
      </w:tr>
      <w:tr>
        <w:trPr>
          <w:cantSplit/>
        </w:trPr>
        <w:tc>
          <w:tcPr>
            <w:tcW w:type="dxa" w:w="27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1F3864"/>
                <w:sz w:val="18"/>
                <w:szCs w:val="18"/>
              </w:rPr>
              <w:t xml:space="preserve">6. Motor Normativo</w:t>
            </w:r>
          </w:p>
        </w:tc>
        <w:tc>
          <w:tcPr>
            <w:tcW w:type="dxa" w:w="66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Base de normas, artículos, obligaciones y evidencias exigibles.</w:t>
            </w:r>
          </w:p>
        </w:tc>
      </w:tr>
      <w:tr>
        <w:trPr>
          <w:cantSplit/>
        </w:trPr>
        <w:tc>
          <w:tcPr>
            <w:tcW w:type="dxa" w:w="27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1F3864"/>
                <w:sz w:val="18"/>
                <w:szCs w:val="18"/>
              </w:rPr>
              <w:t xml:space="preserve">7. Plan de Acción</w:t>
            </w:r>
          </w:p>
        </w:tc>
        <w:tc>
          <w:tcPr>
            <w:tcW w:type="dxa" w:w="66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Controles pendientes, responsables, plazos, estado y avance.</w:t>
            </w:r>
          </w:p>
        </w:tc>
      </w:tr>
      <w:tr>
        <w:trPr>
          <w:cantSplit/>
        </w:trPr>
        <w:tc>
          <w:tcPr>
            <w:tcW w:type="dxa" w:w="27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1F3864"/>
                <w:sz w:val="18"/>
                <w:szCs w:val="18"/>
              </w:rPr>
              <w:t xml:space="preserve">8. Mapa de Riesgos</w:t>
            </w:r>
          </w:p>
        </w:tc>
        <w:tc>
          <w:tcPr>
            <w:tcW w:type="dxa" w:w="66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Conteo de riesgos por área y nivel para ubicación y priorización.</w:t>
            </w:r>
          </w:p>
        </w:tc>
      </w:tr>
      <w:tr>
        <w:trPr>
          <w:cantSplit/>
        </w:trPr>
        <w:tc>
          <w:tcPr>
            <w:tcW w:type="dxa" w:w="27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1F3864"/>
                <w:sz w:val="18"/>
                <w:szCs w:val="18"/>
              </w:rPr>
              <w:t xml:space="preserve">9. Dashboard</w:t>
            </w:r>
          </w:p>
        </w:tc>
        <w:tc>
          <w:tcPr>
            <w:tcW w:type="dxa" w:w="66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Indicadores (KPI): riesgos significativos, críticos residuales, % de implementación y reducción.</w:t>
            </w:r>
          </w:p>
        </w:tc>
      </w:tr>
    </w:tbl>
    <w:p>
      <w:pPr>
        <w:spacing w:after="120" w:line="276"/>
        <w:jc w:val="both"/>
      </w:pPr>
      <w:r>
        <w:rPr>
          <w:b w:val="false"/>
          <w:bCs w:val="false"/>
          <w:i w:val="false"/>
          <w:iCs w:val="false"/>
          <w:color w:val="222222"/>
          <w:sz w:val="22"/>
          <w:szCs w:val="22"/>
        </w:rPr>
        <w:t xml:space="preserve">La hoja «5. Matriz IPERC» calcula automáticamente la probabilidad, el nivel de riesgo inicial, la interpretación, la significancia y el riesgo residual a partir de los índices que usted seleccione en las listas desplegables. No sobrescriba las celdas con fórmula (columnas de resultados): solo complete las celdas de entrada.</w:t>
      </w:r>
    </w:p>
    <w:p>
      <w:pPr>
        <w:pStyle w:val="Heading1"/>
        <w:pageBreakBefore/>
      </w:pPr>
      <w:r>
        <w:t xml:space="preserve">6. Guía de uso paso a paso</w:t>
      </w:r>
    </w:p>
    <w:p>
      <w:pPr>
        <w:pStyle w:val="ListParagraph"/>
        <w:numPr>
          <w:ilvl w:val="0"/>
          <w:numId w:val="3"/>
        </w:numPr>
        <w:spacing w:after="60" w:line="268"/>
        <w:jc w:val="both"/>
      </w:pPr>
      <w:r>
        <w:rPr>
          <w:color w:val="222222"/>
          <w:sz w:val="22"/>
          <w:szCs w:val="22"/>
        </w:rPr>
        <w:t xml:space="preserve">Abra la hoja «1. Niveles» y decida el nivel de detalle (BÁSICO a SÚPER PROFESIONAL).</w:t>
      </w:r>
    </w:p>
    <w:p>
      <w:pPr>
        <w:pStyle w:val="ListParagraph"/>
        <w:numPr>
          <w:ilvl w:val="0"/>
          <w:numId w:val="3"/>
        </w:numPr>
        <w:spacing w:after="60" w:line="268"/>
        <w:jc w:val="both"/>
      </w:pPr>
      <w:r>
        <w:rPr>
          <w:color w:val="222222"/>
          <w:sz w:val="22"/>
          <w:szCs w:val="22"/>
        </w:rPr>
        <w:t xml:space="preserve">Complete la hoja «2. Datos Generales»: razón social, RUC, CIIU, sede, número de trabajadores, comité o supervisor SST y responsables de elaboración, revisión y aprobación.</w:t>
      </w:r>
    </w:p>
    <w:p>
      <w:pPr>
        <w:pStyle w:val="ListParagraph"/>
        <w:numPr>
          <w:ilvl w:val="0"/>
          <w:numId w:val="3"/>
        </w:numPr>
        <w:spacing w:after="60" w:line="268"/>
        <w:jc w:val="both"/>
      </w:pPr>
      <w:r>
        <w:rPr>
          <w:color w:val="222222"/>
          <w:sz w:val="22"/>
          <w:szCs w:val="22"/>
        </w:rPr>
        <w:t xml:space="preserve">Identifique áreas, procesos, puestos y tareas (rutinarias y no rutinarias).</w:t>
      </w:r>
    </w:p>
    <w:p>
      <w:pPr>
        <w:pStyle w:val="ListParagraph"/>
        <w:numPr>
          <w:ilvl w:val="0"/>
          <w:numId w:val="3"/>
        </w:numPr>
        <w:spacing w:after="60" w:line="268"/>
        <w:jc w:val="both"/>
      </w:pPr>
      <w:r>
        <w:rPr>
          <w:color w:val="222222"/>
          <w:sz w:val="22"/>
          <w:szCs w:val="22"/>
        </w:rPr>
        <w:t xml:space="preserve">En la hoja «5. Matriz IPERC», por cada tarea seleccione el peligro desde el catálogo; el riesgo, la consecuencia y los controles sugeridos se autocompletan como referencia editable.</w:t>
      </w:r>
    </w:p>
    <w:p>
      <w:pPr>
        <w:pStyle w:val="ListParagraph"/>
        <w:numPr>
          <w:ilvl w:val="0"/>
          <w:numId w:val="3"/>
        </w:numPr>
        <w:spacing w:after="60" w:line="268"/>
        <w:jc w:val="both"/>
      </w:pPr>
      <w:r>
        <w:rPr>
          <w:color w:val="222222"/>
          <w:sz w:val="22"/>
          <w:szCs w:val="22"/>
        </w:rPr>
        <w:t xml:space="preserve">Valore los índices A, B, C, D y la severidad mediante las listas desplegables. El sistema calcula el riesgo inicial y su interpretación.</w:t>
      </w:r>
    </w:p>
    <w:p>
      <w:pPr>
        <w:pStyle w:val="ListParagraph"/>
        <w:numPr>
          <w:ilvl w:val="0"/>
          <w:numId w:val="3"/>
        </w:numPr>
        <w:spacing w:after="60" w:line="268"/>
        <w:jc w:val="both"/>
      </w:pPr>
      <w:r>
        <w:rPr>
          <w:color w:val="222222"/>
          <w:sz w:val="22"/>
          <w:szCs w:val="22"/>
        </w:rPr>
        <w:t xml:space="preserve">Defina los controles según la jerarquía (eliminación → sustitución → ingeniería → administrativos → señalización → EPP) y registre la medida adoptada.</w:t>
      </w:r>
    </w:p>
    <w:p>
      <w:pPr>
        <w:pStyle w:val="ListParagraph"/>
        <w:numPr>
          <w:ilvl w:val="0"/>
          <w:numId w:val="3"/>
        </w:numPr>
        <w:spacing w:after="60" w:line="268"/>
        <w:jc w:val="both"/>
      </w:pPr>
      <w:r>
        <w:rPr>
          <w:color w:val="222222"/>
          <w:sz w:val="22"/>
          <w:szCs w:val="22"/>
        </w:rPr>
        <w:t xml:space="preserve">Valore los índices residuales (B, C y severidad mejorados). El sistema calcula el riesgo residual y la reducción lograda.</w:t>
      </w:r>
    </w:p>
    <w:p>
      <w:pPr>
        <w:pStyle w:val="ListParagraph"/>
        <w:numPr>
          <w:ilvl w:val="0"/>
          <w:numId w:val="3"/>
        </w:numPr>
        <w:spacing w:after="60" w:line="268"/>
        <w:jc w:val="both"/>
      </w:pPr>
      <w:r>
        <w:rPr>
          <w:color w:val="222222"/>
          <w:sz w:val="22"/>
          <w:szCs w:val="22"/>
        </w:rPr>
        <w:t xml:space="preserve">Asigne responsable, plazo y estado en la hoja «7. Plan de Acción» para cada riesgo significativo.</w:t>
      </w:r>
    </w:p>
    <w:p>
      <w:pPr>
        <w:pStyle w:val="ListParagraph"/>
        <w:numPr>
          <w:ilvl w:val="0"/>
          <w:numId w:val="3"/>
        </w:numPr>
        <w:spacing w:after="60" w:line="268"/>
        <w:jc w:val="both"/>
      </w:pPr>
      <w:r>
        <w:rPr>
          <w:color w:val="222222"/>
          <w:sz w:val="22"/>
          <w:szCs w:val="22"/>
        </w:rPr>
        <w:t xml:space="preserve">Verifique la hoja «9. Dashboard»: confirme que no queden riesgos críticos residuales sin tratamiento y revise el porcentaje de implementación.</w:t>
      </w:r>
    </w:p>
    <w:p>
      <w:pPr>
        <w:pStyle w:val="ListParagraph"/>
        <w:numPr>
          <w:ilvl w:val="0"/>
          <w:numId w:val="3"/>
        </w:numPr>
        <w:spacing w:after="60" w:line="268"/>
        <w:jc w:val="both"/>
      </w:pPr>
      <w:r>
        <w:rPr>
          <w:color w:val="222222"/>
          <w:sz w:val="22"/>
          <w:szCs w:val="22"/>
        </w:rPr>
        <w:t xml:space="preserve">Imprima o exporte a PDF para su entrega; las áreas de impresión y el pie de página ya están configurados.</w:t>
      </w:r>
    </w:p>
    <w:p>
      <w:pPr>
        <w:spacing w:after="60"/>
      </w:pPr>
      <w:r>
        <w:t xml:space="preserve"/>
      </w:r>
    </w:p>
    <w:p>
      <w:pPr>
        <w:spacing w:after="120" w:line="276"/>
        <w:jc w:val="both"/>
      </w:pPr>
      <w:r>
        <w:rPr>
          <w:b/>
          <w:bCs/>
          <w:i w:val="false"/>
          <w:iCs w:val="false"/>
          <w:color w:val="1F3864"/>
          <w:sz w:val="22"/>
          <w:szCs w:val="22"/>
        </w:rPr>
        <w:t xml:space="preserve">Recomendación: </w:t>
      </w:r>
      <w:r>
        <w:rPr>
          <w:b w:val="false"/>
          <w:bCs w:val="false"/>
          <w:i w:val="false"/>
          <w:iCs w:val="false"/>
          <w:color w:val="222222"/>
          <w:sz w:val="22"/>
          <w:szCs w:val="22"/>
        </w:rPr>
        <w:t xml:space="preserve">registre la consulta a los trabajadores y la aprobación del comité o supervisor SST. La sola matriz, sin evidencia de participación, es observada en fiscalización.</w:t>
      </w:r>
    </w:p>
    <w:p>
      <w:pPr>
        <w:pStyle w:val="Heading1"/>
        <w:pageBreakBefore/>
      </w:pPr>
      <w:r>
        <w:t xml:space="preserve">7. Catálogo de peligros incorporado</w:t>
      </w:r>
    </w:p>
    <w:p>
      <w:pPr>
        <w:spacing w:after="120" w:line="276"/>
        <w:jc w:val="both"/>
      </w:pPr>
      <w:r>
        <w:rPr>
          <w:b w:val="false"/>
          <w:bCs w:val="false"/>
          <w:i w:val="false"/>
          <w:iCs w:val="false"/>
          <w:color w:val="222222"/>
          <w:sz w:val="22"/>
          <w:szCs w:val="22"/>
        </w:rPr>
        <w:t xml:space="preserve">El catálogo maestro incluye 33 peligros tipificados en 12 categorías, cada uno con su riesgo, consecuencia, controles por jerarquía, norma base y sectores de aplicación. Las categorías cubiertas son:</w:t>
      </w:r>
    </w:p>
    <w:p>
      <w:pPr>
        <w:spacing w:after="120" w:line="276"/>
        <w:jc w:val="both"/>
      </w:pPr>
      <w:r>
        <w:rPr>
          <w:b/>
          <w:bCs/>
          <w:i w:val="false"/>
          <w:iCs w:val="false"/>
          <w:color w:val="1F3864"/>
          <w:sz w:val="22"/>
          <w:szCs w:val="22"/>
        </w:rPr>
        <w:t xml:space="preserve">Físico · Químico · Biológico · Ergonómico · Psicosocial · Mecánico · Eléctrico · Locativo · Incendio/Explosión · Tránsito/Transporte · Altura · Espacios confinados</w:t>
      </w:r>
    </w:p>
    <w:p>
      <w:pPr>
        <w:pStyle w:val="Heading3"/>
      </w:pPr>
      <w:r>
        <w:t xml:space="preserve">7.1 Muestra del catálogo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2300"/>
        <w:gridCol w:w="2160"/>
        <w:gridCol w:w="1300"/>
      </w:tblGrid>
      <w:tr>
        <w:trPr>
          <w:cantSplit/>
          <w:tblHeader/>
        </w:trPr>
        <w:tc>
          <w:tcPr>
            <w:tcW w:type="dxa" w:w="1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Tipo</w:t>
            </w:r>
          </w:p>
        </w:tc>
        <w:tc>
          <w:tcPr>
            <w:tcW w:type="dxa" w:w="2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Peligro</w:t>
            </w:r>
          </w:p>
        </w:tc>
        <w:tc>
          <w:tcPr>
            <w:tcW w:type="dxa" w:w="2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Riesgo</w:t>
            </w:r>
          </w:p>
        </w:tc>
        <w:tc>
          <w:tcPr>
            <w:tcW w:type="dxa" w:w="2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Consecuencia</w:t>
            </w:r>
          </w:p>
        </w:tc>
        <w:tc>
          <w:tcPr>
            <w:tcW w:type="dxa" w:w="1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Norma base</w:t>
            </w:r>
          </w:p>
        </w:tc>
      </w:tr>
      <w:tr>
        <w:trPr>
          <w:cantSplit/>
        </w:trPr>
        <w:tc>
          <w:tcPr>
            <w:tcW w:type="dxa" w:w="1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222222"/>
                <w:sz w:val="15"/>
                <w:szCs w:val="15"/>
              </w:rPr>
              <w:t xml:space="preserve">Físico</w:t>
            </w:r>
          </w:p>
        </w:tc>
        <w:tc>
          <w:tcPr>
            <w:tcW w:type="dxa" w:w="2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5"/>
                <w:szCs w:val="15"/>
              </w:rPr>
              <w:t xml:space="preserve">Ruido por maquinaria / equipos</w:t>
            </w:r>
          </w:p>
        </w:tc>
        <w:tc>
          <w:tcPr>
            <w:tcW w:type="dxa" w:w="2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5"/>
                <w:szCs w:val="15"/>
              </w:rPr>
              <w:t xml:space="preserve">Exposición a ruido ocupacional</w:t>
            </w:r>
          </w:p>
        </w:tc>
        <w:tc>
          <w:tcPr>
            <w:tcW w:type="dxa" w:w="21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5"/>
                <w:szCs w:val="15"/>
              </w:rPr>
              <w:t xml:space="preserve">Hipoacusia inducida por ruido, fatiga auditiva</w:t>
            </w:r>
          </w:p>
        </w:tc>
        <w:tc>
          <w:tcPr>
            <w:tcW w:type="dxa" w:w="1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5"/>
                <w:szCs w:val="15"/>
              </w:rPr>
              <w:t xml:space="preserve">Ley 29783 / D.S. 005-2012-TR</w:t>
            </w:r>
          </w:p>
        </w:tc>
      </w:tr>
      <w:tr>
        <w:trPr>
          <w:cantSplit/>
        </w:trPr>
        <w:tc>
          <w:tcPr>
            <w:tcW w:type="dxa" w:w="13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222222"/>
                <w:sz w:val="15"/>
                <w:szCs w:val="15"/>
              </w:rPr>
              <w:t xml:space="preserve">Físico</w:t>
            </w:r>
          </w:p>
        </w:tc>
        <w:tc>
          <w:tcPr>
            <w:tcW w:type="dxa" w:w="23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5"/>
                <w:szCs w:val="15"/>
              </w:rPr>
              <w:t xml:space="preserve">Iluminación deficiente</w:t>
            </w:r>
          </w:p>
        </w:tc>
        <w:tc>
          <w:tcPr>
            <w:tcW w:type="dxa" w:w="23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5"/>
                <w:szCs w:val="15"/>
              </w:rPr>
              <w:t xml:space="preserve">Exposición a iluminación inadecuada</w:t>
            </w:r>
          </w:p>
        </w:tc>
        <w:tc>
          <w:tcPr>
            <w:tcW w:type="dxa" w:w="21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5"/>
                <w:szCs w:val="15"/>
              </w:rPr>
              <w:t xml:space="preserve">Fatiga visual, cefalea, errores y accidentes</w:t>
            </w:r>
          </w:p>
        </w:tc>
        <w:tc>
          <w:tcPr>
            <w:tcW w:type="dxa" w:w="13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5"/>
                <w:szCs w:val="15"/>
              </w:rPr>
              <w:t xml:space="preserve">Ley 29783 / R.M. 050-2013-TR</w:t>
            </w:r>
          </w:p>
        </w:tc>
      </w:tr>
      <w:tr>
        <w:trPr>
          <w:cantSplit/>
        </w:trPr>
        <w:tc>
          <w:tcPr>
            <w:tcW w:type="dxa" w:w="1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222222"/>
                <w:sz w:val="15"/>
                <w:szCs w:val="15"/>
              </w:rPr>
              <w:t xml:space="preserve">Físico</w:t>
            </w:r>
          </w:p>
        </w:tc>
        <w:tc>
          <w:tcPr>
            <w:tcW w:type="dxa" w:w="2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5"/>
                <w:szCs w:val="15"/>
              </w:rPr>
              <w:t xml:space="preserve">Vibración (herramientas/equipos)</w:t>
            </w:r>
          </w:p>
        </w:tc>
        <w:tc>
          <w:tcPr>
            <w:tcW w:type="dxa" w:w="2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5"/>
                <w:szCs w:val="15"/>
              </w:rPr>
              <w:t xml:space="preserve">Exposición a vibración mano-brazo / cuerpo entero</w:t>
            </w:r>
          </w:p>
        </w:tc>
        <w:tc>
          <w:tcPr>
            <w:tcW w:type="dxa" w:w="21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5"/>
                <w:szCs w:val="15"/>
              </w:rPr>
              <w:t xml:space="preserve">Síndrome de vibración, trastornos osteomusculares</w:t>
            </w:r>
          </w:p>
        </w:tc>
        <w:tc>
          <w:tcPr>
            <w:tcW w:type="dxa" w:w="1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5"/>
                <w:szCs w:val="15"/>
              </w:rPr>
              <w:t xml:space="preserve">Ley 29783 / D.S. 005-2012-TR</w:t>
            </w:r>
          </w:p>
        </w:tc>
      </w:tr>
      <w:tr>
        <w:trPr>
          <w:cantSplit/>
        </w:trPr>
        <w:tc>
          <w:tcPr>
            <w:tcW w:type="dxa" w:w="13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222222"/>
                <w:sz w:val="15"/>
                <w:szCs w:val="15"/>
              </w:rPr>
              <w:t xml:space="preserve">Físico</w:t>
            </w:r>
          </w:p>
        </w:tc>
        <w:tc>
          <w:tcPr>
            <w:tcW w:type="dxa" w:w="23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5"/>
                <w:szCs w:val="15"/>
              </w:rPr>
              <w:t xml:space="preserve">Temperatura extrema (calor/frío)</w:t>
            </w:r>
          </w:p>
        </w:tc>
        <w:tc>
          <w:tcPr>
            <w:tcW w:type="dxa" w:w="23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5"/>
                <w:szCs w:val="15"/>
              </w:rPr>
              <w:t xml:space="preserve">Exposición a estrés térmico</w:t>
            </w:r>
          </w:p>
        </w:tc>
        <w:tc>
          <w:tcPr>
            <w:tcW w:type="dxa" w:w="21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5"/>
                <w:szCs w:val="15"/>
              </w:rPr>
              <w:t xml:space="preserve">Golpe de calor, deshidratación, hipotermia</w:t>
            </w:r>
          </w:p>
        </w:tc>
        <w:tc>
          <w:tcPr>
            <w:tcW w:type="dxa" w:w="13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5"/>
                <w:szCs w:val="15"/>
              </w:rPr>
              <w:t xml:space="preserve">Ley 29783 / D.S. 005-2012-TR</w:t>
            </w:r>
          </w:p>
        </w:tc>
      </w:tr>
      <w:tr>
        <w:trPr>
          <w:cantSplit/>
        </w:trPr>
        <w:tc>
          <w:tcPr>
            <w:tcW w:type="dxa" w:w="1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222222"/>
                <w:sz w:val="15"/>
                <w:szCs w:val="15"/>
              </w:rPr>
              <w:t xml:space="preserve">Físico</w:t>
            </w:r>
          </w:p>
        </w:tc>
        <w:tc>
          <w:tcPr>
            <w:tcW w:type="dxa" w:w="2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5"/>
                <w:szCs w:val="15"/>
              </w:rPr>
              <w:t xml:space="preserve">Radiación UV (trabajo a intemperie)</w:t>
            </w:r>
          </w:p>
        </w:tc>
        <w:tc>
          <w:tcPr>
            <w:tcW w:type="dxa" w:w="2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5"/>
                <w:szCs w:val="15"/>
              </w:rPr>
              <w:t xml:space="preserve">Exposición a radiación solar</w:t>
            </w:r>
          </w:p>
        </w:tc>
        <w:tc>
          <w:tcPr>
            <w:tcW w:type="dxa" w:w="21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5"/>
                <w:szCs w:val="15"/>
              </w:rPr>
              <w:t xml:space="preserve">Quemaduras, cáncer de piel, daño ocular</w:t>
            </w:r>
          </w:p>
        </w:tc>
        <w:tc>
          <w:tcPr>
            <w:tcW w:type="dxa" w:w="1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5"/>
                <w:szCs w:val="15"/>
              </w:rPr>
              <w:t xml:space="preserve">Ley 29783 / D.S. 005-2012-TR</w:t>
            </w:r>
          </w:p>
        </w:tc>
      </w:tr>
      <w:tr>
        <w:trPr>
          <w:cantSplit/>
        </w:trPr>
        <w:tc>
          <w:tcPr>
            <w:tcW w:type="dxa" w:w="13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222222"/>
                <w:sz w:val="15"/>
                <w:szCs w:val="15"/>
              </w:rPr>
              <w:t xml:space="preserve">Químico</w:t>
            </w:r>
          </w:p>
        </w:tc>
        <w:tc>
          <w:tcPr>
            <w:tcW w:type="dxa" w:w="23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5"/>
                <w:szCs w:val="15"/>
              </w:rPr>
              <w:t xml:space="preserve">Polvos / partículas en suspensión</w:t>
            </w:r>
          </w:p>
        </w:tc>
        <w:tc>
          <w:tcPr>
            <w:tcW w:type="dxa" w:w="23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5"/>
                <w:szCs w:val="15"/>
              </w:rPr>
              <w:t xml:space="preserve">Inhalación de polvo (sílice, cemento, harina)</w:t>
            </w:r>
          </w:p>
        </w:tc>
        <w:tc>
          <w:tcPr>
            <w:tcW w:type="dxa" w:w="21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5"/>
                <w:szCs w:val="15"/>
              </w:rPr>
              <w:t xml:space="preserve">Neumoconiosis, silicosis, asma ocupacional</w:t>
            </w:r>
          </w:p>
        </w:tc>
        <w:tc>
          <w:tcPr>
            <w:tcW w:type="dxa" w:w="13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5"/>
                <w:szCs w:val="15"/>
              </w:rPr>
              <w:t xml:space="preserve">Ley 29783 / D.S. 005-2012-TR</w:t>
            </w:r>
          </w:p>
        </w:tc>
      </w:tr>
      <w:tr>
        <w:trPr>
          <w:cantSplit/>
        </w:trPr>
        <w:tc>
          <w:tcPr>
            <w:tcW w:type="dxa" w:w="1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222222"/>
                <w:sz w:val="15"/>
                <w:szCs w:val="15"/>
              </w:rPr>
              <w:t xml:space="preserve">Químico</w:t>
            </w:r>
          </w:p>
        </w:tc>
        <w:tc>
          <w:tcPr>
            <w:tcW w:type="dxa" w:w="2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5"/>
                <w:szCs w:val="15"/>
              </w:rPr>
              <w:t xml:space="preserve">Vapores / gases / solventes</w:t>
            </w:r>
          </w:p>
        </w:tc>
        <w:tc>
          <w:tcPr>
            <w:tcW w:type="dxa" w:w="2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5"/>
                <w:szCs w:val="15"/>
              </w:rPr>
              <w:t xml:space="preserve">Inhalación de sustancias químicas</w:t>
            </w:r>
          </w:p>
        </w:tc>
        <w:tc>
          <w:tcPr>
            <w:tcW w:type="dxa" w:w="21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5"/>
                <w:szCs w:val="15"/>
              </w:rPr>
              <w:t xml:space="preserve">Intoxicación, daño respiratorio, neurológico</w:t>
            </w:r>
          </w:p>
        </w:tc>
        <w:tc>
          <w:tcPr>
            <w:tcW w:type="dxa" w:w="1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5"/>
                <w:szCs w:val="15"/>
              </w:rPr>
              <w:t xml:space="preserve">Ley 29783 / D.S. 005-2012-TR</w:t>
            </w:r>
          </w:p>
        </w:tc>
      </w:tr>
      <w:tr>
        <w:trPr>
          <w:cantSplit/>
        </w:trPr>
        <w:tc>
          <w:tcPr>
            <w:tcW w:type="dxa" w:w="13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222222"/>
                <w:sz w:val="15"/>
                <w:szCs w:val="15"/>
              </w:rPr>
              <w:t xml:space="preserve">Químico</w:t>
            </w:r>
          </w:p>
        </w:tc>
        <w:tc>
          <w:tcPr>
            <w:tcW w:type="dxa" w:w="23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5"/>
                <w:szCs w:val="15"/>
              </w:rPr>
              <w:t xml:space="preserve">Sustancias corrosivas / irritantes</w:t>
            </w:r>
          </w:p>
        </w:tc>
        <w:tc>
          <w:tcPr>
            <w:tcW w:type="dxa" w:w="23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5"/>
                <w:szCs w:val="15"/>
              </w:rPr>
              <w:t xml:space="preserve">Contacto con ácidos / álcalis</w:t>
            </w:r>
          </w:p>
        </w:tc>
        <w:tc>
          <w:tcPr>
            <w:tcW w:type="dxa" w:w="21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5"/>
                <w:szCs w:val="15"/>
              </w:rPr>
              <w:t xml:space="preserve">Quemaduras químicas, dermatitis, daño ocular</w:t>
            </w:r>
          </w:p>
        </w:tc>
        <w:tc>
          <w:tcPr>
            <w:tcW w:type="dxa" w:w="13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5"/>
                <w:szCs w:val="15"/>
              </w:rPr>
              <w:t xml:space="preserve">Ley 29783 / D.S. 005-2012-TR</w:t>
            </w:r>
          </w:p>
        </w:tc>
      </w:tr>
      <w:tr>
        <w:trPr>
          <w:cantSplit/>
        </w:trPr>
        <w:tc>
          <w:tcPr>
            <w:tcW w:type="dxa" w:w="1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222222"/>
                <w:sz w:val="15"/>
                <w:szCs w:val="15"/>
              </w:rPr>
              <w:t xml:space="preserve">Químico</w:t>
            </w:r>
          </w:p>
        </w:tc>
        <w:tc>
          <w:tcPr>
            <w:tcW w:type="dxa" w:w="2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5"/>
                <w:szCs w:val="15"/>
              </w:rPr>
              <w:t xml:space="preserve">Almacenamiento de inflamables</w:t>
            </w:r>
          </w:p>
        </w:tc>
        <w:tc>
          <w:tcPr>
            <w:tcW w:type="dxa" w:w="2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5"/>
                <w:szCs w:val="15"/>
              </w:rPr>
              <w:t xml:space="preserve">Contacto/derrame de combustibles e inflamables</w:t>
            </w:r>
          </w:p>
        </w:tc>
        <w:tc>
          <w:tcPr>
            <w:tcW w:type="dxa" w:w="21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5"/>
                <w:szCs w:val="15"/>
              </w:rPr>
              <w:t xml:space="preserve">Incendio, explosión, intoxicación</w:t>
            </w:r>
          </w:p>
        </w:tc>
        <w:tc>
          <w:tcPr>
            <w:tcW w:type="dxa" w:w="1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5"/>
                <w:szCs w:val="15"/>
              </w:rPr>
              <w:t xml:space="preserve">Ley 29783 / D.S. 005-2012-TR</w:t>
            </w:r>
          </w:p>
        </w:tc>
      </w:tr>
      <w:tr>
        <w:trPr>
          <w:cantSplit/>
        </w:trPr>
        <w:tc>
          <w:tcPr>
            <w:tcW w:type="dxa" w:w="13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222222"/>
                <w:sz w:val="15"/>
                <w:szCs w:val="15"/>
              </w:rPr>
              <w:t xml:space="preserve">Biológico</w:t>
            </w:r>
          </w:p>
        </w:tc>
        <w:tc>
          <w:tcPr>
            <w:tcW w:type="dxa" w:w="23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5"/>
                <w:szCs w:val="15"/>
              </w:rPr>
              <w:t xml:space="preserve">Agentes biológicos (virus/bacterias)</w:t>
            </w:r>
          </w:p>
        </w:tc>
        <w:tc>
          <w:tcPr>
            <w:tcW w:type="dxa" w:w="23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5"/>
                <w:szCs w:val="15"/>
              </w:rPr>
              <w:t xml:space="preserve">Exposición a agentes infecciosos</w:t>
            </w:r>
          </w:p>
        </w:tc>
        <w:tc>
          <w:tcPr>
            <w:tcW w:type="dxa" w:w="21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5"/>
                <w:szCs w:val="15"/>
              </w:rPr>
              <w:t xml:space="preserve">Enfermedades infectocontagiosas</w:t>
            </w:r>
          </w:p>
        </w:tc>
        <w:tc>
          <w:tcPr>
            <w:tcW w:type="dxa" w:w="13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5"/>
                <w:szCs w:val="15"/>
              </w:rPr>
              <w:t xml:space="preserve">Ley 29783 / Ley 31246 / D.S. 005-2012-TR</w:t>
            </w:r>
          </w:p>
        </w:tc>
      </w:tr>
      <w:tr>
        <w:trPr>
          <w:cantSplit/>
        </w:trPr>
        <w:tc>
          <w:tcPr>
            <w:tcW w:type="dxa" w:w="1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222222"/>
                <w:sz w:val="15"/>
                <w:szCs w:val="15"/>
              </w:rPr>
              <w:t xml:space="preserve">Biológico</w:t>
            </w:r>
          </w:p>
        </w:tc>
        <w:tc>
          <w:tcPr>
            <w:tcW w:type="dxa" w:w="2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5"/>
                <w:szCs w:val="15"/>
              </w:rPr>
              <w:t xml:space="preserve">Manipulación de residuos biocontaminados</w:t>
            </w:r>
          </w:p>
        </w:tc>
        <w:tc>
          <w:tcPr>
            <w:tcW w:type="dxa" w:w="2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5"/>
                <w:szCs w:val="15"/>
              </w:rPr>
              <w:t xml:space="preserve">Contacto con fluidos / residuos sólidos hospitalarios</w:t>
            </w:r>
          </w:p>
        </w:tc>
        <w:tc>
          <w:tcPr>
            <w:tcW w:type="dxa" w:w="21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5"/>
                <w:szCs w:val="15"/>
              </w:rPr>
              <w:t xml:space="preserve">Infección, hepatitis, VIH ocupacional</w:t>
            </w:r>
          </w:p>
        </w:tc>
        <w:tc>
          <w:tcPr>
            <w:tcW w:type="dxa" w:w="13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5"/>
                <w:szCs w:val="15"/>
              </w:rPr>
              <w:t xml:space="preserve">Ley 29783 / D.S. 005-2012-TR</w:t>
            </w:r>
          </w:p>
        </w:tc>
      </w:tr>
      <w:tr>
        <w:trPr>
          <w:cantSplit/>
        </w:trPr>
        <w:tc>
          <w:tcPr>
            <w:tcW w:type="dxa" w:w="13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222222"/>
                <w:sz w:val="15"/>
                <w:szCs w:val="15"/>
              </w:rPr>
              <w:t xml:space="preserve">Ergonómico</w:t>
            </w:r>
          </w:p>
        </w:tc>
        <w:tc>
          <w:tcPr>
            <w:tcW w:type="dxa" w:w="23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5"/>
                <w:szCs w:val="15"/>
              </w:rPr>
              <w:t xml:space="preserve">Manipulación manual de cargas</w:t>
            </w:r>
          </w:p>
        </w:tc>
        <w:tc>
          <w:tcPr>
            <w:tcW w:type="dxa" w:w="23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5"/>
                <w:szCs w:val="15"/>
              </w:rPr>
              <w:t xml:space="preserve">Sobreesfuerzo por levantamiento de cargas</w:t>
            </w:r>
          </w:p>
        </w:tc>
        <w:tc>
          <w:tcPr>
            <w:tcW w:type="dxa" w:w="21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5"/>
                <w:szCs w:val="15"/>
              </w:rPr>
              <w:t xml:space="preserve">Lumbalgia, hernias, trastornos musculoesqueléticos</w:t>
            </w:r>
          </w:p>
        </w:tc>
        <w:tc>
          <w:tcPr>
            <w:tcW w:type="dxa" w:w="13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5"/>
                <w:szCs w:val="15"/>
              </w:rPr>
              <w:t xml:space="preserve">Ley 29783 / R.M. 375-2008-TR</w:t>
            </w:r>
          </w:p>
        </w:tc>
      </w:tr>
    </w:tbl>
    <w:p>
      <w:pPr>
        <w:spacing w:after="120" w:line="276"/>
        <w:jc w:val="both"/>
      </w:pPr>
      <w:r>
        <w:rPr>
          <w:b w:val="false"/>
          <w:bCs w:val="false"/>
          <w:i/>
          <w:iCs/>
          <w:color w:val="222222"/>
          <w:sz w:val="22"/>
          <w:szCs w:val="22"/>
        </w:rPr>
        <w:t xml:space="preserve">La biblioteca completa, con los cinco controles jerarquizados por peligro, se encuentra en la hoja «4. Catálogo Peligros» del Excel.</w:t>
      </w:r>
    </w:p>
    <w:p>
      <w:pPr>
        <w:pStyle w:val="Heading1"/>
        <w:pageBreakBefore/>
      </w:pPr>
      <w:r>
        <w:t xml:space="preserve">8. Jerarquía de controles</w:t>
      </w:r>
    </w:p>
    <w:p>
      <w:pPr>
        <w:spacing w:after="120" w:line="276"/>
        <w:jc w:val="both"/>
      </w:pPr>
      <w:r>
        <w:rPr>
          <w:b w:val="false"/>
          <w:bCs w:val="false"/>
          <w:i w:val="false"/>
          <w:iCs w:val="false"/>
          <w:color w:val="222222"/>
          <w:sz w:val="22"/>
          <w:szCs w:val="22"/>
        </w:rPr>
        <w:t xml:space="preserve">El generador prioriza los controles según su eficacia, evitando proponer EPP como primera o única medida. El orden obligatorio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5360"/>
      </w:tblGrid>
      <w:tr>
        <w:trPr>
          <w:cantSplit/>
          <w:tblHeader/>
        </w:trPr>
        <w:tc>
          <w:tcPr>
            <w:tcW w:type="dxa" w:w="1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Orden</w:t>
            </w:r>
          </w:p>
        </w:tc>
        <w:tc>
          <w:tcPr>
            <w:tcW w:type="dxa" w:w="2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Tipo de control</w:t>
            </w:r>
          </w:p>
        </w:tc>
        <w:tc>
          <w:tcPr>
            <w:tcW w:type="dxa" w:w="5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Ejemplos</w:t>
            </w:r>
          </w:p>
        </w:tc>
      </w:tr>
      <w:tr>
        <w:trPr>
          <w:cantSplit/>
        </w:trPr>
        <w:tc>
          <w:tcPr>
            <w:tcW w:type="dxa" w:w="11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center"/>
            </w:pPr>
            <w:r>
              <w:rPr>
                <w:b w:val="false"/>
                <w:bCs w:val="false"/>
                <w:color w:val="222222"/>
                <w:sz w:val="18"/>
                <w:szCs w:val="18"/>
              </w:rPr>
              <w:t xml:space="preserve">1</w:t>
            </w:r>
          </w:p>
        </w:tc>
        <w:tc>
          <w:tcPr>
            <w:tcW w:type="dxa" w:w="2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222222"/>
                <w:sz w:val="18"/>
                <w:szCs w:val="18"/>
              </w:rPr>
              <w:t xml:space="preserve">Eliminación</w:t>
            </w:r>
          </w:p>
        </w:tc>
        <w:tc>
          <w:tcPr>
            <w:tcW w:type="dxa" w:w="5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Suprimir la tarea o el peligro en la fuente.</w:t>
            </w:r>
          </w:p>
        </w:tc>
      </w:tr>
      <w:tr>
        <w:trPr>
          <w:cantSplit/>
        </w:trPr>
        <w:tc>
          <w:tcPr>
            <w:tcW w:type="dxa" w:w="11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center"/>
            </w:pPr>
            <w:r>
              <w:rPr>
                <w:b w:val="false"/>
                <w:bCs w:val="false"/>
                <w:color w:val="222222"/>
                <w:sz w:val="18"/>
                <w:szCs w:val="18"/>
              </w:rPr>
              <w:t xml:space="preserve">2</w:t>
            </w:r>
          </w:p>
        </w:tc>
        <w:tc>
          <w:tcPr>
            <w:tcW w:type="dxa" w:w="29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222222"/>
                <w:sz w:val="18"/>
                <w:szCs w:val="18"/>
              </w:rPr>
              <w:t xml:space="preserve">Sustitución</w:t>
            </w:r>
          </w:p>
        </w:tc>
        <w:tc>
          <w:tcPr>
            <w:tcW w:type="dxa" w:w="53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Reemplazar por proceso, sustancia o equipo menos peligroso.</w:t>
            </w:r>
          </w:p>
        </w:tc>
      </w:tr>
      <w:tr>
        <w:trPr>
          <w:cantSplit/>
        </w:trPr>
        <w:tc>
          <w:tcPr>
            <w:tcW w:type="dxa" w:w="11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center"/>
            </w:pPr>
            <w:r>
              <w:rPr>
                <w:b w:val="false"/>
                <w:bCs w:val="false"/>
                <w:color w:val="222222"/>
                <w:sz w:val="18"/>
                <w:szCs w:val="18"/>
              </w:rPr>
              <w:t xml:space="preserve">3</w:t>
            </w:r>
          </w:p>
        </w:tc>
        <w:tc>
          <w:tcPr>
            <w:tcW w:type="dxa" w:w="2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222222"/>
                <w:sz w:val="18"/>
                <w:szCs w:val="18"/>
              </w:rPr>
              <w:t xml:space="preserve">Controles de ingeniería</w:t>
            </w:r>
          </w:p>
        </w:tc>
        <w:tc>
          <w:tcPr>
            <w:tcW w:type="dxa" w:w="5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Guardas, encerramientos, ventilación, aislamiento, barandas.</w:t>
            </w:r>
          </w:p>
        </w:tc>
      </w:tr>
      <w:tr>
        <w:trPr>
          <w:cantSplit/>
        </w:trPr>
        <w:tc>
          <w:tcPr>
            <w:tcW w:type="dxa" w:w="11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center"/>
            </w:pPr>
            <w:r>
              <w:rPr>
                <w:b w:val="false"/>
                <w:bCs w:val="false"/>
                <w:color w:val="222222"/>
                <w:sz w:val="18"/>
                <w:szCs w:val="18"/>
              </w:rPr>
              <w:t xml:space="preserve">4</w:t>
            </w:r>
          </w:p>
        </w:tc>
        <w:tc>
          <w:tcPr>
            <w:tcW w:type="dxa" w:w="29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222222"/>
                <w:sz w:val="18"/>
                <w:szCs w:val="18"/>
              </w:rPr>
              <w:t xml:space="preserve">Controles administrativos</w:t>
            </w:r>
          </w:p>
        </w:tc>
        <w:tc>
          <w:tcPr>
            <w:tcW w:type="dxa" w:w="53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Procedimientos, permisos de trabajo, rotación, mantenimiento.</w:t>
            </w:r>
          </w:p>
        </w:tc>
      </w:tr>
      <w:tr>
        <w:trPr>
          <w:cantSplit/>
        </w:trPr>
        <w:tc>
          <w:tcPr>
            <w:tcW w:type="dxa" w:w="11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center"/>
            </w:pPr>
            <w:r>
              <w:rPr>
                <w:b w:val="false"/>
                <w:bCs w:val="false"/>
                <w:color w:val="222222"/>
                <w:sz w:val="18"/>
                <w:szCs w:val="18"/>
              </w:rPr>
              <w:t xml:space="preserve">5</w:t>
            </w:r>
          </w:p>
        </w:tc>
        <w:tc>
          <w:tcPr>
            <w:tcW w:type="dxa" w:w="2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222222"/>
                <w:sz w:val="18"/>
                <w:szCs w:val="18"/>
              </w:rPr>
              <w:t xml:space="preserve">Señalización / capacitación</w:t>
            </w:r>
          </w:p>
        </w:tc>
        <w:tc>
          <w:tcPr>
            <w:tcW w:type="dxa" w:w="5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Señales, advertencias, formación y supervisión.</w:t>
            </w:r>
          </w:p>
        </w:tc>
      </w:tr>
      <w:tr>
        <w:trPr>
          <w:cantSplit/>
        </w:trPr>
        <w:tc>
          <w:tcPr>
            <w:tcW w:type="dxa" w:w="11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center"/>
            </w:pPr>
            <w:r>
              <w:rPr>
                <w:b w:val="false"/>
                <w:bCs w:val="false"/>
                <w:color w:val="222222"/>
                <w:sz w:val="18"/>
                <w:szCs w:val="18"/>
              </w:rPr>
              <w:t xml:space="preserve">6</w:t>
            </w:r>
          </w:p>
        </w:tc>
        <w:tc>
          <w:tcPr>
            <w:tcW w:type="dxa" w:w="29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222222"/>
                <w:sz w:val="18"/>
                <w:szCs w:val="18"/>
              </w:rPr>
              <w:t xml:space="preserve">Equipos de protección personal</w:t>
            </w:r>
          </w:p>
        </w:tc>
        <w:tc>
          <w:tcPr>
            <w:tcW w:type="dxa" w:w="53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EPP como última barrera, nunca como medida exclusiva.</w:t>
            </w:r>
          </w:p>
        </w:tc>
      </w:tr>
    </w:tbl>
    <w:p>
      <w:pPr>
        <w:pStyle w:val="Heading1"/>
        <w:pageBreakBefore/>
      </w:pPr>
      <w:r>
        <w:t xml:space="preserve">9. Documentación de resultados</w:t>
      </w:r>
    </w:p>
    <w:p>
      <w:pPr>
        <w:spacing w:after="120" w:line="276"/>
        <w:jc w:val="both"/>
      </w:pPr>
      <w:r>
        <w:rPr>
          <w:b w:val="false"/>
          <w:bCs w:val="false"/>
          <w:i w:val="false"/>
          <w:iCs w:val="false"/>
          <w:color w:val="222222"/>
          <w:sz w:val="22"/>
          <w:szCs w:val="22"/>
        </w:rPr>
        <w:t xml:space="preserve">La herramienta se entrega con un caso demostrativo de 8 evaluaciones precargadas (oficina/PVD, limpieza, almacén/cargas, máquina/partes móviles, trabajo en altura, residuos biocontaminados, riesgo eléctrico y conducción), que ilustran el cálculo completo y alimentan el dashboard. Los indicadores obtenidos en ese caso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cantSplit/>
          <w:tblHeader/>
        </w:trPr>
        <w:tc>
          <w:tcPr>
            <w:tcW w:type="dxa" w:w="5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Indicador (KPI)</w:t>
            </w:r>
          </w:p>
        </w:tc>
        <w:tc>
          <w:tcPr>
            <w:tcW w:type="dxa" w:w="2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Valor</w:t>
            </w:r>
          </w:p>
        </w:tc>
        <w:tc>
          <w:tcPr>
            <w:tcW w:type="dxa" w:w="2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jc w:val="left"/>
            </w:pPr>
            <w:r>
              <w:rPr>
                <w:b/>
                <w:bCs/>
                <w:color w:val="FFFFFF"/>
                <w:sz w:val="19"/>
                <w:szCs w:val="19"/>
              </w:rPr>
              <w:t xml:space="preserve">Lectura</w:t>
            </w:r>
          </w:p>
        </w:tc>
      </w:tr>
      <w:tr>
        <w:trPr>
          <w:cantSplit/>
        </w:trPr>
        <w:tc>
          <w:tcPr>
            <w:tcW w:type="dxa" w:w="5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Tareas/riesgos evaluados</w:t>
            </w:r>
          </w:p>
        </w:tc>
        <w:tc>
          <w:tcPr>
            <w:tcW w:type="dxa" w:w="2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center"/>
            </w:pPr>
            <w:r>
              <w:rPr>
                <w:b/>
                <w:bCs/>
                <w:color w:val="1F3864"/>
                <w:sz w:val="18"/>
                <w:szCs w:val="18"/>
              </w:rPr>
              <w:t xml:space="preserve">8</w:t>
            </w:r>
          </w:p>
        </w:tc>
        <w:tc>
          <w:tcPr>
            <w:tcW w:type="dxa" w:w="2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Cobertura del ejercicio.</w:t>
            </w:r>
          </w:p>
        </w:tc>
      </w:tr>
      <w:tr>
        <w:trPr>
          <w:cantSplit/>
        </w:trPr>
        <w:tc>
          <w:tcPr>
            <w:tcW w:type="dxa" w:w="53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Riesgos significativos (≥ 9)</w:t>
            </w:r>
          </w:p>
        </w:tc>
        <w:tc>
          <w:tcPr>
            <w:tcW w:type="dxa" w:w="20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center"/>
            </w:pPr>
            <w:r>
              <w:rPr>
                <w:b/>
                <w:bCs/>
                <w:color w:val="1F3864"/>
                <w:sz w:val="18"/>
                <w:szCs w:val="18"/>
              </w:rPr>
              <w:t xml:space="preserve">8</w:t>
            </w:r>
          </w:p>
        </w:tc>
        <w:tc>
          <w:tcPr>
            <w:tcW w:type="dxa" w:w="20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Requieren plan de acción.</w:t>
            </w:r>
          </w:p>
        </w:tc>
      </w:tr>
      <w:tr>
        <w:trPr>
          <w:cantSplit/>
        </w:trPr>
        <w:tc>
          <w:tcPr>
            <w:tcW w:type="dxa" w:w="5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Riesgos críticos residuales</w:t>
            </w:r>
          </w:p>
        </w:tc>
        <w:tc>
          <w:tcPr>
            <w:tcW w:type="dxa" w:w="2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center"/>
            </w:pPr>
            <w:r>
              <w:rPr>
                <w:b/>
                <w:bCs/>
                <w:color w:val="1F3864"/>
                <w:sz w:val="18"/>
                <w:szCs w:val="18"/>
              </w:rPr>
              <w:t xml:space="preserve">0</w:t>
            </w:r>
          </w:p>
        </w:tc>
        <w:tc>
          <w:tcPr>
            <w:tcW w:type="dxa" w:w="2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Ningún riesgo importante/intolerable tras controles.</w:t>
            </w:r>
          </w:p>
        </w:tc>
      </w:tr>
      <w:tr>
        <w:trPr>
          <w:cantSplit/>
        </w:trPr>
        <w:tc>
          <w:tcPr>
            <w:tcW w:type="dxa" w:w="53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 de implementación de controles</w:t>
            </w:r>
          </w:p>
        </w:tc>
        <w:tc>
          <w:tcPr>
            <w:tcW w:type="dxa" w:w="20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center"/>
            </w:pPr>
            <w:r>
              <w:rPr>
                <w:b/>
                <w:bCs/>
                <w:color w:val="1F3864"/>
                <w:sz w:val="18"/>
                <w:szCs w:val="18"/>
              </w:rPr>
              <w:t xml:space="preserve">12.5 %</w:t>
            </w:r>
          </w:p>
        </w:tc>
        <w:tc>
          <w:tcPr>
            <w:tcW w:type="dxa" w:w="20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Punto de partida; debe crecer con la ejecución.</w:t>
            </w:r>
          </w:p>
        </w:tc>
      </w:tr>
      <w:tr>
        <w:trPr>
          <w:cantSplit/>
        </w:trPr>
        <w:tc>
          <w:tcPr>
            <w:tcW w:type="dxa" w:w="53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 de reducción de riesgo</w:t>
            </w:r>
          </w:p>
        </w:tc>
        <w:tc>
          <w:tcPr>
            <w:tcW w:type="dxa" w:w="2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center"/>
            </w:pPr>
            <w:r>
              <w:rPr>
                <w:b/>
                <w:bCs/>
                <w:color w:val="1F3864"/>
                <w:sz w:val="18"/>
                <w:szCs w:val="18"/>
              </w:rPr>
              <w:t xml:space="preserve">100 %</w:t>
            </w:r>
          </w:p>
        </w:tc>
        <w:tc>
          <w:tcPr>
            <w:tcW w:type="dxa" w:w="20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Todos los riesgos significativos bajaron a tolerable/trivial.</w:t>
            </w:r>
          </w:p>
        </w:tc>
      </w:tr>
    </w:tbl>
    <w:p>
      <w:pPr>
        <w:pStyle w:val="Heading3"/>
      </w:pPr>
      <w:r>
        <w:t xml:space="preserve">9.1 Cómo interpretar el dashboard</w:t>
      </w:r>
    </w:p>
    <w:p>
      <w:pPr>
        <w:pStyle w:val="ListParagraph"/>
        <w:numPr>
          <w:ilvl w:val="0"/>
          <w:numId w:val="2"/>
        </w:numPr>
        <w:spacing w:after="60" w:line="268"/>
        <w:jc w:val="both"/>
      </w:pPr>
      <w:r>
        <w:rPr>
          <w:color w:val="222222"/>
          <w:sz w:val="22"/>
          <w:szCs w:val="22"/>
        </w:rPr>
        <w:t xml:space="preserve">Riesgos críticos residuales &gt; 0: existe al menos un riesgo importante o intolerable sin reducir; es la alerta de máxima prioridad.</w:t>
      </w:r>
    </w:p>
    <w:p>
      <w:pPr>
        <w:pStyle w:val="ListParagraph"/>
        <w:numPr>
          <w:ilvl w:val="0"/>
          <w:numId w:val="2"/>
        </w:numPr>
        <w:spacing w:after="60" w:line="268"/>
        <w:jc w:val="both"/>
      </w:pPr>
      <w:r>
        <w:rPr>
          <w:color w:val="222222"/>
          <w:sz w:val="22"/>
          <w:szCs w:val="22"/>
        </w:rPr>
        <w:t xml:space="preserve">% de implementación bajo con % de reducción alto: los controles están definidos pero aún no ejecutados; concentre la gestión en el plan de acción.</w:t>
      </w:r>
    </w:p>
    <w:p>
      <w:pPr>
        <w:pStyle w:val="ListParagraph"/>
        <w:numPr>
          <w:ilvl w:val="0"/>
          <w:numId w:val="2"/>
        </w:numPr>
        <w:spacing w:after="60" w:line="268"/>
        <w:jc w:val="both"/>
      </w:pPr>
      <w:r>
        <w:rPr>
          <w:color w:val="222222"/>
          <w:sz w:val="22"/>
          <w:szCs w:val="22"/>
        </w:rPr>
        <w:t xml:space="preserve">Mapa de riesgos por área: identifica dónde se concentran los peligros para priorizar inspecciones y recursos.</w:t>
      </w:r>
    </w:p>
    <w:p>
      <w:pPr>
        <w:pStyle w:val="Heading3"/>
      </w:pPr>
      <w:r>
        <w:t xml:space="preserve">9.2 Sustitución de datos demostrativos</w:t>
      </w:r>
    </w:p>
    <w:p>
      <w:pPr>
        <w:spacing w:after="120" w:line="276"/>
        <w:jc w:val="both"/>
      </w:pPr>
      <w:r>
        <w:rPr>
          <w:b w:val="false"/>
          <w:bCs w:val="false"/>
          <w:i w:val="false"/>
          <w:iCs w:val="false"/>
          <w:color w:val="222222"/>
          <w:sz w:val="22"/>
          <w:szCs w:val="22"/>
        </w:rPr>
        <w:t xml:space="preserve">Antes de entregar su IPERC real, reemplace las 8 filas demostrativas por las tareas efectivas de su organización. Conserve las fórmulas: solo cambie las celdas de entrada (peligro, índices, controles, responsable, plazo y estado).</w:t>
      </w:r>
    </w:p>
    <w:p>
      <w:pPr>
        <w:pStyle w:val="Heading1"/>
        <w:pageBreakBefore/>
      </w:pPr>
      <w:r>
        <w:t xml:space="preserve">10. Recomendaciones de implementación</w:t>
      </w:r>
    </w:p>
    <w:p>
      <w:pPr>
        <w:pStyle w:val="ListParagraph"/>
        <w:numPr>
          <w:ilvl w:val="0"/>
          <w:numId w:val="2"/>
        </w:numPr>
        <w:spacing w:after="60" w:line="268"/>
        <w:jc w:val="both"/>
      </w:pPr>
      <w:r>
        <w:rPr>
          <w:color w:val="222222"/>
          <w:sz w:val="22"/>
          <w:szCs w:val="22"/>
        </w:rPr>
        <w:t xml:space="preserve">Actualice la IPERC al menos una vez al año o ante cualquier cambio de proceso, equipo, instalación o incidente relevante.</w:t>
      </w:r>
    </w:p>
    <w:p>
      <w:pPr>
        <w:pStyle w:val="ListParagraph"/>
        <w:numPr>
          <w:ilvl w:val="0"/>
          <w:numId w:val="2"/>
        </w:numPr>
        <w:spacing w:after="60" w:line="268"/>
        <w:jc w:val="both"/>
      </w:pPr>
      <w:r>
        <w:rPr>
          <w:color w:val="222222"/>
          <w:sz w:val="22"/>
          <w:szCs w:val="22"/>
        </w:rPr>
        <w:t xml:space="preserve">Documente la participación de los trabajadores y la aprobación del comité o supervisor SST (actas, encuestas, registros de reunión).</w:t>
      </w:r>
    </w:p>
    <w:p>
      <w:pPr>
        <w:pStyle w:val="ListParagraph"/>
        <w:numPr>
          <w:ilvl w:val="0"/>
          <w:numId w:val="2"/>
        </w:numPr>
        <w:spacing w:after="60" w:line="268"/>
        <w:jc w:val="both"/>
      </w:pPr>
      <w:r>
        <w:rPr>
          <w:color w:val="222222"/>
          <w:sz w:val="22"/>
          <w:szCs w:val="22"/>
        </w:rPr>
        <w:t xml:space="preserve">Acompañe la matriz con el mapa de riesgos, la planificación preventiva y el programa anual de SST exigidos por el Reglamento.</w:t>
      </w:r>
    </w:p>
    <w:p>
      <w:pPr>
        <w:pStyle w:val="ListParagraph"/>
        <w:numPr>
          <w:ilvl w:val="0"/>
          <w:numId w:val="2"/>
        </w:numPr>
        <w:spacing w:after="60" w:line="268"/>
        <w:jc w:val="both"/>
      </w:pPr>
      <w:r>
        <w:rPr>
          <w:color w:val="222222"/>
          <w:sz w:val="22"/>
          <w:szCs w:val="22"/>
        </w:rPr>
        <w:t xml:space="preserve">Mantenga control de versiones: número, fecha, responsable y aprobación en cada actualización.</w:t>
      </w:r>
    </w:p>
    <w:p>
      <w:pPr>
        <w:pStyle w:val="ListParagraph"/>
        <w:numPr>
          <w:ilvl w:val="0"/>
          <w:numId w:val="2"/>
        </w:numPr>
        <w:spacing w:after="60" w:line="268"/>
        <w:jc w:val="both"/>
      </w:pPr>
      <w:r>
        <w:rPr>
          <w:color w:val="222222"/>
          <w:sz w:val="22"/>
          <w:szCs w:val="22"/>
        </w:rPr>
        <w:t xml:space="preserve">Conserve la evidencia de cada control: capacitaciones, inspecciones, permisos de trabajo y entrega de EPP.</w:t>
      </w:r>
    </w:p>
    <w:p>
      <w:pPr>
        <w:pStyle w:val="ListParagraph"/>
        <w:numPr>
          <w:ilvl w:val="0"/>
          <w:numId w:val="2"/>
        </w:numPr>
        <w:spacing w:after="60" w:line="268"/>
        <w:jc w:val="both"/>
      </w:pPr>
      <w:r>
        <w:rPr>
          <w:color w:val="222222"/>
          <w:sz w:val="22"/>
          <w:szCs w:val="22"/>
        </w:rPr>
        <w:t xml:space="preserve">No cite una norma sin verificar su vigencia y su relación directa con el riesgo evaluado.</w:t>
      </w:r>
    </w:p>
    <w:p>
      <w:pPr>
        <w:pStyle w:val="Heading2"/>
      </w:pPr>
      <w:r>
        <w:t xml:space="preserve">11. Limitaciones y validación legal</w:t>
      </w:r>
    </w:p>
    <w:p>
      <w:pPr>
        <w:spacing w:after="120" w:line="276"/>
        <w:jc w:val="both"/>
      </w:pPr>
      <w:r>
        <w:rPr>
          <w:b w:val="false"/>
          <w:bCs w:val="false"/>
          <w:i w:val="false"/>
          <w:iCs w:val="false"/>
          <w:color w:val="222222"/>
          <w:sz w:val="22"/>
          <w:szCs w:val="22"/>
        </w:rPr>
        <w:t xml:space="preserve">Este documento y la matriz asociada son referenciales. La IPERC debe partir de los puestos, procesos y tareas reales de cada organización y ser validada por un profesional competente en SST. La selección de niveles «simula» cubrir la mayoría de los giros empresariales del Perú mediante un catálogo multisectorial amplio, pero no sustituye la evaluación técnica in situ, la medición de agentes ocupacionales ni la revisión por el comité o supervisor de SST.</w:t>
      </w:r>
    </w:p>
    <w:p>
      <w:pPr>
        <w:pStyle w:val="Heading2"/>
      </w:pPr>
      <w:r>
        <w:t xml:space="preserve">12. Glosario breve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vAlign w:val="center"/>
          </w:tcPr>
          <w:p>
            <w:pPr>
              <w:jc w:val="left"/>
            </w:pPr>
            <w:r>
              <w:rPr>
                <w:b/>
                <w:bCs/>
                <w:color w:val="FFFFFF"/>
                <w:sz w:val="19"/>
                <w:szCs w:val="19"/>
              </w:rPr>
              <w:t xml:space="preserve">Término</w:t>
            </w:r>
          </w:p>
        </w:tc>
        <w:tc>
          <w:tcPr>
            <w:tcW w:type="dxa" w:w="676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vAlign w:val="center"/>
          </w:tcPr>
          <w:p>
            <w:pPr>
              <w:jc w:val="left"/>
            </w:pPr>
            <w:r>
              <w:rPr>
                <w:b/>
                <w:bCs/>
                <w:color w:val="FFFFFF"/>
                <w:sz w:val="19"/>
                <w:szCs w:val="19"/>
              </w:rPr>
              <w:t xml:space="preserve">Definición</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222222"/>
                <w:sz w:val="18"/>
                <w:szCs w:val="18"/>
              </w:rPr>
              <w:t xml:space="preserve">IPERC</w:t>
            </w:r>
          </w:p>
        </w:tc>
        <w:tc>
          <w:tcPr>
            <w:tcW w:type="dxa" w:w="67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Identificación de Peligros, Evaluación de Riesgos y Medidas de Control.</w:t>
            </w:r>
          </w:p>
        </w:tc>
      </w:tr>
      <w:tr>
        <w:trPr>
          <w:cantSplit/>
        </w:trPr>
        <w:tc>
          <w:tcPr>
            <w:tcW w:type="dxa" w:w="26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222222"/>
                <w:sz w:val="18"/>
                <w:szCs w:val="18"/>
              </w:rPr>
              <w:t xml:space="preserve">Peligro</w:t>
            </w:r>
          </w:p>
        </w:tc>
        <w:tc>
          <w:tcPr>
            <w:tcW w:type="dxa" w:w="67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Fuente o situación con potencial de daño.</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222222"/>
                <w:sz w:val="18"/>
                <w:szCs w:val="18"/>
              </w:rPr>
              <w:t xml:space="preserve">Riesgo</w:t>
            </w:r>
          </w:p>
        </w:tc>
        <w:tc>
          <w:tcPr>
            <w:tcW w:type="dxa" w:w="67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Combinación de probabilidad y severidad de un daño.</w:t>
            </w:r>
          </w:p>
        </w:tc>
      </w:tr>
      <w:tr>
        <w:trPr>
          <w:cantSplit/>
        </w:trPr>
        <w:tc>
          <w:tcPr>
            <w:tcW w:type="dxa" w:w="26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222222"/>
                <w:sz w:val="18"/>
                <w:szCs w:val="18"/>
              </w:rPr>
              <w:t xml:space="preserve">Riesgo residual</w:t>
            </w:r>
          </w:p>
        </w:tc>
        <w:tc>
          <w:tcPr>
            <w:tcW w:type="dxa" w:w="67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Riesgo remanente tras aplicar los controles.</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bCs/>
                <w:color w:val="222222"/>
                <w:sz w:val="18"/>
                <w:szCs w:val="18"/>
              </w:rPr>
              <w:t xml:space="preserve">SGSST</w:t>
            </w:r>
          </w:p>
        </w:tc>
        <w:tc>
          <w:tcPr>
            <w:tcW w:type="dxa" w:w="67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vAlign w:val="center"/>
          </w:tcPr>
          <w:p>
            <w:pPr>
              <w:jc w:val="left"/>
            </w:pPr>
            <w:r>
              <w:rPr>
                <w:b w:val="false"/>
                <w:bCs w:val="false"/>
                <w:color w:val="222222"/>
                <w:sz w:val="18"/>
                <w:szCs w:val="18"/>
              </w:rPr>
              <w:t xml:space="preserve">Sistema de Gestión de Seguridad y Salud en el Trabajo.</w:t>
            </w:r>
          </w:p>
        </w:tc>
      </w:tr>
      <w:tr>
        <w:trPr>
          <w:cantSplit/>
        </w:trPr>
        <w:tc>
          <w:tcPr>
            <w:tcW w:type="dxa" w:w="260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bCs/>
                <w:color w:val="222222"/>
                <w:sz w:val="18"/>
                <w:szCs w:val="18"/>
              </w:rPr>
              <w:t xml:space="preserve">Riesgo significativo</w:t>
            </w:r>
          </w:p>
        </w:tc>
        <w:tc>
          <w:tcPr>
            <w:tcW w:type="dxa" w:w="676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vAlign w:val="center"/>
          </w:tcPr>
          <w:p>
            <w:pPr>
              <w:jc w:val="left"/>
            </w:pPr>
            <w:r>
              <w:rPr>
                <w:b w:val="false"/>
                <w:bCs w:val="false"/>
                <w:color w:val="222222"/>
                <w:sz w:val="18"/>
                <w:szCs w:val="18"/>
              </w:rPr>
              <w:t xml:space="preserve">Riesgo con nivel ≥ 9; exige plan de acción.</w:t>
            </w:r>
          </w:p>
        </w:tc>
      </w:tr>
    </w:tbl>
    <w:p>
      <w:pPr>
        <w:spacing w:after="160"/>
      </w:pPr>
      <w:r>
        <w:t xml:space="preserve"/>
      </w:r>
    </w:p>
    <w:p>
      <w:pPr>
        <w:pBdr>
          <w:bottom w:val="single" w:color="8EAADB" w:sz="10" w:space="1"/>
        </w:pBdr>
        <w:spacing w:after="120"/>
      </w:pPr>
      <w:r>
        <w:t xml:space="preserve"/>
      </w:r>
    </w:p>
    <w:p>
      <w:pPr>
        <w:jc w:val="left"/>
      </w:pPr>
      <w:r>
        <w:rPr>
          <w:color w:val="595959"/>
          <w:sz w:val="16"/>
          <w:szCs w:val="16"/>
        </w:rPr>
        <w:t xml:space="preserve">© 2026 Ing. Pierre R. - peru.labs.pe@gmail.com - Generador IPERC Normativo Perú. Uso bajo licencia del autor.</w:t>
      </w:r>
      <w:r>
        <w:rPr>
          <w:vanish/>
          <w:color w:val="FFFFFF"/>
          <w:sz w:val="2"/>
          <w:szCs w:val="2"/>
        </w:rPr>
        <w:t xml:space="preserve">© 2026 Ing. Pierre R. — peru.labs.pe@gmail.com. Marca de agua de autoría. Reproducción autorizada solo bajo licencia del autor.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EAADB" w:sz="4" w:space="2"/>
      </w:pBdr>
      <w:tabs>
        <w:tab w:val="right" w:pos="9360"/>
      </w:tabs>
      <w:spacing w:before="0"/>
      <w:jc w:val="left"/>
    </w:pPr>
    <w:r>
      <w:rPr>
        <w:color w:val="595959"/>
        <w:sz w:val="15"/>
        <w:szCs w:val="15"/>
      </w:rPr>
      <w:t xml:space="preserve">© Ing. Pierre R. · peru.labs.pe@gmail.com</w:t>
    </w:r>
    <w:r>
      <w:rPr>
        <w:vanish/>
        <w:color w:val="FFFFFF"/>
        <w:sz w:val="2"/>
        <w:szCs w:val="2"/>
      </w:rPr>
      <w:t xml:space="preserve">© 2026 Ing. Pierre R. - peru.labs.pe@gmail.com - Generador IPERC Normativo Perú. Uso bajo licencia del autor.</w:t>
    </w:r>
    <w:r>
      <w:rPr>
        <w:color w:val="595959"/>
        <w:sz w:val="15"/>
        <w:szCs w:val="15"/>
      </w:rPr>
      <w:t xml:space="preserve">	Pág. </w:t>
    </w:r>
    <w:r>
      <w:rPr>
        <w:color w:val="595959"/>
        <w:sz w:val="15"/>
        <w:szCs w:val="15"/>
      </w:rPr>
      <w:fldChar w:fldCharType="begin"/>
      <w:instrText xml:space="preserve">PAGE</w:instrText>
      <w:fldChar w:fldCharType="separate"/>
      <w:fldChar w:fldCharType="end"/>
    </w:r>
    <w:r>
      <w:rPr>
        <w:color w:val="595959"/>
        <w:sz w:val="15"/>
        <w:szCs w:val="15"/>
      </w:rPr>
      <w:t xml:space="preserve"> de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ADB" w:sz="4" w:space="2"/>
      </w:pBdr>
      <w:tabs>
        <w:tab w:val="right" w:pos="9360"/>
      </w:tabs>
      <w:spacing w:after="0"/>
      <w:jc w:val="left"/>
    </w:pPr>
    <w:r>
      <w:rPr>
        <w:color w:val="595959"/>
        <w:sz w:val="16"/>
        <w:szCs w:val="16"/>
      </w:rPr>
      <w:t xml:space="preserve">Generador IPERC Normativo – Perú</w:t>
    </w:r>
    <w:r>
      <w:rPr>
        <w:color w:val="595959"/>
        <w:sz w:val="16"/>
        <w:szCs w:val="16"/>
      </w:rPr>
      <w:t xml:space="preserve">	Informe-guía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2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F3864"/>
      <w:sz w:val="25"/>
      <w:szCs w:val="25"/>
    </w:rPr>
  </w:style>
  <w:style w:type="paragraph" w:styleId="Heading3">
    <w:name w:val="Heading 3"/>
    <w:basedOn w:val="Normal"/>
    <w:next w:val="Normal"/>
    <w:qFormat/>
    <w:pPr>
      <w:spacing w:after="8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Generador IPERC Normativo Perú — Informe-guía</dc:title>
  <dc:subject>IPERC · SST · Ley 29783 · R.M. 050-2013-TR</dc:subject>
  <dc:creator>Ing. Pierre R. (peru.labs.pe@gmail.com)</dc:creator>
  <cp:keywords>IPERC SST Ley 29783 Pierre R. peru.labs.pe@gmail.com copyright</cp:keywords>
  <dc:description>© 2026 Ing. Pierre R. - peru.labs.pe@gmail.com - Generador IPERC Normativo Perú. Uso bajo licencia del autor.</dc:description>
  <cp:lastModifiedBy>Ing. Pierre R.</cp:lastModifiedBy>
  <cp:revision>1</cp:revision>
  <dcterms:created xsi:type="dcterms:W3CDTF">2026-06-29T13:55:36.314Z</dcterms:created>
  <dcterms:modified xsi:type="dcterms:W3CDTF">2026-06-29T13:55:36.314Z</dcterms:modified>
</cp:coreProperties>
</file>

<file path=docProps/custom.xml><?xml version="1.0" encoding="utf-8"?>
<Properties xmlns="http://schemas.openxmlformats.org/officeDocument/2006/custom-properties" xmlns:vt="http://schemas.openxmlformats.org/officeDocument/2006/docPropsVTypes"/>
</file>