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F9000"/>
          <w:sz w:val="24"/>
          <w:szCs w:val="24"/>
        </w:rPr>
        <w:t xml:space="preserve">SISTEMA DE GESTIÓN DE LA CALIDAD — SGC</w:t>
      </w:r>
    </w:p>
    <w:p>
      <w:pPr>
        <w:pBdr>
          <w:top w:val="single" w:color="1F3864" w:sz="10" w:space="8"/>
          <w:bottom w:val="single" w:color="1F3864" w:sz="10" w:space="8"/>
        </w:pBd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8"/>
          <w:szCs w:val="48"/>
        </w:rPr>
        <w:t xml:space="preserve">PLAN DE ACCIÓN DE MEJORA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Plantilla genérica y referencial — Tres niveles de aplicación: Básico · Intermedio · Avanzado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400"/>
      </w:tblGrid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del documento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PA-SGC-001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01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emisión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[9 de junio de 2026 — editar]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Proceso / Área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DEL PROCESO / ÁREA — ej. Gestión de Operaciones]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CARGO] — Plantilla base: Pierre R.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CARGO]</w:t>
            </w:r>
          </w:p>
        </w:tc>
      </w:tr>
      <w:tr>
        <w:tc>
          <w:tcPr>
            <w:tcW w:type="dxa" w:w="3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Aprobado por</w:t>
            </w:r>
          </w:p>
        </w:tc>
        <w:tc>
          <w:tcPr>
            <w:tcW w:type="dxa" w:w="7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 Y CARGO — Alta Dirección, cláusula 5.1 NTP-ISO 9001:2015]</w:t>
            </w:r>
          </w:p>
        </w:tc>
      </w:tr>
    </w:tbl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6"/>
          <w:szCs w:val="16"/>
        </w:rPr>
        <w:t xml:space="preserve">Documento elaborado conforme a NTP-ISO 9001:2015 (INACAL) y normativa peruana de modernización de la gestión pública.</w:t>
      </w:r>
    </w:p>
    <w:p>
      <w:r>
        <w:br w:type="page"/>
      </w: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CONTROL DE VERSIONES Y APROBACIÓN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Conforme al requisito de información documentada (cláusulas 7.5.2 y 7.5.3 de la NTP-ISO 9001:2015), todo cambio en este documento debe registrarse a continuación, asegurando identificación, revisión, aprobación y control de la distribución.</w:t>
      </w:r>
    </w:p>
    <w:p>
      <w:pPr>
        <w:spacing w:after="40" w:before="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200"/>
        <w:gridCol w:w="3200"/>
        <w:gridCol w:w="3278"/>
      </w:tblGrid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Elaborado / Modificado por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Emisión inicial del documento PA-SGC-001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1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[N°]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5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[DESCRIBIR CAMBIO]</w:t>
            </w:r>
          </w:p>
        </w:tc>
        <w:tc>
          <w:tcPr>
            <w:tcW w:type="dxa" w:w="3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  <w:tc>
          <w:tcPr>
            <w:tcW w:type="dxa" w:w="3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[NOMBRE]</w:t>
            </w:r>
          </w:p>
        </w:tc>
      </w:tr>
    </w:tbl>
    <w:p>
      <w:r>
        <w:br w:type="page"/>
      </w: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 OBJETIVO Y ALCANCE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Definir, priorizar y formalizar las acciones de mejora del proceso [NOMBRE DEL PROCESO], asignando responsables, plazos, recursos y mecanismos de verificación de eficacia, conforme a las cláusulas 6.2 (objetivos de la calidad y planificación para lograrlos), 10.2 (no conformidad y acción correctiva) y 10.3 (mejora continua) de la NTP-ISO 9001:2015.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9"/>
          <w:szCs w:val="19"/>
        </w:rPr>
        <w:t xml:space="preserve">Alcance: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9"/>
          <w:szCs w:val="19"/>
        </w:rPr>
        <w:t xml:space="preserve">Aplica a las acciones derivadas de: hallazgos de auditoría interna (ISO 19011:2018), no conformidades, resultados de indicadores (cláusula 9.1), análisis de brechas, quejas de clientes/usuarios, salidas de la revisión por la dirección (cláusula 9.3) y oportunidades de mejora identificadas mediante Kaizen, Lean o análisis de causa raíz.</w:t>
      </w:r>
    </w:p>
    <w:p>
      <w:pPr>
        <w:spacing w:after="80" w:before="0"/>
      </w:pPr>
    </w:p>
    <w:p>
      <w:pPr>
        <w:pBdr>
          <w:bottom w:val="single" w:color="BF9000" w:sz="8" w:space="2"/>
        </w:pBd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MARCO NORMATIVO Y DE BUENAS PRÁCTICAS DE REFERENCIA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Esta plantilla es genérica y referencial. Adáptela a la normativa interna de su organización (manual de calidad, procedimientos, directivas internas) y al marco legal sectorial aplicable. Referencias base:</w:t>
      </w:r>
    </w:p>
    <w:p>
      <w:pPr>
        <w:spacing w:after="40" w:before="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478"/>
      </w:tblGrid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Norma / Marco de referencia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Aplicación en este documento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(INACAL) — cláusula 6.2.2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Toda acción debe definir QUÉ se hará, QUÉ recursos se requerirán, QUIÉN será responsable, CUÁNDO finalizará y CÓMO se evaluarán los resultados. Esta estructura es la columna vertebral del plan.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— cláusulas 10.2.1 y 10.2.2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Las acciones correctivas deben atacar la causa raíz, verificar su eficacia y conservarse como información documentada. El nivel Avanzado de esta plantilla incorpora ambos requisitos.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NTP-ISO 9001:2015 — cláusula 10.3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La organización debe mejorar continuamente la conveniencia, adecuación y eficacia del SGC, considerando resultados de análisis y evaluación (9.1.3) y salidas de la revisión por la dirección (9.3).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Norma Técnica N° 001-2018-PCM/SGP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Implementación de la Gestión por Procesos en entidades de la administración pública peruana: las acciones de mejora cierran el ciclo de la fase de mejora de procesos (etapa 3).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DS N° 004-2013-PCM y DS N° 123-2018-PCM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Política Nacional de Modernización de la Gestión Pública y Sistema Administrativo de Modernización: exigen planes de mejora orientados a resultados para el ciudadano (aplicable a entidades públicas).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Ley N° 27658 — Ley Marco de Modernización de la Gestión del Estado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Sustenta la obligación de eficiencia y mejora continua en el sector público peruano.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ISO 31000:2018 / NTP-ISO 9001:2015 cláusula 6.1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Las acciones planificadas deben considerar riesgos y oportunidades; el nivel Avanzado incluye campo de riesgo asociado.</w:t>
            </w:r>
          </w:p>
        </w:tc>
      </w:tr>
      <w:tr>
        <w:tc>
          <w:tcPr>
            <w:tcW w:type="dxa" w:w="42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Buenas prácticas: 5W2H, SMART, Kaizen, PHVA, BPM CBOK v4.0</w:t>
            </w:r>
          </w:p>
        </w:tc>
        <w:tc>
          <w:tcPr>
            <w:tcW w:type="dxa" w:w="104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7"/>
                <w:szCs w:val="17"/>
              </w:rPr>
              <w:t xml:space="preserve">5W2H estructura cada acción; SMART asegura metas medibles; Kaizen prioriza mejoras rápidas de bajo costo; PHVA ordena la implementación; BPM CBOK guía la mejora de procesos de negocio.</w:t>
            </w:r>
          </w:p>
        </w:tc>
      </w:tr>
    </w:tbl>
    <w:p>
      <w:pPr>
        <w:spacing w:after="60" w:before="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Instrucciones de llenado: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los campos editables están marcados como [DATO]. Elija UN solo nivel (Básico, Intermedio o Avanzado) según la madurez de su SGC y elimine los demás antes de oficializar el documento. Conserve las referencias normativas del cuerpo.</w:t>
      </w:r>
    </w:p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BÁSICO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Para organizaciones que inician su SGC — lista simple de acciones con responsable y plazo (qué, quién, cuándo)</w:t>
            </w:r>
          </w:p>
        </w:tc>
      </w:tr>
    </w:tbl>
    <w:p>
      <w:pPr>
        <w:spacing w:after="6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1"/>
          <w:szCs w:val="21"/>
        </w:rPr>
        <w:t xml:space="preserve">3.1 Plan de Acción simplificado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600"/>
        <w:gridCol w:w="1900"/>
        <w:gridCol w:w="1900"/>
        <w:gridCol w:w="1700"/>
        <w:gridCol w:w="1978"/>
      </w:tblGrid>
      <w:tr>
        <w:tc>
          <w:tcPr>
            <w:tcW w:type="dxa" w:w="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 de mejora (¿Qué?)</w:t>
            </w:r>
          </w:p>
        </w:tc>
        <w:tc>
          <w:tcPr>
            <w:tcW w:type="dxa" w:w="2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 (¿Quién?)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inicio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fin (¿Cuándo?)</w:t>
            </w:r>
          </w:p>
        </w:tc>
        <w:tc>
          <w:tcPr>
            <w:tcW w:type="dxa" w:w="1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9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[ej. Actualizar el procedimiento de atención de pedidos]</w:t>
            </w:r>
          </w:p>
        </w:tc>
        <w:tc>
          <w:tcPr>
            <w:tcW w:type="dxa" w:w="2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[CARGO / NOMBRE]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5"/>
                <w:szCs w:val="15"/>
              </w:rPr>
              <w:t xml:space="preserve">[Pendiente / En curso / Concluida]</w:t>
            </w:r>
          </w:p>
        </w:tc>
        <w:tc>
          <w:tcPr>
            <w:tcW w:type="dxa" w:w="19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[NOTA]</w:t>
            </w:r>
          </w:p>
        </w:tc>
      </w:tr>
      <w:tr>
        <w:tc>
          <w:tcPr>
            <w:tcW w:type="dxa" w:w="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[DESCRIBIR ACCIÓN]</w:t>
            </w:r>
          </w:p>
        </w:tc>
        <w:tc>
          <w:tcPr>
            <w:tcW w:type="dxa" w:w="2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[CARGO / NOMBRE]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5"/>
                <w:szCs w:val="15"/>
              </w:rPr>
              <w:t xml:space="preserve">[Pendiente / En curso / Concluida]</w:t>
            </w:r>
          </w:p>
        </w:tc>
        <w:tc>
          <w:tcPr>
            <w:tcW w:type="dxa" w:w="19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[NOTA]</w:t>
            </w:r>
          </w:p>
        </w:tc>
      </w:tr>
      <w:tr>
        <w:tc>
          <w:tcPr>
            <w:tcW w:type="dxa" w:w="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[DESCRIBIR ACCIÓN]</w:t>
            </w:r>
          </w:p>
        </w:tc>
        <w:tc>
          <w:tcPr>
            <w:tcW w:type="dxa" w:w="2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[CARGO / NOMBRE]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9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7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5"/>
                <w:szCs w:val="15"/>
              </w:rPr>
              <w:t xml:space="preserve">[Pendiente / En curso / Concluida]</w:t>
            </w:r>
          </w:p>
        </w:tc>
        <w:tc>
          <w:tcPr>
            <w:tcW w:type="dxa" w:w="19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[NOTA]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32"/>
          <w:sz w:val="18"/>
          <w:szCs w:val="18"/>
        </w:rPr>
        <w:t xml:space="preserve">Buena práctica: no exceda de 5 a 10 acciones simultáneas; priorice las de mayor impacto y menor esfuerzo (matriz impacto/esfuerzo, enfoque Kaizen).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D32"/>
          <w:sz w:val="18"/>
          <w:szCs w:val="18"/>
        </w:rPr>
        <w:t xml:space="preserve">Referencia normativa mínima: cláusula 10.3 NTP-ISO 9001:2015 — la mejora continua no exige métodos complejos, solo evidencia de que se planifica y ejecuta.</w:t>
      </w:r>
    </w:p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B45309" w:sz="12"/>
              <w:left w:val="single" w:color="B45309" w:sz="12"/>
              <w:bottom w:val="single" w:color="B45309" w:sz="12"/>
              <w:right w:val="single" w:color="B45309" w:sz="1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INTERMEDIO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SGC en consolidación — estructura 5W2H completa con recursos, costo estimado e indicador de cumplimiento</w:t>
            </w:r>
          </w:p>
        </w:tc>
      </w:tr>
    </w:tbl>
    <w:p>
      <w:pPr>
        <w:spacing w:after="6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3.2 Plan de Acción 5W2H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100"/>
        <w:gridCol w:w="1800"/>
        <w:gridCol w:w="1500"/>
        <w:gridCol w:w="1500"/>
        <w:gridCol w:w="2000"/>
        <w:gridCol w:w="1400"/>
        <w:gridCol w:w="1278"/>
      </w:tblGrid>
      <w:tr>
        <w:tc>
          <w:tcPr>
            <w:tcW w:type="dxa" w:w="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¿Qué? (Acción)</w:t>
            </w:r>
          </w:p>
        </w:tc>
        <w:tc>
          <w:tcPr>
            <w:tcW w:type="dxa" w:w="21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¿Por qué? (Causa / hallazgo)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¿Quién?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¿Dónde?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¿Cuándo?</w:t>
            </w:r>
          </w:p>
        </w:tc>
        <w:tc>
          <w:tcPr>
            <w:tcW w:type="dxa" w:w="2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¿Cómo? (Método / recursos)</w:t>
            </w:r>
          </w:p>
        </w:tc>
        <w:tc>
          <w:tcPr>
            <w:tcW w:type="dxa" w:w="1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¿Cuánto? (Costo S/)</w:t>
            </w:r>
          </w:p>
        </w:tc>
        <w:tc>
          <w:tcPr>
            <w:tcW w:type="dxa" w:w="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Avance</w:t>
            </w:r>
          </w:p>
        </w:tc>
      </w:tr>
      <w:tr>
        <w:tc>
          <w:tcPr>
            <w:tcW w:type="dxa" w:w="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[ACCIÓN]</w:t>
            </w:r>
          </w:p>
        </w:tc>
        <w:tc>
          <w:tcPr>
            <w:tcW w:type="dxa" w:w="21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[CAUSA RAÍZ u origen: auditoría, KPI, queja]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[ÁREA / SEDE]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[MÉTODO + RECURSOS, cláusula 7.1]</w:t>
            </w:r>
          </w:p>
        </w:tc>
        <w:tc>
          <w:tcPr>
            <w:tcW w:type="dxa" w:w="1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 0.00]</w:t>
            </w:r>
          </w:p>
        </w:tc>
        <w:tc>
          <w:tcPr>
            <w:tcW w:type="dxa" w:w="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[0–100%]</w:t>
            </w:r>
          </w:p>
        </w:tc>
      </w:tr>
      <w:tr>
        <w:tc>
          <w:tcPr>
            <w:tcW w:type="dxa" w:w="6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[ACCIÓN]</w:t>
            </w:r>
          </w:p>
        </w:tc>
        <w:tc>
          <w:tcPr>
            <w:tcW w:type="dxa" w:w="21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[CAUSA RAÍZ u origen: auditoría, KPI, queja]</w:t>
            </w:r>
          </w:p>
        </w:tc>
        <w:tc>
          <w:tcPr>
            <w:tcW w:type="dxa" w:w="1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[RESPONSABLE]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[ÁREA / SEDE]</w:t>
            </w:r>
          </w:p>
        </w:tc>
        <w:tc>
          <w:tcPr>
            <w:tcW w:type="dxa" w:w="15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2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>[MÉTODO + RECURSOS, cláusula 7.1]</w:t>
            </w:r>
          </w:p>
        </w:tc>
        <w:tc>
          <w:tcPr>
            <w:tcW w:type="dxa" w:w="1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[S/ 0.00]</w:t>
            </w:r>
          </w:p>
        </w:tc>
        <w:tc>
          <w:tcPr>
            <w:tcW w:type="dxa" w:w="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[0–100%]</w:t>
            </w:r>
          </w:p>
        </w:tc>
      </w:tr>
    </w:tbl>
    <w:p>
      <w:pPr>
        <w:spacing w:after="8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B45309"/>
          <w:sz w:val="21"/>
          <w:szCs w:val="21"/>
        </w:rPr>
        <w:t xml:space="preserve">Criterios de priorización sugeridos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  <w:gridCol w:w="5878"/>
      </w:tblGrid>
      <w:tr>
        <w:tc>
          <w:tcPr>
            <w:tcW w:type="dxa" w:w="3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5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Escala sugerida</w:t>
            </w:r>
          </w:p>
        </w:tc>
      </w:tr>
      <w:tr>
        <w:tc>
          <w:tcPr>
            <w:tcW w:type="dxa" w:w="3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Impacto en el cliente/usuario</w:t>
            </w:r>
          </w:p>
        </w:tc>
        <w:tc>
          <w:tcPr>
            <w:tcW w:type="dxa" w:w="5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Efecto sobre la satisfacción y conformidad del producto/servicio (cláusula 9.1.2).</w:t>
            </w:r>
          </w:p>
        </w:tc>
        <w:tc>
          <w:tcPr>
            <w:tcW w:type="dxa" w:w="5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Alto (3) / Medio (2) / Bajo (1)</w:t>
            </w:r>
          </w:p>
        </w:tc>
      </w:tr>
      <w:tr>
        <w:tc>
          <w:tcPr>
            <w:tcW w:type="dxa" w:w="3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Urgencia normativa</w:t>
            </w:r>
          </w:p>
        </w:tc>
        <w:tc>
          <w:tcPr>
            <w:tcW w:type="dxa" w:w="5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Vinculación con no conformidades abiertas o requisitos legales (cláusula 8.2.2).</w:t>
            </w:r>
          </w:p>
        </w:tc>
        <w:tc>
          <w:tcPr>
            <w:tcW w:type="dxa" w:w="5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Alto (3) / Medio (2) / Bajo (1)</w:t>
            </w:r>
          </w:p>
        </w:tc>
      </w:tr>
      <w:tr>
        <w:tc>
          <w:tcPr>
            <w:tcW w:type="dxa" w:w="3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Esfuerzo / costo</w:t>
            </w:r>
          </w:p>
        </w:tc>
        <w:tc>
          <w:tcPr>
            <w:tcW w:type="dxa" w:w="5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Recursos requeridos; privilegiar quick wins (Kaizen).</w:t>
            </w:r>
          </w:p>
        </w:tc>
        <w:tc>
          <w:tcPr>
            <w:tcW w:type="dxa" w:w="5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Bajo (3) / Medio (2) / Alto (1)</w:t>
            </w:r>
          </w:p>
        </w:tc>
      </w:tr>
      <w:tr>
        <w:tc>
          <w:tcPr>
            <w:tcW w:type="dxa" w:w="30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Puntaje total</w:t>
            </w:r>
          </w:p>
        </w:tc>
        <w:tc>
          <w:tcPr>
            <w:tcW w:type="dxa" w:w="58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Suma de criterios; ejecutar primero las acciones con mayor puntaje.</w:t>
            </w:r>
          </w:p>
        </w:tc>
        <w:tc>
          <w:tcPr>
            <w:tcW w:type="dxa" w:w="58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3 a 9 puntos</w:t>
            </w:r>
          </w:p>
        </w:tc>
      </w:tr>
    </w:tbl>
    <w:p>
      <w:r>
        <w:br w:type="page"/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W w:type="dxa" w:w="14678"/>
            <w:tcBorders>
              <w:top w:val="single" w:color="4A148C" w:sz="12"/>
              <w:left w:val="single" w:color="4A148C" w:sz="12"/>
              <w:bottom w:val="single" w:color="4A148C" w:sz="12"/>
              <w:right w:val="single" w:color="4A148C" w:sz="1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NIVEL AVANZADO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SGC maduro — trazabilidad causa raíz → acción → riesgo → KPI → verificación de eficacia (10.2.1.d), integrado al ciclo PHVA</w:t>
            </w:r>
          </w:p>
        </w:tc>
      </w:tr>
    </w:tbl>
    <w:p>
      <w:pPr>
        <w:spacing w:after="6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3.3 Ficha de acción de mejora con trazabilidad completa (una ficha por acción)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278"/>
      </w:tblGrid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Código de acción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[AC-AAAA-N° — vincular con Matriz de Hallazgos MH-SGC-001 y Matriz de Seguimiento MS-SGC-003]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Origen / fuente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[Auditoría interna (ISO 19011) / NC / KPI fuera de meta (9.1) / queja / revisión por la dirección (9.3) / análisis de brechas / evento Kaizen]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Descripción del problema u oportunidad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[SITUACIÓN ACTUAL CON DATOS: indicador, línea base, evidencia]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Causa raíz identificada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[RESULTADO de Ishikawa / 5 Porqués / árbol de problemas — adjuntar análisis, cláusula 10.2.1.b]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Tipo de acción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[Corrección inmediata / Acción correctiva (10.2) / Acción de mejora (10.3) / Acción frente a riesgo u oportunidad (6.1)]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Acción planificada (SMART)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[Específica, Medible, Alcanzable, Relevante y con plazo definido — cláusula 6.2.1]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Riesgo asociado y control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[RIESGO de no implementar o de implementación fallida + control mitigante — ISO 31000:2018, matriz probabilidad × impacto]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Responsable / equipo (RACI)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[R: ejecuta · A: aprueba · C: consultado · I: informado]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Recursos y presupuesto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[PERSONAS, infraestructura, ambiente, conocimiento — cláusulas 7.1.2 a 7.1.6 · S/ MONTO]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Plazo (inicio – fin)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[DD/MM/AAAA – DD/MM/AAAA — trasladar al Cronograma CR-SGC-002]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KPI de eficacia y meta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[INDICADOR + fórmula + línea base + meta + fecha de medición — vincular a Ficha de Indicadores]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Etapa PHVA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[P: planificada / H: en ejecución / V: en verificación / A: estandarizada o reprogramada]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Verificación de eficacia (10.2.1.d)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[FECHA + responsable + método + resultado: Eficaz / No eficaz → si no eficaz, nueva acción y actualización de riesgos (10.2.1.e)]</w:t>
            </w:r>
          </w:p>
        </w:tc>
      </w:tr>
      <w:tr>
        <w:tc>
          <w:tcPr>
            <w:tcW w:type="dxa" w:w="3400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Estandarización / lecciones aprendidas</w:t>
            </w:r>
          </w:p>
        </w:tc>
        <w:tc>
          <w:tcPr>
            <w:tcW w:type="dxa" w:w="11278"/>
            <w:tcBorders>
              <w:top w:val="single" w:color="B0B7C3" w:sz="2"/>
              <w:left w:val="single" w:color="B0B7C3" w:sz="2"/>
              <w:bottom w:val="single" w:color="B0B7C3" w:sz="2"/>
              <w:right w:val="single" w:color="B0B7C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2626"/>
                <w:sz w:val="18"/>
                <w:szCs w:val="18"/>
              </w:rPr>
              <w:t xml:space="preserve">[ACTUALIZACIÓN de procedimientos, capacitación, réplica en otros procesos — cierre del ciclo PHVA y gestión del conocimiento (7.1.6)]</w:t>
            </w:r>
          </w:p>
        </w:tc>
      </w:tr>
    </w:tbl>
    <w:p>
      <w:pPr>
        <w:spacing w:after="80" w:before="0"/>
      </w:pPr>
    </w:p>
    <w:p>
      <w:pPr>
        <w:spacing w:after="70" w:before="140"/>
      </w:pPr>
      <w:r>
        <w:rPr>
          <w:rFonts w:ascii="Arial" w:cs="Arial" w:eastAsia="Arial" w:hAnsi="Arial"/>
          <w:b/>
          <w:bCs/>
          <w:i w:val="false"/>
          <w:iCs w:val="false"/>
          <w:color w:val="4A148C"/>
          <w:sz w:val="21"/>
          <w:szCs w:val="21"/>
        </w:rPr>
        <w:t xml:space="preserve">Reglas de gestión del nivel Avanzado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Ninguna acción se cierra sin verificación de eficacia documentada (cláusula 10.2.1.d) y evidencia objetiva (registro, dato del KPI).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Las acciones no eficaces retornan al análisis de causa raíz; está prohibido cerrar por vencimiento de plazo.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El plan se revisa en cada revisión por la dirección (cláusula 9.3.2.c.4: eficacia de las acciones tomadas frente a riesgos y oportunidades).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18"/>
          <w:szCs w:val="18"/>
        </w:rPr>
        <w:t xml:space="preserve">En entidades públicas peruanas, alinear las acciones al Plan Operativo Institucional (POI) y a la Norma Técnica N° 001-2018-PCM/SGP.</w:t>
      </w:r>
    </w:p>
    <w:p>
      <w:pPr>
        <w:spacing w:after="12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5"/>
          <w:szCs w:val="15"/>
        </w:rPr>
        <w:t xml:space="preserve">Elaborado sobre plantilla base de Pierre R. — Documento genérico y referencial: adecúe campos, criterios y referencias a la normativa interna de su organización.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2"/>
      </w:pBdr>
      <w:tabs>
        <w:tab w:val="right" w:pos="1467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F7F7F"/>
        <w:sz w:val="14"/>
        <w:szCs w:val="14"/>
      </w:rPr>
      <w:t xml:space="preserve">PA-SGC-001 · Plantilla genérica referencial · Autoría: Pierre R.</w:t>
    </w:r>
    <w:r>
      <w:rPr>
        <w:rFonts w:ascii="Arial" w:cs="Arial" w:eastAsia="Arial" w:hAnsi="Arial"/>
        <w:color w:val="7F7F7F"/>
        <w:sz w:val="14"/>
        <w:szCs w:val="14"/>
      </w:rPr>
      <w:t xml:space="preserve">	Página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4"/>
        <w:szCs w:val="14"/>
      </w:rPr>
      <w:t xml:space="preserve"> de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9000" w:sz="6" w:space="2"/>
      </w:pBdr>
      <w:tabs>
        <w:tab w:val="right" w:pos="14678"/>
      </w:tabs>
    </w:pPr>
    <w:r>
      <w:rPr>
        <w:rFonts w:ascii="Arial" w:cs="Arial" w:eastAsia="Arial" w:hAnsi="Arial"/>
        <w:b/>
        <w:bCs/>
        <w:i w:val="false"/>
        <w:iCs w:val="false"/>
        <w:color w:val="1F3864"/>
        <w:sz w:val="14"/>
        <w:szCs w:val="14"/>
      </w:rPr>
      <w:t xml:space="preserve">PLAN DE ACCIÓN DE MEJORA</w:t>
    </w:r>
    <w:r>
      <w:rPr>
        <w:rFonts w:ascii="Arial" w:cs="Arial" w:eastAsia="Arial" w:hAnsi="Arial"/>
        <w:color w:val="7F7F7F"/>
        <w:sz w:val="14"/>
        <w:szCs w:val="14"/>
      </w:rPr>
      <w:t xml:space="preserve">	SGC — Mejora Continua (PHVA)</w:t>
    </w:r>
  </w:p>
  <w:p>
    <w:pPr>
      <w:rPr>
        <w:noProof/>
      </w:rPr>
    </w:pPr>
    <w:r>
      <w:rPr>
        <w:noProof/>
      </w:rPr>
      <w:pict xmlns:v="urn:schemas-microsoft-com:vml" xmlns:o="urn:schemas-microsoft-com:office:offi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585pt;height:97.5pt;rotation:315;z-index:-251658752;mso-position-horizontal:center;mso-position-horizontal-relative:margin;mso-position-vertical:center;mso-position-vertical-relative:margin" o:allowincell="f" fillcolor="#bf9000" stroked="f">
          <v:fill opacity="13107f"/>
          <v:textpath style="font-family:&quot;Arial&quot;;font-size:1pt" string="Pierre R.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2026-06-09T23:44:58.631Z</dcterms:created>
  <dcterms:modified xsi:type="dcterms:W3CDTF">2026-06-09T23:44:58.631Z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