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F9000"/>
          <w:sz w:val="24"/>
          <w:szCs w:val="24"/>
        </w:rPr>
        <w:t xml:space="preserve">SISTEMA DE GESTIÓN DE LA CALIDAD — SGC</w:t>
      </w:r>
    </w:p>
    <w:p>
      <w:pPr>
        <w:pBdr>
          <w:top w:val="single" w:color="1F3864" w:sz="10" w:space="8"/>
          <w:bottom w:val="single" w:color="1F3864" w:sz="10" w:space="8"/>
        </w:pBd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8"/>
          <w:szCs w:val="48"/>
        </w:rPr>
        <w:t xml:space="preserve">REPORTE DE MEJORA DE PROCESO</w:t>
      </w:r>
    </w:p>
    <w:p>
      <w:pPr>
        <w:spacing w:after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Plantilla genérica y referencial — Tres niveles de aplicación: Básico · Intermedio · Avanzado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400"/>
      </w:tblGrid>
      <w:tr>
        <w:tc>
          <w:tcPr>
            <w:tcW w:type="dxa" w:w="36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 del documento</w:t>
            </w:r>
          </w:p>
        </w:tc>
        <w:tc>
          <w:tcPr>
            <w:tcW w:type="dxa" w:w="7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RM-SGC-004</w:t>
            </w:r>
          </w:p>
        </w:tc>
      </w:tr>
      <w:tr>
        <w:tc>
          <w:tcPr>
            <w:tcW w:type="dxa" w:w="36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7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01</w:t>
            </w:r>
          </w:p>
        </w:tc>
      </w:tr>
      <w:tr>
        <w:tc>
          <w:tcPr>
            <w:tcW w:type="dxa" w:w="36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Fecha de emisión</w:t>
            </w:r>
          </w:p>
        </w:tc>
        <w:tc>
          <w:tcPr>
            <w:tcW w:type="dxa" w:w="7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[9 de junio de 2026 — editar]</w:t>
            </w:r>
          </w:p>
        </w:tc>
      </w:tr>
      <w:tr>
        <w:tc>
          <w:tcPr>
            <w:tcW w:type="dxa" w:w="36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Proceso / Área</w:t>
            </w:r>
          </w:p>
        </w:tc>
        <w:tc>
          <w:tcPr>
            <w:tcW w:type="dxa" w:w="7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[NOMBRE DEL PROCESO / ÁREA]</w:t>
            </w:r>
          </w:p>
        </w:tc>
      </w:tr>
      <w:tr>
        <w:tc>
          <w:tcPr>
            <w:tcW w:type="dxa" w:w="36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7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[NOMBRE Y CARGO] — Plantilla base: Pierre R.</w:t>
            </w:r>
          </w:p>
        </w:tc>
      </w:tr>
      <w:tr>
        <w:tc>
          <w:tcPr>
            <w:tcW w:type="dxa" w:w="36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Revisado por</w:t>
            </w:r>
          </w:p>
        </w:tc>
        <w:tc>
          <w:tcPr>
            <w:tcW w:type="dxa" w:w="7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[NOMBRE Y CARGO]</w:t>
            </w:r>
          </w:p>
        </w:tc>
      </w:tr>
      <w:tr>
        <w:tc>
          <w:tcPr>
            <w:tcW w:type="dxa" w:w="36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Aprobado por</w:t>
            </w:r>
          </w:p>
        </w:tc>
        <w:tc>
          <w:tcPr>
            <w:tcW w:type="dxa" w:w="7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[NOMBRE Y CARGO — Alta Dirección, cláusula 5.1 NTP-ISO 9001:2015]</w:t>
            </w:r>
          </w:p>
        </w:tc>
      </w:tr>
    </w:tbl>
    <w:p>
      <w:pPr>
        <w:spacing w:after="300" w:before="0"/>
      </w:pP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6"/>
          <w:szCs w:val="16"/>
        </w:rPr>
        <w:t xml:space="preserve">Documento elaborado conforme a NTP-ISO 9001:2015 (INACAL) y normativa peruana de modernización de la gestión pública.</w:t>
      </w:r>
    </w:p>
    <w:p>
      <w:r>
        <w:br w:type="page"/>
      </w:r>
    </w:p>
    <w:p>
      <w:pPr>
        <w:pBdr>
          <w:bottom w:val="single" w:color="BF9000" w:sz="8" w:space="2"/>
        </w:pBd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CONTROL DE VERSIONES Y APROBACIÓN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8"/>
          <w:szCs w:val="18"/>
        </w:rPr>
        <w:t xml:space="preserve">Conforme al requisito de información documentada (cláusulas 7.5.2 y 7.5.3 de la NTP-ISO 9001:2015), todo cambio en este documento debe registrarse a continuación, asegurando identificación, revisión, aprobación y control de la distribución.</w:t>
      </w:r>
    </w:p>
    <w:p>
      <w:pPr>
        <w:spacing w:after="40" w:before="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5200"/>
        <w:gridCol w:w="3200"/>
        <w:gridCol w:w="3278"/>
      </w:tblGrid>
      <w:tr>
        <w:tc>
          <w:tcPr>
            <w:tcW w:type="dxa" w:w="1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8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5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del cambio</w:t>
            </w:r>
          </w:p>
        </w:tc>
        <w:tc>
          <w:tcPr>
            <w:tcW w:type="dxa" w:w="3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Elaborado / Modificado por</w:t>
            </w:r>
          </w:p>
        </w:tc>
        <w:tc>
          <w:tcPr>
            <w:tcW w:type="dxa" w:w="3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Aprobado por</w:t>
            </w:r>
          </w:p>
        </w:tc>
      </w:tr>
      <w:tr>
        <w:tc>
          <w:tcPr>
            <w:tcW w:type="dxa" w:w="1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01</w:t>
            </w:r>
          </w:p>
        </w:tc>
        <w:tc>
          <w:tcPr>
            <w:tcW w:type="dxa" w:w="18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5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Emisión inicial del documento RM-SGC-004</w:t>
            </w:r>
          </w:p>
        </w:tc>
        <w:tc>
          <w:tcPr>
            <w:tcW w:type="dxa" w:w="3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[NOMBRE]</w:t>
            </w:r>
          </w:p>
        </w:tc>
        <w:tc>
          <w:tcPr>
            <w:tcW w:type="dxa" w:w="3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[NOMBRE]</w:t>
            </w:r>
          </w:p>
        </w:tc>
      </w:tr>
      <w:tr>
        <w:tc>
          <w:tcPr>
            <w:tcW w:type="dxa" w:w="1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[N°]</w:t>
            </w:r>
          </w:p>
        </w:tc>
        <w:tc>
          <w:tcPr>
            <w:tcW w:type="dxa" w:w="18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5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[DESCRIBIR CAMBIO]</w:t>
            </w:r>
          </w:p>
        </w:tc>
        <w:tc>
          <w:tcPr>
            <w:tcW w:type="dxa" w:w="3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[NOMBRE]</w:t>
            </w:r>
          </w:p>
        </w:tc>
        <w:tc>
          <w:tcPr>
            <w:tcW w:type="dxa" w:w="3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[NOMBRE]</w:t>
            </w:r>
          </w:p>
        </w:tc>
      </w:tr>
    </w:tbl>
    <w:p>
      <w:r>
        <w:br w:type="page"/>
      </w:r>
    </w:p>
    <w:p>
      <w:pPr>
        <w:pBdr>
          <w:bottom w:val="single" w:color="BF9000" w:sz="8" w:space="2"/>
        </w:pBd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1. OBJETIVO Y ALCANCE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Objetivo: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9"/>
          <w:szCs w:val="19"/>
        </w:rPr>
        <w:t xml:space="preserve">Documentar y comunicar los resultados de las acciones de mejora implementadas en el proceso [NOMBRE DEL PROCESO], comparando la situación inicial (línea base) con la situación posterior, cuantificando beneficios y registrando lecciones aprendidas, como evidencia del cumplimiento de las cláusulas 9.1.3 (análisis y evaluación) y 10.3 (mejora continua) de la NTP-ISO 9001:2015.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Uso previsto: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9"/>
          <w:szCs w:val="19"/>
        </w:rPr>
        <w:t xml:space="preserve">Entrada para la revisión por la dirección (cláusula 9.3.2.c: información sobre el desempeño y la eficacia del SGC, incluido el desempeño de los procesos y el grado de logro de los objetivos de la calidad).</w:t>
      </w:r>
    </w:p>
    <w:p>
      <w:pPr>
        <w:spacing w:after="80" w:before="0"/>
      </w:pPr>
    </w:p>
    <w:p>
      <w:pPr>
        <w:pBdr>
          <w:bottom w:val="single" w:color="BF9000" w:sz="8" w:space="2"/>
        </w:pBd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MARCO NORMATIVO Y DE BUENAS PRÁCTICAS DE REFERENCIA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8"/>
          <w:szCs w:val="18"/>
        </w:rPr>
        <w:t xml:space="preserve">Esta plantilla es genérica y referencial. Adáptela a la normativa interna de su organización (manual de calidad, procedimientos, directivas internas) y al marco legal sectorial aplicable. Referencias base:</w:t>
      </w:r>
    </w:p>
    <w:p>
      <w:pPr>
        <w:spacing w:after="40" w:before="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478"/>
      </w:tblGrid>
      <w:tr>
        <w:tc>
          <w:tcPr>
            <w:tcW w:type="dxa" w:w="4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Norma / Marco de referencia</w:t>
            </w:r>
          </w:p>
        </w:tc>
        <w:tc>
          <w:tcPr>
            <w:tcW w:type="dxa" w:w="104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Aplicación en este documento</w:t>
            </w:r>
          </w:p>
        </w:tc>
      </w:tr>
      <w:tr>
        <w:tc>
          <w:tcPr>
            <w:tcW w:type="dxa" w:w="4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NTP-ISO 9001:2015 — cláusula 9.1.3</w:t>
            </w:r>
          </w:p>
        </w:tc>
        <w:tc>
          <w:tcPr>
            <w:tcW w:type="dxa" w:w="104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El reporte materializa el análisis y evaluación de datos: desempeño del proceso, eficacia de las acciones y necesidad de mejoras.</w:t>
            </w:r>
          </w:p>
        </w:tc>
      </w:tr>
      <w:tr>
        <w:tc>
          <w:tcPr>
            <w:tcW w:type="dxa" w:w="4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NTP-ISO 9001:2015 — cláusulas 10.1 y 10.3</w:t>
            </w:r>
          </w:p>
        </w:tc>
        <w:tc>
          <w:tcPr>
            <w:tcW w:type="dxa" w:w="104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Evidencia de que la organización determina y selecciona oportunidades de mejora y mejora continuamente la eficacia del SGC.</w:t>
            </w:r>
          </w:p>
        </w:tc>
      </w:tr>
      <w:tr>
        <w:tc>
          <w:tcPr>
            <w:tcW w:type="dxa" w:w="4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NTP-ISO 9001:2015 — cláusula 9.3</w:t>
            </w:r>
          </w:p>
        </w:tc>
        <w:tc>
          <w:tcPr>
            <w:tcW w:type="dxa" w:w="104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El reporte es insumo directo de la revisión por la dirección; sus conclusiones alimentan decisiones sobre recursos y cambios al SGC.</w:t>
            </w:r>
          </w:p>
        </w:tc>
      </w:tr>
      <w:tr>
        <w:tc>
          <w:tcPr>
            <w:tcW w:type="dxa" w:w="4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Ciclo PHVA (Deming) y Kaizen</w:t>
            </w:r>
          </w:p>
        </w:tc>
        <w:tc>
          <w:tcPr>
            <w:tcW w:type="dxa" w:w="104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El nivel Intermedio estructura el reporte según Planificar–Hacer–Verificar–Actuar; Kaizen aporta el formato de mejora rápida.</w:t>
            </w:r>
          </w:p>
        </w:tc>
      </w:tr>
      <w:tr>
        <w:tc>
          <w:tcPr>
            <w:tcW w:type="dxa" w:w="4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Six Sigma — DMAIC / Informe A3 (Lean)</w:t>
            </w:r>
          </w:p>
        </w:tc>
        <w:tc>
          <w:tcPr>
            <w:tcW w:type="dxa" w:w="104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El nivel Avanzado adopta la lógica DMAIC (Definir, Medir, Analizar, Mejorar, Controlar) y el informe A3 de Toyota como buenas prácticas internacionales.</w:t>
            </w:r>
          </w:p>
        </w:tc>
      </w:tr>
      <w:tr>
        <w:tc>
          <w:tcPr>
            <w:tcW w:type="dxa" w:w="4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Norma Técnica N° 001-2018-PCM/SGP y DS N° 123-2018-PCM</w:t>
            </w:r>
          </w:p>
        </w:tc>
        <w:tc>
          <w:tcPr>
            <w:tcW w:type="dxa" w:w="104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En entidades públicas peruanas, los reportes de mejora sustentan la medición y mejora de procesos exigida por el Sistema Administrativo de Modernización.</w:t>
            </w:r>
          </w:p>
        </w:tc>
      </w:tr>
      <w:tr>
        <w:tc>
          <w:tcPr>
            <w:tcW w:type="dxa" w:w="4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BPM CBOK v4.0 (ABPMP) — cap. Gestión del Desempeño</w:t>
            </w:r>
          </w:p>
        </w:tc>
        <w:tc>
          <w:tcPr>
            <w:tcW w:type="dxa" w:w="104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Buenas prácticas para medir desempeño de procesos: eficiencia, eficacia, adaptabilidad y comparación AS-IS vs TO-BE.</w:t>
            </w:r>
          </w:p>
        </w:tc>
      </w:tr>
    </w:tbl>
    <w:p>
      <w:pPr>
        <w:spacing w:after="60" w:before="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8"/>
          <w:szCs w:val="18"/>
        </w:rPr>
        <w:t xml:space="preserve">Instrucciones de llenado: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8"/>
          <w:szCs w:val="18"/>
        </w:rPr>
        <w:t xml:space="preserve">los campos editables están marcados como [DATO]. Elija UN solo nivel (Básico, Intermedio o Avanzado) según la madurez de su SGC y elimine los demás antes de oficializar el documento. Conserve las referencias normativas del cuerpo.</w:t>
      </w:r>
    </w:p>
    <w:p>
      <w:r>
        <w:br w:type="page"/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NIVEL BÁSICO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Reporte de una página — antes/después con resultado simple, ideal para mejoras Kaizen o quick wins</w:t>
            </w:r>
          </w:p>
        </w:tc>
      </w:tr>
    </w:tbl>
    <w:p>
      <w:pPr>
        <w:spacing w:after="60" w:before="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278"/>
      </w:tblGrid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Título de la mejora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[NOMBRE CORTO — ej. Reducción del tiempo de despacho de pedidos]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Proceso / área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[PROCESO]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Problema u oportunidad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[QUÉ ocurría antes — describir con un dato si es posible]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Qué se hizo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[ACCIÓN implementada, fecha y responsable]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Situación ANTES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[DATO o descripción — ej. 48 horas promedio]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Situación DESPUÉS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[DATO o descripción — ej. 24 horas promedio]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Resultado / beneficio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[MEJORA lograda en %, tiempo, costo o satisfacción]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¿Se mantiene en el tiempo?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[SÍ / NO — cómo se asegurará (instructivo, capacitación, control visual)]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Elaborado por / fecha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[NOMBRE — DD/MM/AAAA]</w:t>
            </w:r>
          </w:p>
        </w:tc>
      </w:tr>
    </w:tbl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D32"/>
          <w:sz w:val="18"/>
          <w:szCs w:val="18"/>
        </w:rPr>
        <w:t xml:space="preserve">Buena práctica Kaizen: acompañe el reporte con fotos o capturas del antes/después; la evidencia visual facilita la réplica.</w:t>
      </w:r>
    </w:p>
    <w:p>
      <w:r>
        <w:br w:type="page"/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single" w:color="B45309" w:sz="12"/>
              <w:left w:val="single" w:color="B45309" w:sz="12"/>
              <w:bottom w:val="single" w:color="B45309" w:sz="12"/>
              <w:right w:val="single" w:color="B45309" w:sz="12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NIVEL INTERMEDIO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Reporte estructurado según el ciclo PHVA con indicadores antes/después y análisis de causa raíz resumido</w:t>
            </w:r>
          </w:p>
        </w:tc>
      </w:tr>
    </w:tbl>
    <w:p>
      <w:pPr>
        <w:spacing w:after="60" w:before="0"/>
      </w:pPr>
    </w:p>
    <w:p>
      <w:pPr>
        <w:spacing w:after="70" w:before="140"/>
      </w:pPr>
      <w:r>
        <w:rPr>
          <w:rFonts w:ascii="Arial" w:cs="Arial" w:eastAsia="Arial" w:hAnsi="Arial"/>
          <w:b/>
          <w:bCs/>
          <w:i w:val="false"/>
          <w:iCs w:val="false"/>
          <w:color w:val="B45309"/>
          <w:sz w:val="21"/>
          <w:szCs w:val="21"/>
        </w:rPr>
        <w:t xml:space="preserve">Sección P — PLANIFICAR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278"/>
      </w:tblGrid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Problema / oportunidad y línea base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[DESCRIPCIÓN + dato de partida del indicador, periodo de medición y fuente (9.1.1)]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Causa raíz (resumen)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[MÉTODO usado: Ishikawa / 5 Porqués + causa(s) validada(s)]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Objetivo de mejora (SMART)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[META cuantificada y plazo — cláusula 6.2]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i w:val="false"/>
          <w:iCs w:val="false"/>
          <w:color w:val="B45309"/>
          <w:sz w:val="21"/>
          <w:szCs w:val="21"/>
        </w:rPr>
        <w:t xml:space="preserve">Sección H — HACER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278"/>
      </w:tblGrid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Acciones implementadas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[LISTA de acciones del Plan PA-SGC-001 ejecutadas, con fechas reales]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Desviaciones del plan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[QUÉ cambió respecto al cronograma CR-SGC-002 y por qué]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i w:val="false"/>
          <w:iCs w:val="false"/>
          <w:color w:val="B45309"/>
          <w:sz w:val="21"/>
          <w:szCs w:val="21"/>
        </w:rPr>
        <w:t xml:space="preserve">Sección V — VERIFICAR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300"/>
        <w:gridCol w:w="2300"/>
        <w:gridCol w:w="2300"/>
        <w:gridCol w:w="2300"/>
        <w:gridCol w:w="1878"/>
      </w:tblGrid>
      <w:tr>
        <w:tc>
          <w:tcPr>
            <w:tcW w:type="dxa" w:w="36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Indicador (KPI)</w:t>
            </w:r>
          </w:p>
        </w:tc>
        <w:tc>
          <w:tcPr>
            <w:tcW w:type="dxa" w:w="23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Fórmula</w:t>
            </w:r>
          </w:p>
        </w:tc>
        <w:tc>
          <w:tcPr>
            <w:tcW w:type="dxa" w:w="23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Línea base (antes)</w:t>
            </w:r>
          </w:p>
        </w:tc>
        <w:tc>
          <w:tcPr>
            <w:tcW w:type="dxa" w:w="23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3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(después)</w:t>
            </w:r>
          </w:p>
        </w:tc>
        <w:tc>
          <w:tcPr>
            <w:tcW w:type="dxa" w:w="18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¿Meta lograda?</w:t>
            </w:r>
          </w:p>
        </w:tc>
      </w:tr>
      <w:tr>
        <w:tc>
          <w:tcPr>
            <w:tcW w:type="dxa" w:w="36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[KPI]</w:t>
            </w:r>
          </w:p>
        </w:tc>
        <w:tc>
          <w:tcPr>
            <w:tcW w:type="dxa" w:w="23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[FÓRMULA]</w:t>
            </w:r>
          </w:p>
        </w:tc>
        <w:tc>
          <w:tcPr>
            <w:tcW w:type="dxa" w:w="23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[VALOR]</w:t>
            </w:r>
          </w:p>
        </w:tc>
        <w:tc>
          <w:tcPr>
            <w:tcW w:type="dxa" w:w="23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[VALOR]</w:t>
            </w:r>
          </w:p>
        </w:tc>
        <w:tc>
          <w:tcPr>
            <w:tcW w:type="dxa" w:w="23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[VALOR]</w:t>
            </w:r>
          </w:p>
        </w:tc>
        <w:tc>
          <w:tcPr>
            <w:tcW w:type="dxa" w:w="18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[SÍ/NO]</w:t>
            </w:r>
          </w:p>
        </w:tc>
      </w:tr>
      <w:tr>
        <w:tc>
          <w:tcPr>
            <w:tcW w:type="dxa" w:w="36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[KPI]</w:t>
            </w:r>
          </w:p>
        </w:tc>
        <w:tc>
          <w:tcPr>
            <w:tcW w:type="dxa" w:w="23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[FÓRMULA]</w:t>
            </w:r>
          </w:p>
        </w:tc>
        <w:tc>
          <w:tcPr>
            <w:tcW w:type="dxa" w:w="23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[VALOR]</w:t>
            </w:r>
          </w:p>
        </w:tc>
        <w:tc>
          <w:tcPr>
            <w:tcW w:type="dxa" w:w="23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[VALOR]</w:t>
            </w:r>
          </w:p>
        </w:tc>
        <w:tc>
          <w:tcPr>
            <w:tcW w:type="dxa" w:w="23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[VALOR]</w:t>
            </w:r>
          </w:p>
        </w:tc>
        <w:tc>
          <w:tcPr>
            <w:tcW w:type="dxa" w:w="18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[SÍ/NO]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i w:val="false"/>
          <w:iCs w:val="false"/>
          <w:color w:val="B45309"/>
          <w:sz w:val="21"/>
          <w:szCs w:val="21"/>
        </w:rPr>
        <w:t xml:space="preserve">Sección A — ACTUAR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278"/>
      </w:tblGrid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Estandarización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[DOCUMENTOS actualizados (7.5), capacitación realizada (7.2), controles incorporados]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Acciones pendientes / nueva vuelta PHVA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[SI la meta no se logró: nuevas acciones y retorno al análisis]</w:t>
            </w:r>
          </w:p>
        </w:tc>
      </w:tr>
    </w:tbl>
    <w:p>
      <w:r>
        <w:br w:type="page"/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single" w:color="4A148C" w:sz="12"/>
              <w:left w:val="single" w:color="4A148C" w:sz="12"/>
              <w:bottom w:val="single" w:color="4A148C" w:sz="12"/>
              <w:right w:val="single" w:color="4A148C" w:sz="12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NIVEL AVANZADO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Informe ejecutivo tipo A3/DMAIC — beneficios cuantificados, control estadístico, lecciones aprendidas y réplica</w:t>
            </w:r>
          </w:p>
        </w:tc>
      </w:tr>
    </w:tbl>
    <w:p>
      <w:pPr>
        <w:spacing w:after="60" w:before="0"/>
      </w:pPr>
    </w:p>
    <w:p>
      <w:pPr>
        <w:spacing w:after="70" w:before="140"/>
      </w:pPr>
      <w:r>
        <w:rPr>
          <w:rFonts w:ascii="Arial" w:cs="Arial" w:eastAsia="Arial" w:hAnsi="Arial"/>
          <w:b/>
          <w:bCs/>
          <w:i w:val="false"/>
          <w:iCs w:val="false"/>
          <w:color w:val="4A148C"/>
          <w:sz w:val="21"/>
          <w:szCs w:val="21"/>
        </w:rPr>
        <w:t xml:space="preserve">Estructura DMAIC del informe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278"/>
      </w:tblGrid>
      <w:tr>
        <w:tc>
          <w:tcPr>
            <w:tcW w:type="dxa" w:w="2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2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 requerido</w:t>
            </w:r>
          </w:p>
        </w:tc>
      </w:tr>
      <w:tr>
        <w:tc>
          <w:tcPr>
            <w:tcW w:type="dxa" w:w="2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D — Definir</w:t>
            </w:r>
          </w:p>
        </w:tc>
        <w:tc>
          <w:tcPr>
            <w:tcW w:type="dxa" w:w="12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[PROJECT charter: problema, alcance, equipo, voz del cliente (VOC), CTQ, vinculación con objetivos de la calidad (6.2) y partes interesadas (4.2)]</w:t>
            </w:r>
          </w:p>
        </w:tc>
      </w:tr>
      <w:tr>
        <w:tc>
          <w:tcPr>
            <w:tcW w:type="dxa" w:w="2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M — Medir</w:t>
            </w:r>
          </w:p>
        </w:tc>
        <w:tc>
          <w:tcPr>
            <w:tcW w:type="dxa" w:w="12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[LÍNEA BASE con datos validados: media, desviación estándar, DPMO, Cp/Cpk si aplica; VSM AS-IS con tiempos de ciclo y desperdicios (muda) identificados]</w:t>
            </w:r>
          </w:p>
        </w:tc>
      </w:tr>
      <w:tr>
        <w:tc>
          <w:tcPr>
            <w:tcW w:type="dxa" w:w="2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A — Analizar</w:t>
            </w:r>
          </w:p>
        </w:tc>
        <w:tc>
          <w:tcPr>
            <w:tcW w:type="dxa" w:w="12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[CAUSAS raíz validadas con datos: Ishikawa + 5 Porqués + Pareto (80/20) + pruebas de hipótesis si aplica]</w:t>
            </w:r>
          </w:p>
        </w:tc>
      </w:tr>
      <w:tr>
        <w:tc>
          <w:tcPr>
            <w:tcW w:type="dxa" w:w="2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I — Mejorar</w:t>
            </w:r>
          </w:p>
        </w:tc>
        <w:tc>
          <w:tcPr>
            <w:tcW w:type="dxa" w:w="12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[SOLUCIONES implementadas, pilotos, VSM TO-BE, comparación de alternativas costo-beneficio]</w:t>
            </w:r>
          </w:p>
        </w:tc>
      </w:tr>
      <w:tr>
        <w:tc>
          <w:tcPr>
            <w:tcW w:type="dxa" w:w="2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C — Controlar</w:t>
            </w:r>
          </w:p>
        </w:tc>
        <w:tc>
          <w:tcPr>
            <w:tcW w:type="dxa" w:w="12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[PLAN de control: gráficos de control, poka-yoke, auditorías de sostenimiento, transferencia al dueño del proceso, actualización de la ficha de caracterización]</w:t>
            </w:r>
          </w:p>
        </w:tc>
      </w:tr>
    </w:tbl>
    <w:p>
      <w:pPr>
        <w:spacing w:after="80" w:before="0"/>
      </w:pPr>
    </w:p>
    <w:p>
      <w:pPr>
        <w:spacing w:after="70" w:before="140"/>
      </w:pPr>
      <w:r>
        <w:rPr>
          <w:rFonts w:ascii="Arial" w:cs="Arial" w:eastAsia="Arial" w:hAnsi="Arial"/>
          <w:b/>
          <w:bCs/>
          <w:i w:val="false"/>
          <w:iCs w:val="false"/>
          <w:color w:val="4A148C"/>
          <w:sz w:val="21"/>
          <w:szCs w:val="21"/>
        </w:rPr>
        <w:t xml:space="preserve">Cuantificación de beneficios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  <w:gridCol w:w="2800"/>
        <w:gridCol w:w="2400"/>
        <w:gridCol w:w="2478"/>
      </w:tblGrid>
      <w:tr>
        <w:tc>
          <w:tcPr>
            <w:tcW w:type="dxa" w:w="4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28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Antes (línea base)</w:t>
            </w:r>
          </w:p>
        </w:tc>
        <w:tc>
          <w:tcPr>
            <w:tcW w:type="dxa" w:w="28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Después</w:t>
            </w:r>
          </w:p>
        </w:tc>
        <w:tc>
          <w:tcPr>
            <w:tcW w:type="dxa" w:w="2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Variación %</w:t>
            </w:r>
          </w:p>
        </w:tc>
        <w:tc>
          <w:tcPr>
            <w:tcW w:type="dxa" w:w="24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Beneficio anualizado S/</w:t>
            </w:r>
          </w:p>
        </w:tc>
      </w:tr>
      <w:tr>
        <w:tc>
          <w:tcPr>
            <w:tcW w:type="dxa" w:w="4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Tiempo de ciclo del proceso</w:t>
            </w:r>
          </w:p>
        </w:tc>
        <w:tc>
          <w:tcPr>
            <w:tcW w:type="dxa" w:w="28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[VALOR]</w:t>
            </w:r>
          </w:p>
        </w:tc>
        <w:tc>
          <w:tcPr>
            <w:tcW w:type="dxa" w:w="28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[VALOR]</w:t>
            </w:r>
          </w:p>
        </w:tc>
        <w:tc>
          <w:tcPr>
            <w:tcW w:type="dxa" w:w="2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[%]</w:t>
            </w:r>
          </w:p>
        </w:tc>
        <w:tc>
          <w:tcPr>
            <w:tcW w:type="dxa" w:w="24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[S/]</w:t>
            </w:r>
          </w:p>
        </w:tc>
      </w:tr>
      <w:tr>
        <w:tc>
          <w:tcPr>
            <w:tcW w:type="dxa" w:w="4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Costo de no calidad / reprocesos</w:t>
            </w:r>
          </w:p>
        </w:tc>
        <w:tc>
          <w:tcPr>
            <w:tcW w:type="dxa" w:w="28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[VALOR]</w:t>
            </w:r>
          </w:p>
        </w:tc>
        <w:tc>
          <w:tcPr>
            <w:tcW w:type="dxa" w:w="28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[VALOR]</w:t>
            </w:r>
          </w:p>
        </w:tc>
        <w:tc>
          <w:tcPr>
            <w:tcW w:type="dxa" w:w="2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[%]</w:t>
            </w:r>
          </w:p>
        </w:tc>
        <w:tc>
          <w:tcPr>
            <w:tcW w:type="dxa" w:w="24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[S/]</w:t>
            </w:r>
          </w:p>
        </w:tc>
      </w:tr>
      <w:tr>
        <w:tc>
          <w:tcPr>
            <w:tcW w:type="dxa" w:w="4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Productividad (salidas/recurso)</w:t>
            </w:r>
          </w:p>
        </w:tc>
        <w:tc>
          <w:tcPr>
            <w:tcW w:type="dxa" w:w="28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[VALOR]</w:t>
            </w:r>
          </w:p>
        </w:tc>
        <w:tc>
          <w:tcPr>
            <w:tcW w:type="dxa" w:w="28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[VALOR]</w:t>
            </w:r>
          </w:p>
        </w:tc>
        <w:tc>
          <w:tcPr>
            <w:tcW w:type="dxa" w:w="2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[%]</w:t>
            </w:r>
          </w:p>
        </w:tc>
        <w:tc>
          <w:tcPr>
            <w:tcW w:type="dxa" w:w="24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[S/]</w:t>
            </w:r>
          </w:p>
        </w:tc>
      </w:tr>
      <w:tr>
        <w:tc>
          <w:tcPr>
            <w:tcW w:type="dxa" w:w="4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Satisfacción del cliente (9.1.2)</w:t>
            </w:r>
          </w:p>
        </w:tc>
        <w:tc>
          <w:tcPr>
            <w:tcW w:type="dxa" w:w="28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[VALOR]</w:t>
            </w:r>
          </w:p>
        </w:tc>
        <w:tc>
          <w:tcPr>
            <w:tcW w:type="dxa" w:w="28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[VALOR]</w:t>
            </w:r>
          </w:p>
        </w:tc>
        <w:tc>
          <w:tcPr>
            <w:tcW w:type="dxa" w:w="2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[%]</w:t>
            </w:r>
          </w:p>
        </w:tc>
        <w:tc>
          <w:tcPr>
            <w:tcW w:type="dxa" w:w="24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[S/]</w:t>
            </w:r>
          </w:p>
        </w:tc>
      </w:tr>
    </w:tbl>
    <w:p>
      <w:pPr>
        <w:spacing w:after="80" w:before="0"/>
      </w:pPr>
    </w:p>
    <w:p>
      <w:pPr>
        <w:spacing w:after="70" w:before="140"/>
      </w:pPr>
      <w:r>
        <w:rPr>
          <w:rFonts w:ascii="Arial" w:cs="Arial" w:eastAsia="Arial" w:hAnsi="Arial"/>
          <w:b/>
          <w:bCs/>
          <w:i w:val="false"/>
          <w:iCs w:val="false"/>
          <w:color w:val="4A148C"/>
          <w:sz w:val="21"/>
          <w:szCs w:val="21"/>
        </w:rPr>
        <w:t xml:space="preserve">Lecciones aprendidas y réplica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8"/>
          <w:szCs w:val="18"/>
        </w:rPr>
        <w:t xml:space="preserve">Lecciones aprendidas: [QUÉ funcionó, qué no, qué se haría distinto] — gestión del conocimiento organizacional (cláusula 7.1.6).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8"/>
          <w:szCs w:val="18"/>
        </w:rPr>
        <w:t xml:space="preserve">Réplica: [PROCESOS o sedes donde la mejora es transferible] — escalamiento de buenas prácticas (Kaizen yokoten).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8"/>
          <w:szCs w:val="18"/>
        </w:rPr>
        <w:t xml:space="preserve">Comunicación: [CÓMO se difundirá el resultado — cláusula 7.4] y reconocimiento al equipo (compromiso de las personas, principio de gestión de la calidad).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8"/>
          <w:szCs w:val="18"/>
        </w:rPr>
        <w:t xml:space="preserve">Decisiones solicitadas a la dirección: [RECURSOS, cambios al SGC] — entrada a la revisión por la dirección (9.3.2) y sus salidas (9.3.3).</w:t>
      </w:r>
    </w:p>
    <w:p>
      <w:pPr>
        <w:spacing w:after="120" w:before="0"/>
      </w:pP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5"/>
          <w:szCs w:val="15"/>
        </w:rPr>
        <w:t xml:space="preserve">Elaborado sobre plantilla base de Pierre R. — Documento genérico y referencial: adecúe estructura, indicadores y referencias a la normativa interna de su organización.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2"/>
      </w:pBdr>
      <w:tabs>
        <w:tab w:val="right" w:pos="14678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7F7F7F"/>
        <w:sz w:val="14"/>
        <w:szCs w:val="14"/>
      </w:rPr>
      <w:t xml:space="preserve">RM-SGC-004 · Plantilla genérica referencial · Autoría: Pierre R.</w:t>
    </w:r>
    <w:r>
      <w:rPr>
        <w:rFonts w:ascii="Arial" w:cs="Arial" w:eastAsia="Arial" w:hAnsi="Arial"/>
        <w:color w:val="7F7F7F"/>
        <w:sz w:val="14"/>
        <w:szCs w:val="14"/>
      </w:rPr>
      <w:t xml:space="preserve">	Página </w:t>
    </w:r>
    <w:r>
      <w:rPr>
        <w:rFonts w:ascii="Arial" w:cs="Arial" w:eastAsia="Arial" w:hAnsi="Arial"/>
        <w:color w:val="7F7F7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4"/>
        <w:szCs w:val="14"/>
      </w:rPr>
      <w:t xml:space="preserve"> de </w:t>
    </w:r>
    <w:r>
      <w:rPr>
        <w:rFonts w:ascii="Arial" w:cs="Arial" w:eastAsia="Arial" w:hAnsi="Arial"/>
        <w:color w:val="7F7F7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9000" w:sz="6" w:space="2"/>
      </w:pBdr>
      <w:tabs>
        <w:tab w:val="right" w:pos="14678"/>
      </w:tabs>
    </w:pPr>
    <w:r>
      <w:rPr>
        <w:rFonts w:ascii="Arial" w:cs="Arial" w:eastAsia="Arial" w:hAnsi="Arial"/>
        <w:b/>
        <w:bCs/>
        <w:i w:val="false"/>
        <w:iCs w:val="false"/>
        <w:color w:val="1F3864"/>
        <w:sz w:val="14"/>
        <w:szCs w:val="14"/>
      </w:rPr>
      <w:t xml:space="preserve">REPORTE DE MEJORA DE PROCESO</w:t>
    </w:r>
    <w:r>
      <w:rPr>
        <w:rFonts w:ascii="Arial" w:cs="Arial" w:eastAsia="Arial" w:hAnsi="Arial"/>
        <w:color w:val="7F7F7F"/>
        <w:sz w:val="14"/>
        <w:szCs w:val="14"/>
      </w:rPr>
      <w:t xml:space="preserve">	SGC — Mejora Continua (PHVA)</w:t>
    </w:r>
  </w:p>
  <w:p>
    <w:pPr>
      <w:rPr>
        <w:noProof/>
      </w:rPr>
    </w:pPr>
    <w:r>
      <w:rPr>
        <w:noProof/>
      </w:rPr>
      <w:pict xmlns:v="urn:schemas-microsoft-com:vml" xmlns:o="urn:schemas-microsoft-com:office:offic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585pt;height:97.5pt;rotation:315;z-index:-251658752;mso-position-horizontal:center;mso-position-horizontal-relative:margin;mso-position-vertical:center;mso-position-vertical-relative:margin" o:allowincell="f" fillcolor="#bf9000" stroked="f">
          <v:fill opacity="13107f"/>
          <v:textpath style="font-family:&quot;Arial&quot;;font-size:1pt" string="Pierre R.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2026-06-09T23:44:58.994Z</dcterms:created>
  <dcterms:modified xsi:type="dcterms:W3CDTF">2026-06-09T23:44:58.994Z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