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
        <w:jc w:val="left"/>
      </w:pPr>
      <w:r>
        <w:rPr>
          <w:rFonts w:ascii="Arial" w:cs="Arial" w:eastAsia="Arial" w:hAnsi="Arial"/>
          <w:b w:val="false"/>
          <w:bCs w:val="false"/>
          <w:i w:val="false"/>
          <w:iCs w:val="false"/>
          <w:color w:val="000000"/>
          <w:sz w:val="18"/>
          <w:szCs w:val="18"/>
        </w:rPr>
        <w:t xml:space="preserve"> </w:t>
      </w:r>
    </w:p>
    <w:p>
      <w:pPr>
        <w:spacing w:after="80"/>
        <w:jc w:val="center"/>
      </w:pPr>
      <w:r>
        <w:rPr>
          <w:rFonts w:ascii="Arial" w:cs="Arial" w:eastAsia="Arial" w:hAnsi="Arial"/>
          <w:b/>
          <w:bCs/>
          <w:i w:val="false"/>
          <w:iCs w:val="false"/>
          <w:color w:val="BF9000"/>
          <w:sz w:val="24"/>
          <w:szCs w:val="24"/>
        </w:rPr>
        <w:t xml:space="preserve">SISTEMA DE GESTIÓN DE LA CALIDAD (SGC)</w:t>
      </w:r>
    </w:p>
    <w:p>
      <w:pPr>
        <w:spacing w:after="80"/>
        <w:jc w:val="center"/>
      </w:pPr>
      <w:r>
        <w:rPr>
          <w:rFonts w:ascii="Arial" w:cs="Arial" w:eastAsia="Arial" w:hAnsi="Arial"/>
          <w:b/>
          <w:bCs/>
          <w:i w:val="false"/>
          <w:iCs w:val="false"/>
          <w:color w:val="2E4D87"/>
          <w:sz w:val="20"/>
          <w:szCs w:val="20"/>
        </w:rPr>
        <w:t xml:space="preserve">FASE DE ANÁLISIS — PROCESO DE ANÁLISIS DE LA INFORMACIÓN LEVANTADA</w:t>
      </w:r>
    </w:p>
    <w:p>
      <w:pPr>
        <w:pBdr>
          <w:top w:val="single" w:color="1F3864" w:sz="12" w:space="8"/>
          <w:bottom w:val="single" w:color="1F3864" w:sz="12" w:space="8"/>
        </w:pBdr>
        <w:spacing w:after="100" w:before="200"/>
        <w:jc w:val="center"/>
      </w:pPr>
      <w:r>
        <w:rPr>
          <w:rFonts w:ascii="Arial" w:cs="Arial" w:eastAsia="Arial" w:hAnsi="Arial"/>
          <w:b/>
          <w:bCs/>
          <w:i w:val="false"/>
          <w:iCs w:val="false"/>
          <w:color w:val="1F3864"/>
          <w:sz w:val="48"/>
          <w:szCs w:val="48"/>
        </w:rPr>
        <w:t xml:space="preserve">FICHA DE BRECHAS</w:t>
      </w:r>
    </w:p>
    <w:p>
      <w:pPr>
        <w:spacing w:after="300"/>
        <w:jc w:val="center"/>
      </w:pPr>
      <w:r>
        <w:rPr>
          <w:rFonts w:ascii="Arial" w:cs="Arial" w:eastAsia="Arial" w:hAnsi="Arial"/>
          <w:b w:val="false"/>
          <w:bCs w:val="false"/>
          <w:i/>
          <w:iCs/>
          <w:color w:val="595959"/>
          <w:sz w:val="20"/>
          <w:szCs w:val="20"/>
        </w:rPr>
        <w:t xml:space="preserve">Registro individual de brechas entre el estado actual (AS-IS) y el estado deseado / criterio de referencia (TO-BE)</w:t>
      </w:r>
    </w:p>
    <w:p>
      <w:pPr>
        <w:spacing w:after="60"/>
        <w:jc w:val="center"/>
      </w:pPr>
      <w:r>
        <w:rPr>
          <w:rFonts w:ascii="Arial" w:cs="Arial" w:eastAsia="Arial" w:hAnsi="Arial"/>
          <w:b/>
          <w:bCs/>
          <w:i w:val="false"/>
          <w:iCs w:val="false"/>
          <w:color w:val="000000"/>
          <w:sz w:val="20"/>
          <w:szCs w:val="20"/>
        </w:rPr>
        <w:t xml:space="preserve">Código del documento: FB-SGC-003</w:t>
      </w:r>
    </w:p>
    <w:p>
      <w:pPr>
        <w:spacing w:after="400"/>
        <w:jc w:val="center"/>
      </w:pPr>
      <w:r>
        <w:rPr>
          <w:rFonts w:ascii="Arial" w:cs="Arial" w:eastAsia="Arial" w:hAnsi="Arial"/>
          <w:b w:val="false"/>
          <w:bCs w:val="false"/>
          <w:i/>
          <w:iCs/>
          <w:color w:val="808080"/>
          <w:sz w:val="16"/>
          <w:szCs w:val="16"/>
        </w:rPr>
        <w:t xml:space="preserve">Plantilla genérica y referencial — adaptable a la normativa interna de cada organización</w:t>
      </w:r>
    </w:p>
    <w:p>
      <w:pPr>
        <w:pStyle w:val="Heading2"/>
        <w:spacing w:after="100" w:before="160"/>
      </w:pPr>
      <w:r>
        <w:rPr>
          <w:rFonts w:ascii="Arial" w:cs="Arial" w:eastAsia="Arial" w:hAnsi="Arial"/>
          <w:b/>
          <w:bCs/>
          <w:color w:val="2E4D87"/>
          <w:sz w:val="22"/>
          <w:szCs w:val="22"/>
        </w:rPr>
        <w:t xml:space="preserve">Control de versiones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2900"/>
        <w:gridCol w:w="2900"/>
        <w:gridCol w:w="2970"/>
      </w:tblGrid>
      <w:tr>
        <w:trPr>
          <w:tblHeader/>
        </w:trPr>
        <w:tc>
          <w:tcPr>
            <w:tcW w:type="dxa" w:w="2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Versión</w:t>
            </w:r>
          </w:p>
        </w:tc>
        <w:tc>
          <w:tcPr>
            <w:tcW w:type="dxa" w:w="2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Fecha</w:t>
            </w:r>
          </w:p>
        </w:tc>
        <w:tc>
          <w:tcPr>
            <w:tcW w:type="dxa" w:w="2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Elaborado por</w:t>
            </w:r>
          </w:p>
        </w:tc>
        <w:tc>
          <w:tcPr>
            <w:tcW w:type="dxa" w:w="2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Revisado por</w:t>
            </w:r>
          </w:p>
        </w:tc>
        <w:tc>
          <w:tcPr>
            <w:tcW w:type="dxa" w:w="297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Aprobado por</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01</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[DD/MM/AAAA]</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Pierre R. — Consultor SGC</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[NOMBRE / CARGO]</w:t>
            </w:r>
          </w:p>
        </w:tc>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[NOMBRE / CARGO]</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[DD/MM/AAAA]</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[DATO]</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[DATO]</w:t>
            </w:r>
          </w:p>
        </w:tc>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[DATO]</w:t>
            </w:r>
          </w:p>
        </w:tc>
      </w:tr>
    </w:tbl>
    <w:p>
      <w:pPr>
        <w:spacing w:after="60" w:before="120"/>
        <w:jc w:val="left"/>
      </w:pPr>
      <w:r>
        <w:rPr>
          <w:rFonts w:ascii="Arial" w:cs="Arial" w:eastAsia="Arial" w:hAnsi="Arial"/>
          <w:b/>
          <w:bCs/>
          <w:i w:val="false"/>
          <w:iCs w:val="false"/>
          <w:color w:val="000000"/>
          <w:sz w:val="16"/>
          <w:szCs w:val="16"/>
        </w:rPr>
        <w:t xml:space="preserve">Instrucción de llenado: </w:t>
      </w:r>
      <w:r>
        <w:rPr>
          <w:rFonts w:ascii="Arial" w:cs="Arial" w:eastAsia="Arial" w:hAnsi="Arial"/>
          <w:b w:val="false"/>
          <w:bCs w:val="false"/>
          <w:i/>
          <w:iCs/>
          <w:color w:val="000000"/>
          <w:sz w:val="16"/>
          <w:szCs w:val="16"/>
        </w:rPr>
        <w:t xml:space="preserve">los campos marcados como [DATO], [N°], [DD/MM/AAAA], [NOMBRE / CARGO] son editables y deben completarse conforme al procedimiento de control de información documentada de la organización (NTP-ISO 9001:2015, apartado 7.5.2: identificación, formato y revisión/aprobación de la información documentada).</w:t>
      </w:r>
    </w:p>
    <w:p>
      <w:r>
        <w:br w:type="page"/>
      </w:r>
    </w:p>
    <w:p>
      <w:pPr>
        <w:pStyle w:val="Heading1"/>
        <w:spacing w:after="120" w:before="200"/>
      </w:pPr>
      <w:r>
        <w:rPr>
          <w:rFonts w:ascii="Arial" w:cs="Arial" w:eastAsia="Arial" w:hAnsi="Arial"/>
          <w:b/>
          <w:bCs/>
          <w:color w:val="1F3864"/>
          <w:sz w:val="28"/>
          <w:szCs w:val="28"/>
        </w:rPr>
        <w:t xml:space="preserve">1. Objetivo, alcance y definiciones</w:t>
      </w:r>
    </w:p>
    <w:p>
      <w:pPr>
        <w:spacing w:after="60" w:before="60"/>
        <w:jc w:val="left"/>
      </w:pPr>
      <w:r>
        <w:rPr>
          <w:rFonts w:ascii="Arial" w:cs="Arial" w:eastAsia="Arial" w:hAnsi="Arial"/>
          <w:b w:val="false"/>
          <w:bCs w:val="false"/>
          <w:i w:val="false"/>
          <w:iCs w:val="false"/>
          <w:color w:val="000000"/>
          <w:sz w:val="18"/>
          <w:szCs w:val="18"/>
        </w:rPr>
        <w:t xml:space="preserve">Objetivo: documentar de manera individual cada brecha detectada durante el análisis de la información levantada, comparando la situación actual del proceso contra un criterio de referencia (requisito normativo, normativa interna, buena práctica o estado deseado), para valorarla, priorizarla y derivarla a un plan de acción, en línea con los apartados 6.1, 9.1.3 y 10.2 de la NTP-ISO 9001:2015.</w:t>
      </w:r>
    </w:p>
    <w:p>
      <w:pPr>
        <w:spacing w:after="60" w:before="60"/>
        <w:jc w:val="left"/>
      </w:pPr>
      <w:r>
        <w:rPr>
          <w:rFonts w:ascii="Arial" w:cs="Arial" w:eastAsia="Arial" w:hAnsi="Arial"/>
          <w:b/>
          <w:bCs/>
          <w:i w:val="false"/>
          <w:iCs w:val="false"/>
          <w:color w:val="000000"/>
          <w:sz w:val="18"/>
          <w:szCs w:val="18"/>
        </w:rPr>
        <w:t xml:space="preserve">Definición operativa: </w:t>
      </w:r>
      <w:r>
        <w:rPr>
          <w:rFonts w:ascii="Arial" w:cs="Arial" w:eastAsia="Arial" w:hAnsi="Arial"/>
          <w:b w:val="false"/>
          <w:bCs w:val="false"/>
          <w:i w:val="false"/>
          <w:iCs w:val="false"/>
          <w:color w:val="000000"/>
          <w:sz w:val="18"/>
          <w:szCs w:val="18"/>
        </w:rPr>
        <w:t xml:space="preserve">Brecha = Criterio o estado deseado (TO-BE) − Situación actual evidenciada (AS-IS). Cuando el criterio es un requisito obligatorio y la evidencia demuestra incumplimiento, la brecha se gestiona además como no conformidad (apartado 10.2).</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0"/>
      </w:tblGrid>
      <w:tr>
        <w:tc>
          <w:tcPr>
            <w:tcW w:type="dxa" w:w="14570"/>
            <w:tcBorders>
              <w:top w:val="single" w:color="BF9000" w:sz="4"/>
              <w:left w:val="single" w:color="BF9000" w:sz="4"/>
              <w:bottom w:val="single" w:color="BF9000" w:sz="4"/>
              <w:right w:val="single" w:color="BF9000" w:sz="4"/>
            </w:tcBorders>
            <w:shd w:fill="BF9000"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MARCO NORMATIVO Y DE BUENAS PRÁCTICAS APLICABLE</w:t>
            </w:r>
          </w:p>
        </w:tc>
      </w:tr>
      <w:tr>
        <w:tc>
          <w:tcPr>
            <w:tcW w:type="dxa" w:w="14570"/>
            <w:tcBorders>
              <w:top w:val="single" w:color="BF9000" w:sz="4"/>
              <w:left w:val="single" w:color="BF9000" w:sz="4"/>
              <w:bottom w:val="single" w:color="BF9000" w:sz="4"/>
              <w:right w:val="single" w:color="BF9000" w:sz="4"/>
            </w:tcBorders>
            <w:shd w:fill="F2E5C2" w:val="clear"/>
            <w:tcMar>
              <w:top w:type="dxa" w:w="80"/>
              <w:left w:type="dxa" w:w="120"/>
              <w:bottom w:type="dxa" w:w="80"/>
              <w:right w:type="dxa" w:w="120"/>
            </w:tcMar>
          </w:tcPr>
          <w:p>
            <w:pPr>
              <w:spacing w:after="20" w:before="20"/>
            </w:pPr>
            <w:r>
              <w:rPr>
                <w:rFonts w:ascii="Arial" w:cs="Arial" w:eastAsia="Arial" w:hAnsi="Arial"/>
                <w:b/>
                <w:bCs/>
                <w:i w:val="false"/>
                <w:iCs w:val="false"/>
                <w:color w:val="BF9000"/>
                <w:sz w:val="16"/>
                <w:szCs w:val="16"/>
              </w:rPr>
              <w:t xml:space="preserve">▪ </w:t>
            </w:r>
            <w:r>
              <w:rPr>
                <w:rFonts w:ascii="Arial" w:cs="Arial" w:eastAsia="Arial" w:hAnsi="Arial"/>
                <w:b w:val="false"/>
                <w:bCs w:val="false"/>
                <w:i w:val="false"/>
                <w:iCs w:val="false"/>
                <w:color w:val="000000"/>
                <w:sz w:val="16"/>
                <w:szCs w:val="16"/>
              </w:rPr>
              <w:t xml:space="preserve">NTP-ISO 9001:2015 (INACAL) — Apartado 6.1: acciones para abordar riesgos y oportunidades derivados de las brechas identificadas.</w:t>
            </w:r>
          </w:p>
          <w:p>
            <w:pPr>
              <w:spacing w:after="20" w:before="20"/>
            </w:pPr>
            <w:r>
              <w:rPr>
                <w:rFonts w:ascii="Arial" w:cs="Arial" w:eastAsia="Arial" w:hAnsi="Arial"/>
                <w:b/>
                <w:bCs/>
                <w:i w:val="false"/>
                <w:iCs w:val="false"/>
                <w:color w:val="BF9000"/>
                <w:sz w:val="16"/>
                <w:szCs w:val="16"/>
              </w:rPr>
              <w:t xml:space="preserve">▪ </w:t>
            </w:r>
            <w:r>
              <w:rPr>
                <w:rFonts w:ascii="Arial" w:cs="Arial" w:eastAsia="Arial" w:hAnsi="Arial"/>
                <w:b w:val="false"/>
                <w:bCs w:val="false"/>
                <w:i w:val="false"/>
                <w:iCs w:val="false"/>
                <w:color w:val="000000"/>
                <w:sz w:val="16"/>
                <w:szCs w:val="16"/>
              </w:rPr>
              <w:t xml:space="preserve">NTP-ISO 9001:2015 — Apartado 9.1.3: análisis y evaluación de datos como insumo para determinar necesidades de mejora.</w:t>
            </w:r>
          </w:p>
          <w:p>
            <w:pPr>
              <w:spacing w:after="20" w:before="20"/>
            </w:pPr>
            <w:r>
              <w:rPr>
                <w:rFonts w:ascii="Arial" w:cs="Arial" w:eastAsia="Arial" w:hAnsi="Arial"/>
                <w:b/>
                <w:bCs/>
                <w:i w:val="false"/>
                <w:iCs w:val="false"/>
                <w:color w:val="BF9000"/>
                <w:sz w:val="16"/>
                <w:szCs w:val="16"/>
              </w:rPr>
              <w:t xml:space="preserve">▪ </w:t>
            </w:r>
            <w:r>
              <w:rPr>
                <w:rFonts w:ascii="Arial" w:cs="Arial" w:eastAsia="Arial" w:hAnsi="Arial"/>
                <w:b w:val="false"/>
                <w:bCs w:val="false"/>
                <w:i w:val="false"/>
                <w:iCs w:val="false"/>
                <w:color w:val="000000"/>
                <w:sz w:val="16"/>
                <w:szCs w:val="16"/>
              </w:rPr>
              <w:t xml:space="preserve">NTP-ISO 9001:2015 — Apartado 10.2: tratamiento de no conformidades y acciones correctivas (cuando la brecha constituye incumplimiento).</w:t>
            </w:r>
          </w:p>
          <w:p>
            <w:pPr>
              <w:spacing w:after="20" w:before="20"/>
            </w:pPr>
            <w:r>
              <w:rPr>
                <w:rFonts w:ascii="Arial" w:cs="Arial" w:eastAsia="Arial" w:hAnsi="Arial"/>
                <w:b/>
                <w:bCs/>
                <w:i w:val="false"/>
                <w:iCs w:val="false"/>
                <w:color w:val="BF9000"/>
                <w:sz w:val="16"/>
                <w:szCs w:val="16"/>
              </w:rPr>
              <w:t xml:space="preserve">▪ </w:t>
            </w:r>
            <w:r>
              <w:rPr>
                <w:rFonts w:ascii="Arial" w:cs="Arial" w:eastAsia="Arial" w:hAnsi="Arial"/>
                <w:b w:val="false"/>
                <w:bCs w:val="false"/>
                <w:i w:val="false"/>
                <w:iCs w:val="false"/>
                <w:color w:val="000000"/>
                <w:sz w:val="16"/>
                <w:szCs w:val="16"/>
              </w:rPr>
              <w:t xml:space="preserve">NTP-ISO 9000:2015 — Vocabulario: conformidad (3.6.11), no conformidad (3.6.9), eficacia (3.7.11).</w:t>
            </w:r>
          </w:p>
          <w:p>
            <w:pPr>
              <w:spacing w:after="20" w:before="20"/>
            </w:pPr>
            <w:r>
              <w:rPr>
                <w:rFonts w:ascii="Arial" w:cs="Arial" w:eastAsia="Arial" w:hAnsi="Arial"/>
                <w:b/>
                <w:bCs/>
                <w:i w:val="false"/>
                <w:iCs w:val="false"/>
                <w:color w:val="BF9000"/>
                <w:sz w:val="16"/>
                <w:szCs w:val="16"/>
              </w:rPr>
              <w:t xml:space="preserve">▪ </w:t>
            </w:r>
            <w:r>
              <w:rPr>
                <w:rFonts w:ascii="Arial" w:cs="Arial" w:eastAsia="Arial" w:hAnsi="Arial"/>
                <w:b w:val="false"/>
                <w:bCs w:val="false"/>
                <w:i w:val="false"/>
                <w:iCs w:val="false"/>
                <w:color w:val="000000"/>
                <w:sz w:val="16"/>
                <w:szCs w:val="16"/>
              </w:rPr>
              <w:t xml:space="preserve">ISO 19011:2018 — Directrices para auditoría de sistemas de gestión: criterio de auditoría, evidencia y hallazgo como base conceptual de la brecha (criterio vs. situación actual).</w:t>
            </w:r>
          </w:p>
          <w:p>
            <w:pPr>
              <w:spacing w:after="20" w:before="20"/>
            </w:pPr>
            <w:r>
              <w:rPr>
                <w:rFonts w:ascii="Arial" w:cs="Arial" w:eastAsia="Arial" w:hAnsi="Arial"/>
                <w:b/>
                <w:bCs/>
                <w:i w:val="false"/>
                <w:iCs w:val="false"/>
                <w:color w:val="BF9000"/>
                <w:sz w:val="16"/>
                <w:szCs w:val="16"/>
              </w:rPr>
              <w:t xml:space="preserve">▪ </w:t>
            </w:r>
            <w:r>
              <w:rPr>
                <w:rFonts w:ascii="Arial" w:cs="Arial" w:eastAsia="Arial" w:hAnsi="Arial"/>
                <w:b w:val="false"/>
                <w:bCs w:val="false"/>
                <w:i w:val="false"/>
                <w:iCs w:val="false"/>
                <w:color w:val="000000"/>
                <w:sz w:val="16"/>
                <w:szCs w:val="16"/>
              </w:rPr>
              <w:t xml:space="preserve">ISO 31000:2018 — Gestión del riesgo: valoración de la brecha por probabilidad e impacto.</w:t>
            </w:r>
          </w:p>
          <w:p>
            <w:pPr>
              <w:spacing w:after="20" w:before="20"/>
            </w:pPr>
            <w:r>
              <w:rPr>
                <w:rFonts w:ascii="Arial" w:cs="Arial" w:eastAsia="Arial" w:hAnsi="Arial"/>
                <w:b/>
                <w:bCs/>
                <w:i w:val="false"/>
                <w:iCs w:val="false"/>
                <w:color w:val="BF9000"/>
                <w:sz w:val="16"/>
                <w:szCs w:val="16"/>
              </w:rPr>
              <w:t xml:space="preserve">▪ </w:t>
            </w:r>
            <w:r>
              <w:rPr>
                <w:rFonts w:ascii="Arial" w:cs="Arial" w:eastAsia="Arial" w:hAnsi="Arial"/>
                <w:b w:val="false"/>
                <w:bCs w:val="false"/>
                <w:i w:val="false"/>
                <w:iCs w:val="false"/>
                <w:color w:val="000000"/>
                <w:sz w:val="16"/>
                <w:szCs w:val="16"/>
              </w:rPr>
              <w:t xml:space="preserve">BPM CBOK v4.0 (ABPMP) — Análisis de procesos: gap analysis entre el estado actual (AS-IS) y el estado deseado (TO-BE).</w:t>
            </w:r>
          </w:p>
          <w:p>
            <w:pPr>
              <w:spacing w:after="20" w:before="20"/>
            </w:pPr>
            <w:r>
              <w:rPr>
                <w:rFonts w:ascii="Arial" w:cs="Arial" w:eastAsia="Arial" w:hAnsi="Arial"/>
                <w:b/>
                <w:bCs/>
                <w:i w:val="false"/>
                <w:iCs w:val="false"/>
                <w:color w:val="BF9000"/>
                <w:sz w:val="16"/>
                <w:szCs w:val="16"/>
              </w:rPr>
              <w:t xml:space="preserve">▪ </w:t>
            </w:r>
            <w:r>
              <w:rPr>
                <w:rFonts w:ascii="Arial" w:cs="Arial" w:eastAsia="Arial" w:hAnsi="Arial"/>
                <w:b w:val="false"/>
                <w:bCs w:val="false"/>
                <w:i w:val="false"/>
                <w:iCs w:val="false"/>
                <w:color w:val="000000"/>
                <w:sz w:val="16"/>
                <w:szCs w:val="16"/>
              </w:rPr>
              <w:t xml:space="preserve">D.S. N° 004-2013-PCM y Norma Técnica N° 001-2018-SGP (PCM/SGP) — Gestión por procesos en entidades públicas peruanas: identificación de brechas de desempeño.</w:t>
            </w:r>
          </w:p>
          <w:p>
            <w:pPr>
              <w:spacing w:after="20" w:before="20"/>
            </w:pPr>
            <w:r>
              <w:rPr>
                <w:rFonts w:ascii="Arial" w:cs="Arial" w:eastAsia="Arial" w:hAnsi="Arial"/>
                <w:b/>
                <w:bCs/>
                <w:i w:val="false"/>
                <w:iCs w:val="false"/>
                <w:color w:val="BF9000"/>
                <w:sz w:val="16"/>
                <w:szCs w:val="16"/>
              </w:rPr>
              <w:t xml:space="preserve">▪ </w:t>
            </w:r>
            <w:r>
              <w:rPr>
                <w:rFonts w:ascii="Arial" w:cs="Arial" w:eastAsia="Arial" w:hAnsi="Arial"/>
                <w:b w:val="false"/>
                <w:bCs w:val="false"/>
                <w:i w:val="false"/>
                <w:iCs w:val="false"/>
                <w:color w:val="000000"/>
                <w:sz w:val="16"/>
                <w:szCs w:val="16"/>
              </w:rPr>
              <w:t xml:space="preserve">Análisis de causa raíz — 5 Porqués e Ishikawa, como buenas prácticas para explicar el origen de la brecha.</w:t>
            </w:r>
          </w:p>
          <w:p>
            <w:pPr>
              <w:spacing w:after="20" w:before="20"/>
            </w:pPr>
            <w:r>
              <w:rPr>
                <w:rFonts w:ascii="Arial" w:cs="Arial" w:eastAsia="Arial" w:hAnsi="Arial"/>
                <w:b/>
                <w:bCs/>
                <w:i w:val="false"/>
                <w:iCs w:val="false"/>
                <w:color w:val="BF9000"/>
                <w:sz w:val="16"/>
                <w:szCs w:val="16"/>
              </w:rPr>
              <w:t xml:space="preserve">▪ </w:t>
            </w:r>
            <w:r>
              <w:rPr>
                <w:rFonts w:ascii="Arial" w:cs="Arial" w:eastAsia="Arial" w:hAnsi="Arial"/>
                <w:b w:val="false"/>
                <w:bCs w:val="false"/>
                <w:i w:val="false"/>
                <w:iCs w:val="false"/>
                <w:color w:val="000000"/>
                <w:sz w:val="16"/>
                <w:szCs w:val="16"/>
              </w:rPr>
              <w:t xml:space="preserve">[NORMATIVA INTERNA: Manual de Calidad, procedimientos, directivas, reglamentos internos o requisitos del cliente usados como criterio, p. ej. MC-SGC-001]</w:t>
            </w:r>
          </w:p>
        </w:tc>
      </w:tr>
    </w:tbl>
    <w:p>
      <w:r>
        <w:br w:type="page"/>
      </w:r>
    </w:p>
    <w:p>
      <w:pPr>
        <w:pStyle w:val="Heading2"/>
        <w:spacing w:after="100" w:before="160"/>
      </w:pPr>
      <w:r>
        <w:rPr>
          <w:rFonts w:ascii="Arial" w:cs="Arial" w:eastAsia="Arial" w:hAnsi="Arial"/>
          <w:b/>
          <w:bCs/>
          <w:color w:val="2E4D87"/>
          <w:sz w:val="22"/>
          <w:szCs w:val="22"/>
        </w:rPr>
        <w:t xml:space="preserve">Guía de uso por nivel de madurez</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200"/>
        <w:gridCol w:w="4120"/>
        <w:gridCol w:w="4120"/>
        <w:gridCol w:w="413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Criterio</w:t>
            </w:r>
          </w:p>
        </w:tc>
        <w:tc>
          <w:tcPr>
            <w:tcW w:type="dxa" w:w="412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Nivel Básico</w:t>
            </w:r>
          </w:p>
        </w:tc>
        <w:tc>
          <w:tcPr>
            <w:tcW w:type="dxa" w:w="412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Nivel Intermedio</w:t>
            </w:r>
          </w:p>
        </w:tc>
        <w:tc>
          <w:tcPr>
            <w:tcW w:type="dxa" w:w="413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Nivel Avanzado</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Contenido de la ficha</w:t>
            </w:r>
          </w:p>
        </w:tc>
        <w:tc>
          <w:tcPr>
            <w:tcW w:type="dxa" w:w="4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Identificación de la brecha y criterio</w:t>
            </w:r>
          </w:p>
        </w:tc>
        <w:tc>
          <w:tcPr>
            <w:tcW w:type="dxa" w:w="4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Valoración de riesgo (P×I) y causa raíz (5 Porqués)</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Cuantificación de la brecha, costo de no calidad y proyección TO-BE</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Vínculo PHVA</w:t>
            </w:r>
          </w:p>
        </w:tc>
        <w:tc>
          <w:tcPr>
            <w:tcW w:type="dxa" w:w="4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Planificar: registrar la brecha</w:t>
            </w:r>
          </w:p>
        </w:tc>
        <w:tc>
          <w:tcPr>
            <w:tcW w:type="dxa" w:w="4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Planificar: priorizar y analizar causa</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Planificar–Actuar: cierre de brecha verificable con KPI</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Referencia principal</w:t>
            </w:r>
          </w:p>
        </w:tc>
        <w:tc>
          <w:tcPr>
            <w:tcW w:type="dxa" w:w="4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NTP-ISO 9001:2015, 9.1.3</w:t>
            </w:r>
          </w:p>
        </w:tc>
        <w:tc>
          <w:tcPr>
            <w:tcW w:type="dxa" w:w="4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ISO 31000:2018; 5 Porqués / Ishikawa</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BPM CBOK 4.0 (TO-BE); Six Sigma (DPMO, Cp/Cpk); 6.1 y 10.2</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Perfil recomendado</w:t>
            </w:r>
          </w:p>
        </w:tc>
        <w:tc>
          <w:tcPr>
            <w:tcW w:type="dxa" w:w="4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SGC en formación / MYPE (GP 1 INACAL)</w:t>
            </w:r>
          </w:p>
        </w:tc>
        <w:tc>
          <w:tcPr>
            <w:tcW w:type="dxa" w:w="4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SGC implementado en consolidación</w:t>
            </w:r>
          </w:p>
        </w:tc>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SGC maduro con métricas estadísticas</w:t>
            </w:r>
          </w:p>
        </w:tc>
      </w:tr>
    </w:tbl>
    <w:p>
      <w:pPr>
        <w:spacing w:after="100" w:before="100"/>
        <w:jc w:val="left"/>
      </w:pPr>
      <w:r>
        <w:rPr>
          <w:rFonts w:ascii="Arial" w:cs="Arial" w:eastAsia="Arial" w:hAnsi="Arial"/>
          <w:b/>
          <w:bCs/>
          <w:i w:val="false"/>
          <w:iCs w:val="false"/>
          <w:color w:val="000000"/>
          <w:sz w:val="16"/>
          <w:szCs w:val="16"/>
        </w:rPr>
        <w:t xml:space="preserve">Recomendación metodológica: </w:t>
      </w:r>
      <w:r>
        <w:rPr>
          <w:rFonts w:ascii="Arial" w:cs="Arial" w:eastAsia="Arial" w:hAnsi="Arial"/>
          <w:b w:val="false"/>
          <w:bCs w:val="false"/>
          <w:i/>
          <w:iCs/>
          <w:color w:val="000000"/>
          <w:sz w:val="16"/>
          <w:szCs w:val="16"/>
        </w:rPr>
        <w:t xml:space="preserve">seleccione el nivel acorde a la madurez del SGC (puede apoyarse en una autoevaluación según NTP-ISO 9004:2018). Los tres niveles conviven en este documento; utilice únicamente el que corresponda y elimine los demás al instanciar la plantilla.</w:t>
      </w:r>
    </w:p>
    <w:p>
      <w:r>
        <w:br w:type="pag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0"/>
      </w:tblGrid>
      <w:tr>
        <w:tc>
          <w:tcPr>
            <w:tcW w:type="dxa" w:w="14570"/>
            <w:tcBorders>
              <w:top w:val="single" w:color="2E74B5" w:sz="4"/>
              <w:left w:val="single" w:color="2E74B5" w:sz="4"/>
              <w:bottom w:val="single" w:color="2E74B5" w:sz="4"/>
              <w:right w:val="single" w:color="2E74B5" w:sz="4"/>
            </w:tcBorders>
            <w:shd w:fill="2E74B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22"/>
                <w:szCs w:val="22"/>
              </w:rPr>
              <w:t xml:space="preserve">NIVEL BÁSICO — IDENTIFICACIÓN DE LA BRECHA</w:t>
            </w:r>
          </w:p>
        </w:tc>
      </w:tr>
    </w:tbl>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600"/>
        <w:gridCol w:w="10970"/>
      </w:tblGrid>
      <w:tr>
        <w:tc>
          <w:tcPr>
            <w:tcW w:type="dxa" w:w="3600"/>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Código de la brecha</w:t>
            </w:r>
          </w:p>
        </w:tc>
        <w:tc>
          <w:tcPr>
            <w:tcW w:type="dxa" w:w="109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[BR-AAAA-N°]</w:t>
            </w:r>
          </w:p>
        </w:tc>
      </w:tr>
      <w:tr>
        <w:tc>
          <w:tcPr>
            <w:tcW w:type="dxa" w:w="3600"/>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Fecha de identificación</w:t>
            </w:r>
          </w:p>
        </w:tc>
        <w:tc>
          <w:tcPr>
            <w:tcW w:type="dxa" w:w="109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[DD/MM/AAAA]</w:t>
            </w:r>
          </w:p>
        </w:tc>
      </w:tr>
      <w:tr>
        <w:tc>
          <w:tcPr>
            <w:tcW w:type="dxa" w:w="3600"/>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Proceso / área evaluada</w:t>
            </w:r>
          </w:p>
        </w:tc>
        <w:tc>
          <w:tcPr>
            <w:tcW w:type="dxa" w:w="109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3600"/>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Responsable del registro</w:t>
            </w:r>
          </w:p>
        </w:tc>
        <w:tc>
          <w:tcPr>
            <w:tcW w:type="dxa" w:w="109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[NOMBRE / CARGO] — Elaborado bajo metodología Pierre R.</w:t>
            </w:r>
          </w:p>
        </w:tc>
      </w:tr>
      <w:tr>
        <w:tc>
          <w:tcPr>
            <w:tcW w:type="dxa" w:w="3600"/>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Criterio de referencia (TO-BE)</w:t>
            </w:r>
          </w:p>
        </w:tc>
        <w:tc>
          <w:tcPr>
            <w:tcW w:type="dxa" w:w="109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[Cláusula NTP-ISO 9001:2015 / normativa interna / buena práctica / requisito del cliente]</w:t>
            </w:r>
          </w:p>
        </w:tc>
      </w:tr>
      <w:tr>
        <w:tc>
          <w:tcPr>
            <w:tcW w:type="dxa" w:w="3600"/>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Situación actual evidenciada (AS-IS)</w:t>
            </w:r>
          </w:p>
        </w:tc>
        <w:tc>
          <w:tcPr>
            <w:tcW w:type="dxa" w:w="109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[Descripción objetiva de lo observado, con referencia a la fuente del levantamiento]</w:t>
            </w:r>
          </w:p>
        </w:tc>
      </w:tr>
      <w:tr>
        <w:tc>
          <w:tcPr>
            <w:tcW w:type="dxa" w:w="3600"/>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Descripción de la brecha</w:t>
            </w:r>
          </w:p>
        </w:tc>
        <w:tc>
          <w:tcPr>
            <w:tcW w:type="dxa" w:w="109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[Diferencia concreta entre el criterio y la situación actual]</w:t>
            </w:r>
          </w:p>
        </w:tc>
      </w:tr>
      <w:tr>
        <w:tc>
          <w:tcPr>
            <w:tcW w:type="dxa" w:w="3600"/>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Evidencia que la sustenta</w:t>
            </w:r>
          </w:p>
        </w:tc>
        <w:tc>
          <w:tcPr>
            <w:tcW w:type="dxa" w:w="109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[Entrevista N°, encuesta, observación, documento — trazable al levantamiento]</w:t>
            </w:r>
          </w:p>
        </w:tc>
      </w:tr>
      <w:tr>
        <w:tc>
          <w:tcPr>
            <w:tcW w:type="dxa" w:w="3600"/>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Tipo de brecha</w:t>
            </w:r>
          </w:p>
        </w:tc>
        <w:tc>
          <w:tcPr>
            <w:tcW w:type="dxa" w:w="109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[Documental / Operativa / De competencia / De recursos / De medición / Normativa]</w:t>
            </w:r>
          </w:p>
        </w:tc>
      </w:tr>
      <w:tr>
        <w:tc>
          <w:tcPr>
            <w:tcW w:type="dxa" w:w="3600"/>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¿Constituye no conformidad? (10.2)</w:t>
            </w:r>
          </w:p>
        </w:tc>
        <w:tc>
          <w:tcPr>
            <w:tcW w:type="dxa" w:w="109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[Sí / No — si es Sí, indicar requisito incumplido]</w:t>
            </w:r>
          </w:p>
        </w:tc>
      </w:tr>
      <w:tr>
        <w:tc>
          <w:tcPr>
            <w:tcW w:type="dxa" w:w="3600"/>
            <w:tcBorders>
              <w:top w:val="single" w:color="BFBFBF" w:sz="4"/>
              <w:left w:val="single" w:color="BFBFBF" w:sz="4"/>
              <w:bottom w:val="single" w:color="BFBFBF" w:sz="4"/>
              <w:right w:val="single" w:color="BFBFBF" w:sz="4"/>
            </w:tcBorders>
            <w:shd w:fill="DEEAF6"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Hallazgo asociado (MH-SGC-001)</w:t>
            </w:r>
          </w:p>
        </w:tc>
        <w:tc>
          <w:tcPr>
            <w:tcW w:type="dxa" w:w="109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[N° de hallazgo en la Matriz de Hallazgos]</w:t>
            </w:r>
          </w:p>
        </w:tc>
      </w:tr>
    </w:tbl>
    <w:p>
      <w:pPr>
        <w:spacing w:after="60" w:before="100"/>
        <w:jc w:val="left"/>
      </w:pPr>
      <w:r>
        <w:rPr>
          <w:rFonts w:ascii="Arial" w:cs="Arial" w:eastAsia="Arial" w:hAnsi="Arial"/>
          <w:b/>
          <w:bCs/>
          <w:i w:val="false"/>
          <w:iCs w:val="false"/>
          <w:color w:val="000000"/>
          <w:sz w:val="16"/>
          <w:szCs w:val="16"/>
        </w:rPr>
        <w:t xml:space="preserve">Instrucción de llenado: </w:t>
      </w:r>
      <w:r>
        <w:rPr>
          <w:rFonts w:ascii="Arial" w:cs="Arial" w:eastAsia="Arial" w:hAnsi="Arial"/>
          <w:b w:val="false"/>
          <w:bCs w:val="false"/>
          <w:i/>
          <w:iCs/>
          <w:color w:val="000000"/>
          <w:sz w:val="16"/>
          <w:szCs w:val="16"/>
        </w:rPr>
        <w:t xml:space="preserve">redacte la situación actual en términos verificables (qué, dónde, cuándo, evidencia), siguiendo la lógica de hallazgo de la ISO 19011:2018: evidencia evaluada frente a criterio. Evite juicios de valor sin sustento.</w:t>
      </w:r>
    </w:p>
    <w:p>
      <w:r>
        <w:br w:type="pag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0"/>
      </w:tblGrid>
      <w:tr>
        <w:tc>
          <w:tcPr>
            <w:tcW w:type="dxa" w:w="14570"/>
            <w:tcBorders>
              <w:top w:val="single" w:color="548235" w:sz="4"/>
              <w:left w:val="single" w:color="548235" w:sz="4"/>
              <w:bottom w:val="single" w:color="548235" w:sz="4"/>
              <w:right w:val="single" w:color="548235"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22"/>
                <w:szCs w:val="22"/>
              </w:rPr>
              <w:t xml:space="preserve">NIVEL INTERMEDIO — VALORACIÓN, PRIORIZACIÓN Y CAUSA RAÍZ</w:t>
            </w:r>
          </w:p>
        </w:tc>
      </w:tr>
    </w:tbl>
    <w:p>
      <w:pPr>
        <w:pStyle w:val="Heading2"/>
        <w:spacing w:after="100" w:before="160"/>
      </w:pPr>
      <w:r>
        <w:rPr>
          <w:rFonts w:ascii="Arial" w:cs="Arial" w:eastAsia="Arial" w:hAnsi="Arial"/>
          <w:b/>
          <w:bCs/>
          <w:color w:val="2E4D87"/>
          <w:sz w:val="22"/>
          <w:szCs w:val="22"/>
        </w:rPr>
        <w:t xml:space="preserve">Valoración del riesgo asociado a la brecha (ISO 31000:2018 / apartado 6.1)</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800"/>
        <w:gridCol w:w="3200"/>
        <w:gridCol w:w="3200"/>
        <w:gridCol w:w="3370"/>
      </w:tblGrid>
      <w:tr>
        <w:trPr>
          <w:tblHeader/>
        </w:trPr>
        <w:tc>
          <w:tcPr>
            <w:tcW w:type="dxa" w:w="480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Criterio de valoración</w:t>
            </w:r>
          </w:p>
        </w:tc>
        <w:tc>
          <w:tcPr>
            <w:tcW w:type="dxa" w:w="320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Probabilidad (1–5)</w:t>
            </w:r>
          </w:p>
        </w:tc>
        <w:tc>
          <w:tcPr>
            <w:tcW w:type="dxa" w:w="320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Impacto (1–5)</w:t>
            </w:r>
          </w:p>
        </w:tc>
        <w:tc>
          <w:tcPr>
            <w:tcW w:type="dxa" w:w="337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Nivel de riesgo (P × I)</w:t>
            </w:r>
          </w:p>
        </w:tc>
      </w:tr>
      <w:t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Riesgo de mantener la brecha sin tratamiento</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[1–5]</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[1–5]</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[1–25]</w:t>
            </w:r>
          </w:p>
        </w:tc>
      </w:tr>
    </w:tbl>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600"/>
        <w:gridCol w:w="3700"/>
        <w:gridCol w:w="3700"/>
        <w:gridCol w:w="3570"/>
      </w:tblGrid>
      <w:tr>
        <w:trPr>
          <w:tblHeader/>
        </w:trPr>
        <w:tc>
          <w:tcPr>
            <w:tcW w:type="dxa" w:w="360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Escala</w:t>
            </w:r>
          </w:p>
        </w:tc>
        <w:tc>
          <w:tcPr>
            <w:tcW w:type="dxa" w:w="370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Bajo (1–6)</w:t>
            </w:r>
          </w:p>
        </w:tc>
        <w:tc>
          <w:tcPr>
            <w:tcW w:type="dxa" w:w="370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Medio (8–12)</w:t>
            </w:r>
          </w:p>
        </w:tc>
        <w:tc>
          <w:tcPr>
            <w:tcW w:type="dxa" w:w="357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Alto (15–25)</w:t>
            </w:r>
          </w:p>
        </w:tc>
      </w:tr>
      <w:tr>
        <w:tc>
          <w:tcPr>
            <w:tcW w:type="dxa" w:w="3600"/>
            <w:tcBorders>
              <w:top w:val="single" w:color="BFBFBF" w:sz="4"/>
              <w:left w:val="single" w:color="BFBFBF" w:sz="4"/>
              <w:bottom w:val="single" w:color="BFBFBF" w:sz="4"/>
              <w:right w:val="single" w:color="BFBFBF" w:sz="4"/>
            </w:tcBorders>
            <w:shd w:fill="E2EFD9"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Tratamiento</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5"/>
                <w:szCs w:val="15"/>
              </w:rPr>
              <w:t xml:space="preserve">Monitorear; cierre en ciclo regular de mejora</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5"/>
                <w:szCs w:val="15"/>
              </w:rPr>
              <w:t xml:space="preserve">Plan de acción con responsable y plazo</w:t>
            </w:r>
          </w:p>
        </w:tc>
        <w:tc>
          <w:tcPr>
            <w:tcW w:type="dxa" w:w="35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5"/>
                <w:szCs w:val="15"/>
              </w:rPr>
              <w:t xml:space="preserve">Acción inmediata; escalamiento a la dirección (5.1)</w:t>
            </w:r>
          </w:p>
        </w:tc>
      </w:tr>
    </w:tbl>
    <w:p>
      <w:pPr>
        <w:pStyle w:val="Heading2"/>
        <w:spacing w:after="100" w:before="160"/>
      </w:pPr>
      <w:r>
        <w:rPr>
          <w:rFonts w:ascii="Arial" w:cs="Arial" w:eastAsia="Arial" w:hAnsi="Arial"/>
          <w:b/>
          <w:bCs/>
          <w:color w:val="2E4D87"/>
          <w:sz w:val="22"/>
          <w:szCs w:val="22"/>
        </w:rPr>
        <w:t xml:space="preserve">Análisis de causa raíz — 5 Porqués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00"/>
        <w:gridCol w:w="11970"/>
      </w:tblGrid>
      <w:tr>
        <w:tc>
          <w:tcPr>
            <w:tcW w:type="dxa" w:w="2600"/>
            <w:tcBorders>
              <w:top w:val="single" w:color="BFBFBF" w:sz="4"/>
              <w:left w:val="single" w:color="BFBFBF" w:sz="4"/>
              <w:bottom w:val="single" w:color="BFBFBF" w:sz="4"/>
              <w:right w:val="single" w:color="BFBFBF" w:sz="4"/>
            </w:tcBorders>
            <w:shd w:fill="E2EFD9"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¿Por qué 1?</w:t>
            </w:r>
          </w:p>
        </w:tc>
        <w:tc>
          <w:tcPr>
            <w:tcW w:type="dxa" w:w="119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2600"/>
            <w:tcBorders>
              <w:top w:val="single" w:color="BFBFBF" w:sz="4"/>
              <w:left w:val="single" w:color="BFBFBF" w:sz="4"/>
              <w:bottom w:val="single" w:color="BFBFBF" w:sz="4"/>
              <w:right w:val="single" w:color="BFBFBF" w:sz="4"/>
            </w:tcBorders>
            <w:shd w:fill="E2EFD9"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¿Por qué 2?</w:t>
            </w:r>
          </w:p>
        </w:tc>
        <w:tc>
          <w:tcPr>
            <w:tcW w:type="dxa" w:w="119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2600"/>
            <w:tcBorders>
              <w:top w:val="single" w:color="BFBFBF" w:sz="4"/>
              <w:left w:val="single" w:color="BFBFBF" w:sz="4"/>
              <w:bottom w:val="single" w:color="BFBFBF" w:sz="4"/>
              <w:right w:val="single" w:color="BFBFBF" w:sz="4"/>
            </w:tcBorders>
            <w:shd w:fill="E2EFD9"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¿Por qué 3?</w:t>
            </w:r>
          </w:p>
        </w:tc>
        <w:tc>
          <w:tcPr>
            <w:tcW w:type="dxa" w:w="119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2600"/>
            <w:tcBorders>
              <w:top w:val="single" w:color="BFBFBF" w:sz="4"/>
              <w:left w:val="single" w:color="BFBFBF" w:sz="4"/>
              <w:bottom w:val="single" w:color="BFBFBF" w:sz="4"/>
              <w:right w:val="single" w:color="BFBFBF" w:sz="4"/>
            </w:tcBorders>
            <w:shd w:fill="E2EFD9"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¿Por qué 4?</w:t>
            </w:r>
          </w:p>
        </w:tc>
        <w:tc>
          <w:tcPr>
            <w:tcW w:type="dxa" w:w="119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2600"/>
            <w:tcBorders>
              <w:top w:val="single" w:color="BFBFBF" w:sz="4"/>
              <w:left w:val="single" w:color="BFBFBF" w:sz="4"/>
              <w:bottom w:val="single" w:color="BFBFBF" w:sz="4"/>
              <w:right w:val="single" w:color="BFBFBF" w:sz="4"/>
            </w:tcBorders>
            <w:shd w:fill="E2EFD9"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¿Por qué 5?</w:t>
            </w:r>
          </w:p>
        </w:tc>
        <w:tc>
          <w:tcPr>
            <w:tcW w:type="dxa" w:w="119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260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FFFFFF"/>
                <w:sz w:val="16"/>
                <w:szCs w:val="16"/>
              </w:rPr>
              <w:t xml:space="preserve">CAUSA RAÍZ</w:t>
            </w:r>
          </w:p>
        </w:tc>
        <w:tc>
          <w:tcPr>
            <w:tcW w:type="dxa" w:w="119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[Causa raíz validada — sobre ella se diseña la acción]</w:t>
            </w:r>
          </w:p>
        </w:tc>
      </w:tr>
    </w:tbl>
    <w:p>
      <w:pPr>
        <w:spacing w:after="60" w:before="60"/>
        <w:jc w:val="left"/>
      </w:pPr>
      <w:r>
        <w:rPr>
          <w:rFonts w:ascii="Arial" w:cs="Arial" w:eastAsia="Arial" w:hAnsi="Arial"/>
          <w:b/>
          <w:bCs/>
          <w:i w:val="false"/>
          <w:iCs w:val="false"/>
          <w:color w:val="000000"/>
          <w:sz w:val="16"/>
          <w:szCs w:val="16"/>
        </w:rPr>
        <w:t xml:space="preserve">Buena práctica: </w:t>
      </w:r>
      <w:r>
        <w:rPr>
          <w:rFonts w:ascii="Arial" w:cs="Arial" w:eastAsia="Arial" w:hAnsi="Arial"/>
          <w:b w:val="false"/>
          <w:bCs w:val="false"/>
          <w:i/>
          <w:iCs/>
          <w:color w:val="000000"/>
          <w:sz w:val="16"/>
          <w:szCs w:val="16"/>
        </w:rPr>
        <w:t xml:space="preserve">si la brecha es compleja o multicausal, complemente con diagrama de Ishikawa (6M: mano de obra, método, máquina, material, medición, medio ambiente) y registre aquí la causa raíz priorizada.</w:t>
      </w:r>
    </w:p>
    <w:p>
      <w:pPr>
        <w:pStyle w:val="Heading2"/>
        <w:spacing w:after="100" w:before="160"/>
      </w:pPr>
      <w:r>
        <w:rPr>
          <w:rFonts w:ascii="Arial" w:cs="Arial" w:eastAsia="Arial" w:hAnsi="Arial"/>
          <w:b/>
          <w:bCs/>
          <w:color w:val="2E4D87"/>
          <w:sz w:val="22"/>
          <w:szCs w:val="22"/>
        </w:rPr>
        <w:t xml:space="preserve">Priorización de la brecha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900"/>
        <w:gridCol w:w="2900"/>
        <w:gridCol w:w="2770"/>
      </w:tblGrid>
      <w:tr>
        <w:trPr>
          <w:tblHeader/>
        </w:trPr>
        <w:tc>
          <w:tcPr>
            <w:tcW w:type="dxa" w:w="300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Nivel de riesgo (P×I)</w:t>
            </w:r>
          </w:p>
        </w:tc>
        <w:tc>
          <w:tcPr>
            <w:tcW w:type="dxa" w:w="300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Esfuerzo de cierre (Alto/Medio/Bajo)</w:t>
            </w:r>
          </w:p>
        </w:tc>
        <w:tc>
          <w:tcPr>
            <w:tcW w:type="dxa" w:w="290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Impacto en el cliente / ciudadano</w:t>
            </w:r>
          </w:p>
        </w:tc>
        <w:tc>
          <w:tcPr>
            <w:tcW w:type="dxa" w:w="290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Exigencia normativa (Sí/No)</w:t>
            </w:r>
          </w:p>
        </w:tc>
        <w:tc>
          <w:tcPr>
            <w:tcW w:type="dxa" w:w="2770"/>
            <w:tcBorders>
              <w:top w:val="single" w:color="BFBFBF" w:sz="4"/>
              <w:left w:val="single" w:color="BFBFBF" w:sz="4"/>
              <w:bottom w:val="single" w:color="BFBFBF" w:sz="4"/>
              <w:right w:val="single" w:color="BFBFBF" w:sz="4"/>
            </w:tcBorders>
            <w:shd w:fill="548235"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Prioridad resultante (1/2/3)</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7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bl>
    <w:p>
      <w:r>
        <w:br w:type="pag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0"/>
      </w:tblGrid>
      <w:tr>
        <w:tc>
          <w:tcPr>
            <w:tcW w:type="dxa" w:w="14570"/>
            <w:tcBorders>
              <w:top w:val="single" w:color="C55A11" w:sz="4"/>
              <w:left w:val="single" w:color="C55A11" w:sz="4"/>
              <w:bottom w:val="single" w:color="C55A11" w:sz="4"/>
              <w:right w:val="single" w:color="C55A11"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22"/>
                <w:szCs w:val="22"/>
              </w:rPr>
              <w:t xml:space="preserve">NIVEL AVANZADO — CUANTIFICACIÓN, COSTO DE NO CALIDAD Y PROYECCIÓN TO-BE</w:t>
            </w:r>
          </w:p>
        </w:tc>
      </w:tr>
    </w:tbl>
    <w:p>
      <w:pPr>
        <w:pStyle w:val="Heading2"/>
        <w:spacing w:after="100" w:before="160"/>
      </w:pPr>
      <w:r>
        <w:rPr>
          <w:rFonts w:ascii="Arial" w:cs="Arial" w:eastAsia="Arial" w:hAnsi="Arial"/>
          <w:b/>
          <w:bCs/>
          <w:color w:val="2E4D87"/>
          <w:sz w:val="22"/>
          <w:szCs w:val="22"/>
        </w:rPr>
        <w:t xml:space="preserve">Cuantificación de la brecha (línea base vs. meta)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2600"/>
        <w:gridCol w:w="2600"/>
        <w:gridCol w:w="3370"/>
      </w:tblGrid>
      <w:tr>
        <w:trPr>
          <w:tblHeader/>
        </w:trPr>
        <w:tc>
          <w:tcPr>
            <w:tcW w:type="dxa" w:w="3400"/>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Indicador (KPI) afectado</w:t>
            </w:r>
          </w:p>
        </w:tc>
        <w:tc>
          <w:tcPr>
            <w:tcW w:type="dxa" w:w="2600"/>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Valor actual (AS-IS)</w:t>
            </w:r>
          </w:p>
        </w:tc>
        <w:tc>
          <w:tcPr>
            <w:tcW w:type="dxa" w:w="2600"/>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Valor objetivo (TO-BE)</w:t>
            </w:r>
          </w:p>
        </w:tc>
        <w:tc>
          <w:tcPr>
            <w:tcW w:type="dxa" w:w="2600"/>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Brecha cuantificada</w:t>
            </w:r>
          </w:p>
        </w:tc>
        <w:tc>
          <w:tcPr>
            <w:tcW w:type="dxa" w:w="3370"/>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Fuente de medición (9.1.1)</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r>
    </w:tbl>
    <w:p>
      <w:pPr>
        <w:spacing w:after="60" w:before="60"/>
        <w:jc w:val="left"/>
      </w:pPr>
      <w:r>
        <w:rPr>
          <w:rFonts w:ascii="Arial" w:cs="Arial" w:eastAsia="Arial" w:hAnsi="Arial"/>
          <w:b/>
          <w:bCs/>
          <w:i w:val="false"/>
          <w:iCs w:val="false"/>
          <w:color w:val="000000"/>
          <w:sz w:val="16"/>
          <w:szCs w:val="16"/>
        </w:rPr>
        <w:t xml:space="preserve">Métricas sugeridas: </w:t>
      </w:r>
      <w:r>
        <w:rPr>
          <w:rFonts w:ascii="Arial" w:cs="Arial" w:eastAsia="Arial" w:hAnsi="Arial"/>
          <w:b w:val="false"/>
          <w:bCs w:val="false"/>
          <w:i/>
          <w:iCs/>
          <w:color w:val="000000"/>
          <w:sz w:val="16"/>
          <w:szCs w:val="16"/>
        </w:rPr>
        <w:t xml:space="preserve">eficacia (% cumplimiento de salida conforme), eficiencia (recursos/salida), tiempo de ciclo, % reprocesos, DPMO y capacidad de proceso (Cp/Cpk) cuando exista data estadística suficiente (enfoque Six Sigma).</w:t>
      </w:r>
    </w:p>
    <w:p>
      <w:pPr>
        <w:pStyle w:val="Heading2"/>
        <w:spacing w:after="100" w:before="160"/>
      </w:pPr>
      <w:r>
        <w:rPr>
          <w:rFonts w:ascii="Arial" w:cs="Arial" w:eastAsia="Arial" w:hAnsi="Arial"/>
          <w:b/>
          <w:bCs/>
          <w:color w:val="2E4D87"/>
          <w:sz w:val="22"/>
          <w:szCs w:val="22"/>
        </w:rPr>
        <w:t xml:space="preserve">Costo de no calidad asociado (CNC)</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800"/>
        <w:gridCol w:w="3300"/>
        <w:gridCol w:w="3300"/>
        <w:gridCol w:w="3170"/>
      </w:tblGrid>
      <w:tr>
        <w:trPr>
          <w:tblHeader/>
        </w:trPr>
        <w:tc>
          <w:tcPr>
            <w:tcW w:type="dxa" w:w="4800"/>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Concepto</w:t>
            </w:r>
          </w:p>
        </w:tc>
        <w:tc>
          <w:tcPr>
            <w:tcW w:type="dxa" w:w="3300"/>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Descripción</w:t>
            </w:r>
          </w:p>
        </w:tc>
        <w:tc>
          <w:tcPr>
            <w:tcW w:type="dxa" w:w="3300"/>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Costo estimado mensual (S/)</w:t>
            </w:r>
          </w:p>
        </w:tc>
        <w:tc>
          <w:tcPr>
            <w:tcW w:type="dxa" w:w="3170"/>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Costo anualizado (S/)</w:t>
            </w:r>
          </w:p>
        </w:tc>
      </w:tr>
      <w:tr>
        <w:tc>
          <w:tcPr>
            <w:tcW w:type="dxa" w:w="4800"/>
            <w:tcBorders>
              <w:top w:val="single" w:color="BFBFBF" w:sz="4"/>
              <w:left w:val="single" w:color="BFBFBF" w:sz="4"/>
              <w:bottom w:val="single" w:color="BFBFBF" w:sz="4"/>
              <w:right w:val="single" w:color="BFBFBF" w:sz="4"/>
            </w:tcBorders>
            <w:shd w:fill="FBE4D5"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Fallas internas (reprocesos, mermas)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[S/]</w:t>
            </w:r>
          </w:p>
        </w:tc>
        <w:tc>
          <w:tcPr>
            <w:tcW w:type="dxa" w:w="31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[S/]</w:t>
            </w:r>
          </w:p>
        </w:tc>
      </w:tr>
      <w:tr>
        <w:tc>
          <w:tcPr>
            <w:tcW w:type="dxa" w:w="4800"/>
            <w:tcBorders>
              <w:top w:val="single" w:color="BFBFBF" w:sz="4"/>
              <w:left w:val="single" w:color="BFBFBF" w:sz="4"/>
              <w:bottom w:val="single" w:color="BFBFBF" w:sz="4"/>
              <w:right w:val="single" w:color="BFBFBF" w:sz="4"/>
            </w:tcBorders>
            <w:shd w:fill="FBE4D5"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Fallas externas (reclamos, devoluciones, penalidades)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[S/]</w:t>
            </w:r>
          </w:p>
        </w:tc>
        <w:tc>
          <w:tcPr>
            <w:tcW w:type="dxa" w:w="31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[S/]</w:t>
            </w:r>
          </w:p>
        </w:tc>
      </w:tr>
      <w:tr>
        <w:tc>
          <w:tcPr>
            <w:tcW w:type="dxa" w:w="4800"/>
            <w:tcBorders>
              <w:top w:val="single" w:color="BFBFBF" w:sz="4"/>
              <w:left w:val="single" w:color="BFBFBF" w:sz="4"/>
              <w:bottom w:val="single" w:color="BFBFBF" w:sz="4"/>
              <w:right w:val="single" w:color="BFBFBF" w:sz="4"/>
            </w:tcBorders>
            <w:shd w:fill="FBE4D5"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Horas-hombre perdidas en esperas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[S/]</w:t>
            </w:r>
          </w:p>
        </w:tc>
        <w:tc>
          <w:tcPr>
            <w:tcW w:type="dxa" w:w="31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[S/]</w:t>
            </w:r>
          </w:p>
        </w:tc>
      </w:tr>
      <w:tr>
        <w:tc>
          <w:tcPr>
            <w:tcW w:type="dxa" w:w="4800"/>
            <w:tcBorders>
              <w:top w:val="single" w:color="BFBFBF" w:sz="4"/>
              <w:left w:val="single" w:color="BFBFBF" w:sz="4"/>
              <w:bottom w:val="single" w:color="BFBFBF" w:sz="4"/>
              <w:right w:val="single" w:color="BFBFBF" w:sz="4"/>
            </w:tcBorders>
            <w:shd w:fill="FBE4D5"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i w:val="false"/>
                <w:iCs w:val="false"/>
                <w:color w:val="000000"/>
                <w:sz w:val="16"/>
                <w:szCs w:val="16"/>
              </w:rPr>
              <w:t xml:space="preserve">Otros (especificar)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[S/]</w:t>
            </w:r>
          </w:p>
        </w:tc>
        <w:tc>
          <w:tcPr>
            <w:tcW w:type="dxa" w:w="31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[S/]</w:t>
            </w:r>
          </w:p>
        </w:tc>
      </w:tr>
    </w:tbl>
    <w:p>
      <w:pPr>
        <w:pStyle w:val="Heading2"/>
        <w:spacing w:after="100" w:before="160"/>
      </w:pPr>
      <w:r>
        <w:rPr>
          <w:rFonts w:ascii="Arial" w:cs="Arial" w:eastAsia="Arial" w:hAnsi="Arial"/>
          <w:b/>
          <w:bCs/>
          <w:color w:val="2E4D87"/>
          <w:sz w:val="22"/>
          <w:szCs w:val="22"/>
        </w:rPr>
        <w:t xml:space="preserve">Proyección del cierre de brecha (vínculo PHVA)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700"/>
        <w:gridCol w:w="2600"/>
        <w:gridCol w:w="2470"/>
      </w:tblGrid>
      <w:tr>
        <w:trPr>
          <w:tblHeader/>
        </w:trPr>
        <w:tc>
          <w:tcPr>
            <w:tcW w:type="dxa" w:w="2400"/>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Etapa PHVA</w:t>
            </w:r>
          </w:p>
        </w:tc>
        <w:tc>
          <w:tcPr>
            <w:tcW w:type="dxa" w:w="4400"/>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Acción propuesta para cerrar la brecha</w:t>
            </w:r>
          </w:p>
        </w:tc>
        <w:tc>
          <w:tcPr>
            <w:tcW w:type="dxa" w:w="2700"/>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Responsable</w:t>
            </w:r>
          </w:p>
        </w:tc>
        <w:tc>
          <w:tcPr>
            <w:tcW w:type="dxa" w:w="2600"/>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Plazo</w:t>
            </w:r>
          </w:p>
        </w:tc>
        <w:tc>
          <w:tcPr>
            <w:tcW w:type="dxa" w:w="2470"/>
            <w:tcBorders>
              <w:top w:val="single" w:color="BFBFBF" w:sz="4"/>
              <w:left w:val="single" w:color="BFBFBF" w:sz="4"/>
              <w:bottom w:val="single" w:color="BFBFBF" w:sz="4"/>
              <w:right w:val="single" w:color="BFBFBF" w:sz="4"/>
            </w:tcBorders>
            <w:shd w:fill="C55A11"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Evidencia de cierre esperada</w:t>
            </w:r>
          </w:p>
        </w:tc>
      </w:tr>
      <w:tr>
        <w:tc>
          <w:tcPr>
            <w:tcW w:type="dxa" w:w="2400"/>
            <w:tcBorders>
              <w:top w:val="single" w:color="BFBFBF" w:sz="4"/>
              <w:left w:val="single" w:color="BFBFBF" w:sz="4"/>
              <w:bottom w:val="single" w:color="BFBFBF" w:sz="4"/>
              <w:right w:val="single" w:color="BFBFBF" w:sz="4"/>
            </w:tcBorders>
            <w:shd w:fill="FBE4D5"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Planificar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[NOMBRE / CARGO]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[DD/MM/AAAA]</w:t>
            </w:r>
          </w:p>
        </w:tc>
        <w:tc>
          <w:tcPr>
            <w:tcW w:type="dxa" w:w="24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[Registro / KPI]</w:t>
            </w:r>
          </w:p>
        </w:tc>
      </w:tr>
      <w:tr>
        <w:tc>
          <w:tcPr>
            <w:tcW w:type="dxa" w:w="2400"/>
            <w:tcBorders>
              <w:top w:val="single" w:color="BFBFBF" w:sz="4"/>
              <w:left w:val="single" w:color="BFBFBF" w:sz="4"/>
              <w:bottom w:val="single" w:color="BFBFBF" w:sz="4"/>
              <w:right w:val="single" w:color="BFBFBF" w:sz="4"/>
            </w:tcBorders>
            <w:shd w:fill="FBE4D5"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Hacer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[NOMBRE / CARGO]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[DD/MM/AAAA]</w:t>
            </w:r>
          </w:p>
        </w:tc>
        <w:tc>
          <w:tcPr>
            <w:tcW w:type="dxa" w:w="24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[Registro / KPI]</w:t>
            </w:r>
          </w:p>
        </w:tc>
      </w:tr>
      <w:tr>
        <w:tc>
          <w:tcPr>
            <w:tcW w:type="dxa" w:w="2400"/>
            <w:tcBorders>
              <w:top w:val="single" w:color="BFBFBF" w:sz="4"/>
              <w:left w:val="single" w:color="BFBFBF" w:sz="4"/>
              <w:bottom w:val="single" w:color="BFBFBF" w:sz="4"/>
              <w:right w:val="single" w:color="BFBFBF" w:sz="4"/>
            </w:tcBorders>
            <w:shd w:fill="FBE4D5"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Verificar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[NOMBRE / CARGO]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[DD/MM/AAAA]</w:t>
            </w:r>
          </w:p>
        </w:tc>
        <w:tc>
          <w:tcPr>
            <w:tcW w:type="dxa" w:w="24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[Registro / KPI]</w:t>
            </w:r>
          </w:p>
        </w:tc>
      </w:tr>
      <w:tr>
        <w:tc>
          <w:tcPr>
            <w:tcW w:type="dxa" w:w="2400"/>
            <w:tcBorders>
              <w:top w:val="single" w:color="BFBFBF" w:sz="4"/>
              <w:left w:val="single" w:color="BFBFBF" w:sz="4"/>
              <w:bottom w:val="single" w:color="BFBFBF" w:sz="4"/>
              <w:right w:val="single" w:color="BFBFBF" w:sz="4"/>
            </w:tcBorders>
            <w:shd w:fill="FBE4D5" w:val="clear"/>
            <w:tcMar>
              <w:top w:type="dxa" w:w="60"/>
              <w:left w:type="dxa" w:w="100"/>
              <w:bottom w:type="dxa" w:w="60"/>
              <w:right w:type="dxa" w:w="100"/>
            </w:tcMar>
            <w:vAlign w:val="center"/>
          </w:tcPr>
          <w:p>
            <w:pPr>
              <w:spacing w:after="20" w:before="20"/>
              <w:jc w:val="left"/>
            </w:pPr>
            <w:r>
              <w:rPr>
                <w:rFonts w:ascii="Arial" w:cs="Arial" w:eastAsia="Arial" w:hAnsi="Arial"/>
                <w:b/>
                <w:bCs/>
                <w:i w:val="false"/>
                <w:iCs w:val="false"/>
                <w:color w:val="000000"/>
                <w:sz w:val="16"/>
                <w:szCs w:val="16"/>
              </w:rPr>
              <w:t xml:space="preserve">Actuar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[DATO]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[NOMBRE / CARGO]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[DD/MM/AAAA]</w:t>
            </w:r>
          </w:p>
        </w:tc>
        <w:tc>
          <w:tcPr>
            <w:tcW w:type="dxa" w:w="247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i/>
                <w:iCs/>
                <w:color w:val="808080"/>
                <w:sz w:val="16"/>
                <w:szCs w:val="16"/>
              </w:rPr>
              <w:t xml:space="preserve">[Registro / KPI]</w:t>
            </w:r>
          </w:p>
        </w:tc>
      </w:tr>
    </w:tbl>
    <w:p>
      <w:pPr>
        <w:spacing w:after="60" w:before="60"/>
        <w:jc w:val="left"/>
      </w:pPr>
      <w:r>
        <w:rPr>
          <w:rFonts w:ascii="Arial" w:cs="Arial" w:eastAsia="Arial" w:hAnsi="Arial"/>
          <w:b/>
          <w:bCs/>
          <w:i w:val="false"/>
          <w:iCs w:val="false"/>
          <w:color w:val="000000"/>
          <w:sz w:val="16"/>
          <w:szCs w:val="16"/>
        </w:rPr>
        <w:t xml:space="preserve">Criterio de cierre: </w:t>
      </w:r>
      <w:r>
        <w:rPr>
          <w:rFonts w:ascii="Arial" w:cs="Arial" w:eastAsia="Arial" w:hAnsi="Arial"/>
          <w:b w:val="false"/>
          <w:bCs w:val="false"/>
          <w:i/>
          <w:iCs/>
          <w:color w:val="000000"/>
          <w:sz w:val="16"/>
          <w:szCs w:val="16"/>
        </w:rPr>
        <w:t xml:space="preserve">la brecha se declara cerrada únicamente cuando la verificación demuestra, con evidencia objetiva, que el KPI alcanzó el valor objetivo y que la causa raíz fue eliminada (verificación de eficacia, apartado 10.2.1 d) de la NTP-ISO 9001:2015). El resultado consolidado se reporta en el Reporte de Análisis (RA-SGC-004).</w:t>
      </w:r>
    </w:p>
    <w:p>
      <w:pPr>
        <w:pStyle w:val="Heading2"/>
        <w:spacing w:after="100" w:before="160"/>
      </w:pPr>
      <w:r>
        <w:rPr>
          <w:rFonts w:ascii="Arial" w:cs="Arial" w:eastAsia="Arial" w:hAnsi="Arial"/>
          <w:b/>
          <w:bCs/>
          <w:color w:val="2E4D87"/>
          <w:sz w:val="22"/>
          <w:szCs w:val="22"/>
        </w:rPr>
        <w:t xml:space="preserve">Aprobación de la ficha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856"/>
        <w:gridCol w:w="4857"/>
        <w:gridCol w:w="4857"/>
      </w:tblGrid>
      <w:tr>
        <w:trPr>
          <w:tblHeader/>
        </w:trPr>
        <w:tc>
          <w:tcPr>
            <w:tcW w:type="dxa" w:w="485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Elaborado por</w:t>
            </w:r>
          </w:p>
        </w:tc>
        <w:tc>
          <w:tcPr>
            <w:tcW w:type="dxa" w:w="4857"/>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Revisado por</w:t>
            </w:r>
          </w:p>
        </w:tc>
        <w:tc>
          <w:tcPr>
            <w:tcW w:type="dxa" w:w="4857"/>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spacing w:after="20" w:before="20"/>
              <w:jc w:val="center"/>
            </w:pPr>
            <w:r>
              <w:rPr>
                <w:rFonts w:ascii="Arial" w:cs="Arial" w:eastAsia="Arial" w:hAnsi="Arial"/>
                <w:b/>
                <w:bCs/>
                <w:i w:val="false"/>
                <w:iCs w:val="false"/>
                <w:color w:val="FFFFFF"/>
                <w:sz w:val="16"/>
                <w:szCs w:val="16"/>
              </w:rPr>
              <w:t xml:space="preserve">Aprobado por</w:t>
            </w:r>
          </w:p>
        </w:tc>
      </w:tr>
      <w:tr>
        <w:tc>
          <w:tcPr>
            <w:tcW w:type="dxa" w:w="485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val="false"/>
                <w:iCs w:val="false"/>
                <w:color w:val="000000"/>
                <w:sz w:val="16"/>
                <w:szCs w:val="16"/>
              </w:rPr>
              <w:t xml:space="preserve">Pierre R. — Consultor SGC</w:t>
            </w:r>
          </w:p>
          <w:p>
            <w:pPr>
              <w:spacing w:after="20" w:before="20"/>
              <w:jc w:val="center"/>
            </w:pPr>
            <w:r>
              <w:rPr>
                <w:rFonts w:ascii="Arial" w:cs="Arial" w:eastAsia="Arial" w:hAnsi="Arial"/>
                <w:b w:val="false"/>
                <w:bCs w:val="false"/>
                <w:i w:val="false"/>
                <w:iCs w:val="false"/>
                <w:color w:val="000000"/>
                <w:sz w:val="16"/>
                <w:szCs w:val="16"/>
              </w:rPr>
              <w:t xml:space="preserve">[Firma / Fecha]</w:t>
            </w:r>
          </w:p>
        </w:tc>
        <w:tc>
          <w:tcPr>
            <w:tcW w:type="dxa" w:w="48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[NOMBRE / CARGO]</w:t>
            </w:r>
          </w:p>
          <w:p>
            <w:pPr>
              <w:spacing w:after="20" w:before="20"/>
              <w:jc w:val="center"/>
            </w:pPr>
            <w:r>
              <w:rPr>
                <w:rFonts w:ascii="Arial" w:cs="Arial" w:eastAsia="Arial" w:hAnsi="Arial"/>
                <w:b w:val="false"/>
                <w:bCs w:val="false"/>
                <w:i/>
                <w:iCs/>
                <w:color w:val="808080"/>
                <w:sz w:val="16"/>
                <w:szCs w:val="16"/>
              </w:rPr>
              <w:t xml:space="preserve">[Firma / Fecha]</w:t>
            </w:r>
          </w:p>
        </w:tc>
        <w:tc>
          <w:tcPr>
            <w:tcW w:type="dxa" w:w="485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i/>
                <w:iCs/>
                <w:color w:val="808080"/>
                <w:sz w:val="16"/>
                <w:szCs w:val="16"/>
              </w:rPr>
              <w:t xml:space="preserve">[NOMBRE / CARGO — Dueño del proceso]</w:t>
            </w:r>
          </w:p>
          <w:p>
            <w:pPr>
              <w:spacing w:after="20" w:before="20"/>
              <w:jc w:val="center"/>
            </w:pPr>
            <w:r>
              <w:rPr>
                <w:rFonts w:ascii="Arial" w:cs="Arial" w:eastAsia="Arial" w:hAnsi="Arial"/>
                <w:b w:val="false"/>
                <w:bCs w:val="false"/>
                <w:i/>
                <w:iCs/>
                <w:color w:val="808080"/>
                <w:sz w:val="16"/>
                <w:szCs w:val="16"/>
              </w:rPr>
              <w:t xml:space="preserve">[Firma / Fecha]</w:t>
            </w:r>
          </w:p>
        </w:tc>
      </w:tr>
    </w:tbl>
    <w:sectPr>
      <w:headerReference w:type="default" r:id="rId7"/>
      <w:footerReference w:type="default" r:id="rId8"/>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9000" w:sz="6" w:space="4"/>
      </w:pBdr>
      <w:tabs>
        <w:tab w:val="right" w:pos="14570"/>
      </w:tabs>
    </w:pPr>
    <w:r>
      <w:rPr>
        <w:rFonts w:ascii="Arial" w:cs="Arial" w:eastAsia="Arial" w:hAnsi="Arial"/>
        <w:color w:val="808080"/>
        <w:sz w:val="14"/>
        <w:szCs w:val="14"/>
      </w:rPr>
      <w:t xml:space="preserve">Plantilla referencial SGC — uso interno · Elaborado por Pierre R.</w:t>
    </w:r>
    <w:r>
      <w:rPr>
        <w:rFonts w:ascii="Arial" w:cs="Arial" w:eastAsia="Arial" w:hAnsi="Arial"/>
        <w:color w:val="808080"/>
        <w:sz w:val="14"/>
        <w:szCs w:val="14"/>
      </w:rPr>
      <w:t xml:space="preserve">	Página </w:t>
    </w:r>
    <w:r>
      <w:rPr>
        <w:rFonts w:ascii="Arial" w:cs="Arial" w:eastAsia="Arial" w:hAnsi="Arial"/>
        <w:color w:val="808080"/>
        <w:sz w:val="14"/>
        <w:szCs w:val="14"/>
      </w:rPr>
      <w:fldChar w:fldCharType="begin"/>
      <w:instrText xml:space="preserve">PAGE</w:instrText>
      <w:fldChar w:fldCharType="separate"/>
      <w:fldChar w:fldCharType="end"/>
    </w:r>
    <w:r>
      <w:rPr>
        <w:rFonts w:ascii="Arial" w:cs="Arial" w:eastAsia="Arial" w:hAnsi="Arial"/>
        <w:color w:val="808080"/>
        <w:sz w:val="14"/>
        <w:szCs w:val="14"/>
      </w:rPr>
      <w:t xml:space="preserve"> de </w:t>
    </w:r>
    <w:r>
      <w:rPr>
        <w:rFonts w:ascii="Arial" w:cs="Arial" w:eastAsia="Arial" w:hAnsi="Arial"/>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14570"/>
      </w:tabs>
    </w:pPr>
    <w:r>
      <w:rPr>
        <w:rFonts w:ascii="Arial" w:cs="Arial" w:eastAsia="Arial" w:hAnsi="Arial"/>
        <w:b/>
        <w:bCs/>
        <w:color w:val="1F3864"/>
        <w:sz w:val="14"/>
        <w:szCs w:val="14"/>
      </w:rPr>
      <w:t xml:space="preserve">FB-SGC-003 — Ficha de Brechas</w:t>
    </w:r>
    <w:r>
      <w:rPr>
        <w:rFonts w:ascii="Arial" w:cs="Arial" w:eastAsia="Arial" w:hAnsi="Arial"/>
        <w:b/>
        <w:bCs/>
        <w:color w:val="BF9000"/>
        <w:sz w:val="14"/>
        <w:szCs w:val="14"/>
      </w:rPr>
      <w:t xml:space="preserve">	Versión 01 · © Pierre R.</w:t>
    </w:r>
  </w:p>
  <w:p>
    <w:pPr>
      <w:rPr>
        <w:noProof/>
      </w:rPr>
    </w:pPr>
    <w:r>
      <w:rPr>
        <w:noProof/>
      </w:rPr>
      <w:pict>
        <v:shape id="PowerPlusWaterMarkObject1" o:spid="_x0000_s201" type="#_x0000_t136" style="position:absolute;margin-left:0;margin-top:0;width:520pt;height:130pt;rotation:315;z-index:-251654144;mso-position-horizontal:center;mso-position-horizontal-relative:margin;mso-position-vertical:center;mso-position-vertical-relative:margin" o:allowincell="f" fillcolor="#BF9000" stroked="f">
          <v:fill opacity="19661f"/>
          <v:textpath style="font-family:&quot;Arial&quot;;font-size:1pt" string="Pierre 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2E4D8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2026-06-10T00:22:59.868Z</dcterms:created>
  <dcterms:modified xsi:type="dcterms:W3CDTF">2026-06-10T00:22:59.868Z</dcterms:modified>
</cp:coreProperties>
</file>

<file path=docProps/custom.xml><?xml version="1.0" encoding="utf-8"?>
<Properties xmlns="http://schemas.openxmlformats.org/officeDocument/2006/custom-properties" xmlns:vt="http://schemas.openxmlformats.org/officeDocument/2006/docPropsVTypes"/>
</file>