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F9000"/>
          <w:sz w:val="24"/>
          <w:szCs w:val="24"/>
        </w:rPr>
        <w:t xml:space="preserve">SISTEMA DE GESTIÓN DE LA CALIDAD (SGC)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4D87"/>
          <w:sz w:val="20"/>
          <w:szCs w:val="20"/>
        </w:rPr>
        <w:t xml:space="preserve">FASE DE ANÁLISIS — PROCESO DE ANÁLISIS DE LA INFORMACIÓN LEVANTADA</w:t>
      </w:r>
    </w:p>
    <w:p>
      <w:pPr>
        <w:pBdr>
          <w:top w:val="single" w:color="1F3864" w:sz="12" w:space="8"/>
          <w:bottom w:val="single" w:color="1F3864" w:sz="12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8"/>
          <w:szCs w:val="48"/>
        </w:rPr>
        <w:t xml:space="preserve">MAPA DE PROCESO AS-IS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Representación del estado actual del proceso como línea base para el análisis y la mejora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Código del documento: MP-ASI-002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Plantilla genérica y referencial — adaptable a la normativa interna de cada organización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Control de versiones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  <w:gridCol w:w="2900"/>
        <w:gridCol w:w="297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Aprobado por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[DD/MM/AAAA]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Pierre R. — Consultor SGC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[NOMBRE / CARGO]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[NOMBRE / CARGO]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[N°]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[DD/MM/AAAA]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Instrucción de llenado: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los campos marcados como [DATO], [N°], [DD/MM/AAAA], [NOMBRE / CARGO] son editables y deben completarse conforme al procedimiento de control de información documentada de la organización (NTP-ISO 9001:2015, apartado 7.5.2: identificación, formato y revisión/aprobación de la información documentada).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Objetivo, alcance y uso del documento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Objetivo: documentar el estado actual (AS-IS) del proceso a partir de la información levantada (entrevistas, encuestas, observación directa y revisión documental), con el fin de identificar cuellos de botella, brechas, desperdicios y oportunidades de mejora, conforme al enfoque basado en procesos del apartado 4.4.1 de la NTP-ISO 9001:2015 y a las prácticas de análisis AS-IS del BPM CBOK v4.0.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Alcance: aplicable a procesos estratégicos, misionales/core y de soporte de cualquier organización pública o privada. En entidades públicas peruanas, el modelado debe ser coherente con la Norma Técnica N° 001-2018-SGP de la Secretaría de Gestión Pública (PCM).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BF9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MARCO NORMATIVO Y DE BUENAS PRÁCTICAS APLICABLE</w:t>
            </w:r>
          </w:p>
        </w:tc>
      </w:tr>
      <w:tr>
        <w:tc>
          <w:tcPr>
            <w:tcW w:type="dxa" w:w="14570"/>
            <w:tcBorders>
              <w:top w:val="single" w:color="BF9000" w:sz="4"/>
              <w:left w:val="single" w:color="BF9000" w:sz="4"/>
              <w:bottom w:val="single" w:color="BF9000" w:sz="4"/>
              <w:right w:val="single" w:color="BF9000" w:sz="4"/>
            </w:tcBorders>
            <w:shd w:fill="F2E5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NTP-ISO 9001:2015 (INACAL) — Apartado 4.4.1: determinación de procesos, entradas, salidas, secuencia e interacción; criterios y métodos de control. Adopción peruana equivalente de ISO 9001:2015.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NTP-ISO 9001:2015 — Apartado 4.4.2: mantener y conservar información documentada que apoye la operación de los procesos.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NTP-ISO 9000:2015 — Fundamentos y vocabulario: definición de proceso (3.4.1), eficacia y eficiencia.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BPM CBOK v4.0 (ABPMP) — Capítulos de Modelado de Procesos y Análisis de Procesos: modelado AS-IS como línea base para el análisis y rediseño.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BPMN 2.0 (OMG) — Notación estándar para diagramas de flujo de procesos (pools, lanes, eventos, compuertas).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D.S. N° 004-2013-PCM — Política Nacional de Modernización de la Gestión Pública: gestión por procesos (pilar 3), aplicable a entidades públicas peruanas.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Norma Técnica N° 001-2018-SGP (D.S. N° 123-2018-PCM, PCM/SGP) — Implementación de la gestión por procesos en las entidades de la administración pública.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Guía Peruana GP 1 (INACAL) — Orientación para implementación del SGC en pequeñas empresas.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Lean / VSM — Identificación de desperdicios (muda) y análisis de flujo de valor sobre el estado actual.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▪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[NORMATIVA INTERNA: indicar código del Manual de Calidad, procedimiento de gestión por procesos o directiva interna aplicable, p. ej. PR-SGC-XXX]</w:t>
            </w:r>
          </w:p>
        </w:tc>
      </w:tr>
    </w:tbl>
    <w:p>
      <w:r>
        <w:br w:type="page"/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Guía de uso por nivel de madurez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0"/>
        <w:gridCol w:w="4120"/>
        <w:gridCol w:w="413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 Básico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 Intermedio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 Avanzado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Herramienta central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SIPOC del estado actual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Ficha de caracterización + flujo swimlane textual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Diagrama Tortuga + VSM descriptivo + métricas de flujo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Profundidad de análisis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Identificación de elementos del proceso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Actividades, roles, controles y tiempos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Desperdicios (muda), tiempos de ciclo/espera, capacidad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Referencia principal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NTP-ISO 9001:2015, 4.4.1 a)-b)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NTP-ISO 9001:2015, 4.4.1 c)-e); BPMN 2.0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BPM CBOK 4.0; Lean/VSM; NTP-ISO 9001:2015, 4.4.1 f)-h)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Perfil recomendado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SGC en formación / MYPE (GP 1 INACAL)</w:t>
            </w:r>
          </w:p>
        </w:tc>
        <w:tc>
          <w:tcPr>
            <w:tcW w:type="dxa" w:w="4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SGC implementado en consolidación</w:t>
            </w:r>
          </w:p>
        </w:tc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SGC maduro orientado a la mejora continua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Recomendación metodológica: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seleccione el nivel acorde a la madurez del SGC (puede apoyarse en una autoevaluación según NTP-ISO 9004:2018). Los tres niveles conviven en este documento; utilice únicamente el que corresponda y elimine los demás al instanciar la plantilla.</w:t>
      </w:r>
    </w:p>
    <w:p>
      <w:r>
        <w:br w:type="pag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NIVEL BÁSICO — SIPOC DEL ESTADO ACTUAL (AS-IS)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Instrucción: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complete el SIPOC con la situación real observada, no con la deseada. El SIPOC delimita el proceso y sus interacciones, en cumplimiento del apartado 4.4.1 b) de la NTP-ISO 9001:2015 (entradas, salidas, secuencia e interacción).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Identificación del proceso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97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Nombre del proceso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Código del proceso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proceso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[Estratégico / Misional-Core / Soporte]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Dueño del proceso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[NOMBRE / CARGO]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Propósito del proceso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[¿Para qué existe el proceso? ¿Qué valor entrega?]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Límite inicial (inicio)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[Evento o entrada que dispara el proceso]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Límite final (fin)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[Salida o evento que concluye el proceso]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Fuentes del levantamiento</w:t>
            </w:r>
          </w:p>
        </w:tc>
        <w:tc>
          <w:tcPr>
            <w:tcW w:type="dxa" w:w="10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[Entrevistas N°, encuestas, observación directa, documentos revisados]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Tabla SIPOC (Supplier – Input – Process – Output – Customer)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900"/>
        <w:gridCol w:w="2900"/>
        <w:gridCol w:w="277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 — Proveedores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 — Entradas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 — Proceso (macroactividades)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 — Salidas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 — Clientes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Nota normativa: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las macroactividades (columna P) deben listarse en 5 a 7 pasos de alto nivel. La determinación de proveedores y clientes internos/externos responde al principio de enfoque al cliente (NTP-ISO 9000:2015) y a la comprensión de partes interesadas (cláusula 4.2).</w:t>
      </w:r>
    </w:p>
    <w:p>
      <w:r>
        <w:br w:type="pag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NIVEL INTERMEDIO — CARACTERIZACIÓN Y FLUJO AS-IS POR RESPONSABLES (SWIMLANE)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Ficha de caracterización del estado actual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2400"/>
        <w:gridCol w:w="2200"/>
        <w:gridCol w:w="2100"/>
        <w:gridCol w:w="197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N° Actividad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de la actividad (AS-IS)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 / 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Entrada utilizada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Salida generada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Tiempo actual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Instrucción: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registre las actividades en el orden real de ejecución, incluyendo reprocesos, esperas y aprobaciones informales detectadas en el levantamiento. El tiempo actual puede expresarse en minutos, horas o días según el proceso.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Controles y registros existentes (apartados 4.4.1 c) y 7.5 NTP-ISO 9001:2015)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3700"/>
        <w:gridCol w:w="367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Punto de control actual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 / método aplicado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Registro o evidencia generada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¿Es eficaz? (Sí/No/Parcial — justificar)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Flujo swimlane textual (notación BPMN 2.0 simplificada)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  <w:gridCol w:w="3200"/>
        <w:gridCol w:w="277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Carril 1: [ROL/ÁREA]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Carril 2: [ROL/ÁREA]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Carril 3: [ROL/ÁREA]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Símbolo BPMN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[Evento de inicio]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Evento inicio (círculo simple)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[Evento de fin]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Evento fin (círculo grueso)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Convención: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tarea = rectángulo; decisión = compuerta exclusiva (rombo, formular como pregunta cerrada); flujo = flecha. Cada actividad se ubica en el carril del rol que realmente la ejecuta hoy (AS-IS), conforme a BPMN 2.0 (OMG) y al BPM CBOK v4.0.</w:t>
      </w:r>
    </w:p>
    <w:p>
      <w:r>
        <w:br w:type="pag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0"/>
      </w:tblGrid>
      <w:tr>
        <w:tc>
          <w:tcPr>
            <w:tcW w:type="dxa" w:w="1457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NIVEL AVANZADO — DIAGRAMA TORTUGA + ANÁLISIS VSM DEL ESTADO ACTUAL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Diagrama Tortuga del proceso (visión 360°)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5"/>
        <w:gridCol w:w="7285"/>
      </w:tblGrid>
      <w:tr>
        <w:trPr>
          <w:tblHeader/>
        </w:trPr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¿CON QUÉ? — Recursos, equipos, infraestructura (cláusula 7.1)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¿CON QUIÉN? — Competencias, roles, formación (cláusulas 7.2 y 7.3)</w:t>
            </w:r>
          </w:p>
        </w:tc>
      </w:tr>
      <w:tr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rPr>
          <w:tblHeader/>
        </w:trPr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ENTRADAS — ¿Qué recibe el proceso y de quién?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SALIDAS — ¿Qué entrega el proceso y a quién?</w:t>
            </w:r>
          </w:p>
        </w:tc>
      </w:tr>
      <w:tr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rPr>
          <w:tblHeader/>
        </w:trPr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¿CÓMO? — Métodos, procedimientos, criterios de control (4.4.1 c)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¿CON QUÉ RESULTADOS? — Indicadores de desempeño (9.1.1, 9.1.3)</w:t>
            </w:r>
          </w:p>
        </w:tc>
      </w:tr>
      <w:tr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7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[KPI actual: eficacia, eficiencia, tiempo de ciclo, % reprocesos]</w:t>
            </w:r>
          </w:p>
        </w:tc>
      </w:tr>
    </w:tbl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Análisis VSM descriptivo (Lean — Value Stream Mapping del AS-IS)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1800"/>
        <w:gridCol w:w="1900"/>
        <w:gridCol w:w="1900"/>
        <w:gridCol w:w="197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Actividad / etapa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T. de proceso (TP)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T. de espera (TE)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¿Agrega valor? (AV/NAV/NAV-N)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de muda detectada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% Calidad a la 1ra (FTQ)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Lead Time total = Σ(TP) + Σ(TE)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[Σ TP]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[Σ TE]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Eficiencia de ciclo = ΣTP/Lead Time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[%]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Leyenda de muda (Lean):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sobreproducción, esperas, transporte, sobreprocesamiento, inventario, movimientos, defectos/reprocesos, talento no utilizado. AV = agrega valor al cliente; NAV = no agrega valor (eliminar); NAV-N = no agrega valor pero es necesario (regulatorio/control — minimizar).</w:t>
      </w: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2E4D87"/>
          <w:sz w:val="22"/>
          <w:szCs w:val="22"/>
        </w:rPr>
        <w:t xml:space="preserve">Cuellos de botella y restricciones identificadas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  <w:gridCol w:w="2800"/>
        <w:gridCol w:w="277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del cuello de botella / restricción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Evidencia (fuente del levantamiento)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Impacto en el flujo (tiempo/costo/calidad)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Vinculado a hallazgo N° (Matriz MH-SGC-001)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[DATO]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Trazabilidad: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cada cuello de botella o desperdicio relevante debe registrarse como hallazgo en la Matriz de Hallazgos (MH-SGC-001) y, cuando constituya incumplimiento frente a un criterio, derivar en la Ficha de Brechas (FB-SGC-003). Esto materializa la toma de decisiones basada en evidencia (NTP-ISO 9000:2015) y alimenta la etapa Planificar del ciclo PHVA.</w:t>
      </w: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9000" w:sz="6" w:space="4"/>
      </w:pBdr>
      <w:tabs>
        <w:tab w:val="right" w:pos="14570"/>
      </w:tabs>
    </w:pPr>
    <w:r>
      <w:rPr>
        <w:rFonts w:ascii="Arial" w:cs="Arial" w:eastAsia="Arial" w:hAnsi="Arial"/>
        <w:color w:val="808080"/>
        <w:sz w:val="14"/>
        <w:szCs w:val="14"/>
      </w:rPr>
      <w:t xml:space="preserve">Plantilla referencial SGC — uso interno · Elaborado por Pierre R.</w:t>
    </w:r>
    <w:r>
      <w:rPr>
        <w:rFonts w:ascii="Arial" w:cs="Arial" w:eastAsia="Arial" w:hAnsi="Arial"/>
        <w:color w:val="808080"/>
        <w:sz w:val="14"/>
        <w:szCs w:val="14"/>
      </w:rPr>
      <w:t xml:space="preserve">	Página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14570"/>
      </w:tabs>
    </w:pPr>
    <w:r>
      <w:rPr>
        <w:rFonts w:ascii="Arial" w:cs="Arial" w:eastAsia="Arial" w:hAnsi="Arial"/>
        <w:b/>
        <w:bCs/>
        <w:color w:val="1F3864"/>
        <w:sz w:val="14"/>
        <w:szCs w:val="14"/>
      </w:rPr>
      <w:t xml:space="preserve">MP-ASI-002 — Mapa de Proceso AS-IS</w:t>
    </w:r>
    <w:r>
      <w:rPr>
        <w:rFonts w:ascii="Arial" w:cs="Arial" w:eastAsia="Arial" w:hAnsi="Arial"/>
        <w:b/>
        <w:bCs/>
        <w:color w:val="BF9000"/>
        <w:sz w:val="14"/>
        <w:szCs w:val="14"/>
      </w:rPr>
      <w:t xml:space="preserve">	Versión 01 · © Pierre R.</w:t>
    </w:r>
  </w:p>
  <w:p>
    <w:pPr>
      <w:rPr>
        <w:noProof/>
      </w:rPr>
    </w:pPr>
    <w:r>
      <w:rPr>
        <w:noProof/>
      </w:rPr>
      <w:pict>
        <v:shape id="PowerPlusWaterMarkObject1" o:spid="_x0000_s201" type="#_x0000_t136" style="position:absolute;margin-left:0;margin-top:0;width:520pt;height:130pt;rotation:315;z-index:-251654144;mso-position-horizontal:center;mso-position-horizontal-relative:margin;mso-position-vertical:center;mso-position-vertical-relative:margin" o:allowincell="f" fillcolor="#BF9000" stroked="f">
          <v:fill opacity="19661f"/>
          <v:textpath style="font-family:&quot;Arial&quot;;font-size:1pt" string="Pierre R.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4D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2026-06-10T00:22:59.367Z</dcterms:created>
  <dcterms:modified xsi:type="dcterms:W3CDTF">2026-06-10T00:22:59.367Z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