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
        <w:jc w:val="left"/>
      </w:pPr>
      <w:r>
        <w:rPr>
          <w:rFonts w:ascii="Arial" w:cs="Arial" w:eastAsia="Arial" w:hAnsi="Arial"/>
          <w:b w:val="false"/>
          <w:bCs w:val="false"/>
          <w:i w:val="false"/>
          <w:iCs w:val="false"/>
          <w:color w:val="000000"/>
          <w:sz w:val="18"/>
          <w:szCs w:val="18"/>
        </w:rPr>
        <w:t xml:space="preserve"> </w:t>
      </w:r>
    </w:p>
    <w:p>
      <w:pPr>
        <w:spacing w:after="80"/>
        <w:jc w:val="center"/>
      </w:pPr>
      <w:r>
        <w:rPr>
          <w:rFonts w:ascii="Arial" w:cs="Arial" w:eastAsia="Arial" w:hAnsi="Arial"/>
          <w:b/>
          <w:bCs/>
          <w:i w:val="false"/>
          <w:iCs w:val="false"/>
          <w:color w:val="BF9000"/>
          <w:sz w:val="24"/>
          <w:szCs w:val="24"/>
        </w:rPr>
        <w:t xml:space="preserve">SISTEMA DE GESTIÓN DE LA CALIDAD (SGC)</w:t>
      </w:r>
    </w:p>
    <w:p>
      <w:pPr>
        <w:spacing w:after="80"/>
        <w:jc w:val="center"/>
      </w:pPr>
      <w:r>
        <w:rPr>
          <w:rFonts w:ascii="Arial" w:cs="Arial" w:eastAsia="Arial" w:hAnsi="Arial"/>
          <w:b/>
          <w:bCs/>
          <w:i w:val="false"/>
          <w:iCs w:val="false"/>
          <w:color w:val="2E4D87"/>
          <w:sz w:val="20"/>
          <w:szCs w:val="20"/>
        </w:rPr>
        <w:t xml:space="preserve">FASE DE ANÁLISIS — PROCESO DE ANÁLISIS DE LA INFORMACIÓN LEVANTADA</w:t>
      </w:r>
    </w:p>
    <w:p>
      <w:pPr>
        <w:pBdr>
          <w:top w:val="single" w:color="1F3864" w:sz="12" w:space="8"/>
          <w:bottom w:val="single" w:color="1F3864" w:sz="12" w:space="8"/>
        </w:pBdr>
        <w:spacing w:after="100" w:before="200"/>
        <w:jc w:val="center"/>
      </w:pPr>
      <w:r>
        <w:rPr>
          <w:rFonts w:ascii="Arial" w:cs="Arial" w:eastAsia="Arial" w:hAnsi="Arial"/>
          <w:b/>
          <w:bCs/>
          <w:i w:val="false"/>
          <w:iCs w:val="false"/>
          <w:color w:val="1F3864"/>
          <w:sz w:val="48"/>
          <w:szCs w:val="48"/>
        </w:rPr>
        <w:t xml:space="preserve">REPORTE DE ANÁLISIS</w:t>
      </w:r>
    </w:p>
    <w:p>
      <w:pPr>
        <w:spacing w:after="300"/>
        <w:jc w:val="center"/>
      </w:pPr>
      <w:r>
        <w:rPr>
          <w:rFonts w:ascii="Arial" w:cs="Arial" w:eastAsia="Arial" w:hAnsi="Arial"/>
          <w:b w:val="false"/>
          <w:bCs w:val="false"/>
          <w:i/>
          <w:iCs/>
          <w:color w:val="595959"/>
          <w:sz w:val="20"/>
          <w:szCs w:val="20"/>
        </w:rPr>
        <w:t xml:space="preserve">Consolidación de resultados del análisis de la información levantada: problemas, oportunidades y mejoras del proceso</w:t>
      </w:r>
    </w:p>
    <w:p>
      <w:pPr>
        <w:spacing w:after="60"/>
        <w:jc w:val="center"/>
      </w:pPr>
      <w:r>
        <w:rPr>
          <w:rFonts w:ascii="Arial" w:cs="Arial" w:eastAsia="Arial" w:hAnsi="Arial"/>
          <w:b/>
          <w:bCs/>
          <w:i w:val="false"/>
          <w:iCs w:val="false"/>
          <w:color w:val="000000"/>
          <w:sz w:val="20"/>
          <w:szCs w:val="20"/>
        </w:rPr>
        <w:t xml:space="preserve">Código del documento: RA-SGC-004</w:t>
      </w:r>
    </w:p>
    <w:p>
      <w:pPr>
        <w:spacing w:after="400"/>
        <w:jc w:val="center"/>
      </w:pPr>
      <w:r>
        <w:rPr>
          <w:rFonts w:ascii="Arial" w:cs="Arial" w:eastAsia="Arial" w:hAnsi="Arial"/>
          <w:b w:val="false"/>
          <w:bCs w:val="false"/>
          <w:i/>
          <w:iCs/>
          <w:color w:val="808080"/>
          <w:sz w:val="16"/>
          <w:szCs w:val="16"/>
        </w:rPr>
        <w:t xml:space="preserve">Plantilla genérica y referencial — adaptable a la normativa interna de cada organización</w:t>
      </w:r>
    </w:p>
    <w:p>
      <w:pPr>
        <w:pStyle w:val="Heading2"/>
        <w:spacing w:after="100" w:before="160"/>
      </w:pPr>
      <w:r>
        <w:rPr>
          <w:rFonts w:ascii="Arial" w:cs="Arial" w:eastAsia="Arial" w:hAnsi="Arial"/>
          <w:b/>
          <w:bCs/>
          <w:color w:val="2E4D87"/>
          <w:sz w:val="22"/>
          <w:szCs w:val="22"/>
        </w:rPr>
        <w:t xml:space="preserve">Control de versiones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gridCol w:w="2900"/>
        <w:gridCol w:w="2970"/>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Versión</w:t>
            </w:r>
          </w:p>
        </w:tc>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Fecha</w:t>
            </w:r>
          </w:p>
        </w:tc>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Elaborado por</w:t>
            </w:r>
          </w:p>
        </w:tc>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Revisado por</w:t>
            </w:r>
          </w:p>
        </w:tc>
        <w:tc>
          <w:tcPr>
            <w:tcW w:type="dxa" w:w="297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Aprobado por</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01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[DD/MM/AAAA]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Pierre R. — Consultor SGC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[NOMBRE / CARGO]</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[NOMBRE / CARGO]</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[DD/MM/AAAA]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r>
    </w:tbl>
    <w:p>
      <w:pPr>
        <w:spacing w:after="60" w:before="120"/>
        <w:jc w:val="left"/>
      </w:pPr>
      <w:r>
        <w:rPr>
          <w:rFonts w:ascii="Arial" w:cs="Arial" w:eastAsia="Arial" w:hAnsi="Arial"/>
          <w:b/>
          <w:bCs/>
          <w:i w:val="false"/>
          <w:iCs w:val="false"/>
          <w:color w:val="000000"/>
          <w:sz w:val="16"/>
          <w:szCs w:val="16"/>
        </w:rPr>
        <w:t xml:space="preserve">Instrucción de llenado: </w:t>
      </w:r>
      <w:r>
        <w:rPr>
          <w:rFonts w:ascii="Arial" w:cs="Arial" w:eastAsia="Arial" w:hAnsi="Arial"/>
          <w:b w:val="false"/>
          <w:bCs w:val="false"/>
          <w:i/>
          <w:iCs/>
          <w:color w:val="000000"/>
          <w:sz w:val="16"/>
          <w:szCs w:val="16"/>
        </w:rPr>
        <w:t xml:space="preserve">los campos marcados como [DATO], [N°], [DD/MM/AAAA], [NOMBRE / CARGO] son editables y deben completarse conforme al procedimiento de control de información documentada de la organización (NTP-ISO 9001:2015, apartado 7.5.2: identificación, formato y revisión/aprobación de la información documentada).</w:t>
      </w:r>
    </w:p>
    <w:p>
      <w:r>
        <w:br w:type="page"/>
      </w:r>
    </w:p>
    <w:p>
      <w:pPr>
        <w:pStyle w:val="Heading1"/>
        <w:spacing w:after="120" w:before="200"/>
      </w:pPr>
      <w:r>
        <w:rPr>
          <w:rFonts w:ascii="Arial" w:cs="Arial" w:eastAsia="Arial" w:hAnsi="Arial"/>
          <w:b/>
          <w:bCs/>
          <w:color w:val="1F3864"/>
          <w:sz w:val="28"/>
          <w:szCs w:val="28"/>
        </w:rPr>
        <w:t xml:space="preserve">1. Objetivo y estructura del reporte</w:t>
      </w:r>
    </w:p>
    <w:p>
      <w:pPr>
        <w:spacing w:after="60" w:before="60"/>
        <w:jc w:val="left"/>
      </w:pPr>
      <w:r>
        <w:rPr>
          <w:rFonts w:ascii="Arial" w:cs="Arial" w:eastAsia="Arial" w:hAnsi="Arial"/>
          <w:b w:val="false"/>
          <w:bCs w:val="false"/>
          <w:i w:val="false"/>
          <w:iCs w:val="false"/>
          <w:color w:val="000000"/>
          <w:sz w:val="18"/>
          <w:szCs w:val="18"/>
        </w:rPr>
        <w:t xml:space="preserve">Objetivo: consolidar y comunicar los resultados del análisis de la información recopilada en el levantamiento (organización de la información, análisis de tiempos, roles y actividades, identificación de cuellos de botella y brechas, y priorización de hallazgos relevantes), como evidencia del apartado 9.1.3 de la NTP-ISO 9001:2015 y como insumo para la planificación de mejoras (cláusulas 6.1 y 10) y la revisión por la dirección (9.3).</w:t>
      </w:r>
    </w:p>
    <w:p>
      <w:pPr>
        <w:spacing w:after="60" w:before="60"/>
        <w:jc w:val="left"/>
      </w:pPr>
      <w:r>
        <w:rPr>
          <w:rFonts w:ascii="Arial" w:cs="Arial" w:eastAsia="Arial" w:hAnsi="Arial"/>
          <w:b w:val="false"/>
          <w:bCs w:val="false"/>
          <w:i w:val="false"/>
          <w:iCs w:val="false"/>
          <w:color w:val="000000"/>
          <w:sz w:val="18"/>
          <w:szCs w:val="18"/>
        </w:rPr>
        <w:t xml:space="preserve">Estructura del análisis: contexto → hallazgo → recomendación → referencia normativa. El reporte integra los entregables previos de la fase: Matriz de Hallazgos (MH-SGC-001), Mapa de Proceso AS-IS (MP-ASI-002) y Fichas de Brechas (FB-SGC-003).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BF9000" w:sz="4"/>
              <w:left w:val="single" w:color="BF9000" w:sz="4"/>
              <w:bottom w:val="single" w:color="BF9000" w:sz="4"/>
              <w:right w:val="single" w:color="BF9000" w:sz="4"/>
            </w:tcBorders>
            <w:shd w:fill="BF9000"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MARCO NORMATIVO Y DE BUENAS PRÁCTICAS APLICABLE</w:t>
            </w:r>
          </w:p>
        </w:tc>
      </w:tr>
      <w:tr>
        <w:tc>
          <w:tcPr>
            <w:tcW w:type="dxa" w:w="14570"/>
            <w:tcBorders>
              <w:top w:val="single" w:color="BF9000" w:sz="4"/>
              <w:left w:val="single" w:color="BF9000" w:sz="4"/>
              <w:bottom w:val="single" w:color="BF9000" w:sz="4"/>
              <w:right w:val="single" w:color="BF9000" w:sz="4"/>
            </w:tcBorders>
            <w:shd w:fill="F2E5C2" w:val="clear"/>
            <w:tcMar>
              <w:top w:type="dxa" w:w="80"/>
              <w:left w:type="dxa" w:w="120"/>
              <w:bottom w:type="dxa" w:w="80"/>
              <w:right w:type="dxa" w:w="120"/>
            </w:tcMar>
          </w:tcPr>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NTP-ISO 9001:2015 (INACAL) — Apartado 9.1.3: análisis y evaluación de datos e información del seguimiento y la medición.</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NTP-ISO 9001:2015 — Apartado 4.4.1: enfoque basado en procesos como marco del análisis (entradas, salidas, interacciones, riesgos).</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NTP-ISO 9001:2015 — Apartados 9.3.2 y 9.3.3: el reporte de análisis es entrada y salida de la revisión por la dirección.</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NTP-ISO 9000:2015 — Principio de toma de decisiones basada en la evidencia.</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ISO 19011:2018 — Estructura de informe: criterios, evidencia, hallazgos y conclusiones.</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BPM CBOK v4.0 (ABPMP) — Capítulo de Análisis de Procesos: técnicas de análisis del AS-IS (tiempos, roles, actividades, handoffs).</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D.S. N° 004-2013-PCM — Modernización de la Gestión Pública (gestión por procesos orientada a resultados) y Norma Técnica N° 001-2018-SGP (PCM/SGP).</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Ley N° 27658 — Ley Marco de Modernización de la Gestión del Estado (eficiencia y mejora del servicio al ciudadano).</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Lean (muda) y Pareto 80/20 — Buenas prácticas para priorizar hallazgos relevantes.</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[NORMATIVA INTERNA: directivas, manual de calidad, plan estratégico institucional o requisitos contractuales considerados en el análisis]</w:t>
            </w:r>
          </w:p>
        </w:tc>
      </w:tr>
    </w:tbl>
    <w:p>
      <w:r>
        <w:br w:type="page"/>
      </w:r>
    </w:p>
    <w:p>
      <w:pPr>
        <w:pStyle w:val="Heading2"/>
        <w:spacing w:after="100" w:before="160"/>
      </w:pPr>
      <w:r>
        <w:rPr>
          <w:rFonts w:ascii="Arial" w:cs="Arial" w:eastAsia="Arial" w:hAnsi="Arial"/>
          <w:b/>
          <w:bCs/>
          <w:color w:val="2E4D87"/>
          <w:sz w:val="22"/>
          <w:szCs w:val="22"/>
        </w:rPr>
        <w:t xml:space="preserve">Guía de uso por nivel de madurez</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4120"/>
        <w:gridCol w:w="4120"/>
        <w:gridCol w:w="413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Criterio</w:t>
            </w:r>
          </w:p>
        </w:tc>
        <w:tc>
          <w:tcPr>
            <w:tcW w:type="dxa" w:w="412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Nivel Básico</w:t>
            </w:r>
          </w:p>
        </w:tc>
        <w:tc>
          <w:tcPr>
            <w:tcW w:type="dxa" w:w="412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Nivel Intermedio</w:t>
            </w:r>
          </w:p>
        </w:tc>
        <w:tc>
          <w:tcPr>
            <w:tcW w:type="dxa" w:w="413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Nivel Avanzado</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Alcance del reporte</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Resumen ejecutivo y hallazgos principales</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Análisis de tiempos, roles y cuellos de botella + priorización</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Análisis cuantitativo (Pareto, KPI, costo de no calidad) y hoja de ruta TO-BE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Audiencia</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Dueño del proceso</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Comité de calidad / jefaturas</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Alta dirección (revisión por la dirección, 9.3)</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Referencia principal</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NTP-ISO 9001:2015, 9.1.3</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BPM CBOK 4.0; ISO 19011:2018</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PHVA; Lean/Six Sigma; 9.3.2–9.3.3</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Perfil recomendado</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SGC en formación / MYPE (GP 1 INACAL)</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SGC implementado en consolidación</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SGC maduro orientado a resultados</w:t>
            </w:r>
          </w:p>
        </w:tc>
      </w:tr>
    </w:tbl>
    <w:p>
      <w:pPr>
        <w:spacing w:after="100" w:before="100"/>
        <w:jc w:val="left"/>
      </w:pPr>
      <w:r>
        <w:rPr>
          <w:rFonts w:ascii="Arial" w:cs="Arial" w:eastAsia="Arial" w:hAnsi="Arial"/>
          <w:b/>
          <w:bCs/>
          <w:i w:val="false"/>
          <w:iCs w:val="false"/>
          <w:color w:val="000000"/>
          <w:sz w:val="16"/>
          <w:szCs w:val="16"/>
        </w:rPr>
        <w:t xml:space="preserve">Recomendación metodológica: </w:t>
      </w:r>
      <w:r>
        <w:rPr>
          <w:rFonts w:ascii="Arial" w:cs="Arial" w:eastAsia="Arial" w:hAnsi="Arial"/>
          <w:b w:val="false"/>
          <w:bCs w:val="false"/>
          <w:i/>
          <w:iCs/>
          <w:color w:val="000000"/>
          <w:sz w:val="16"/>
          <w:szCs w:val="16"/>
        </w:rPr>
        <w:t xml:space="preserve">seleccione el nivel acorde a la madurez del SGC (puede apoyarse en una autoevaluación según NTP-ISO 9004:2018). Los tres niveles conviven en este documento; utilice únicamente el que corresponda y elimine los demás al instanciar la plantilla.</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2"/>
                <w:szCs w:val="22"/>
              </w:rPr>
              <w:t xml:space="preserve">NIVEL BÁSICO — RESUMEN EJECUTIVO DEL ANÁLISIS</w:t>
            </w:r>
          </w:p>
        </w:tc>
      </w:tr>
    </w:tbl>
    <w:p>
      <w:pPr>
        <w:pStyle w:val="Heading2"/>
        <w:spacing w:after="100" w:before="160"/>
      </w:pPr>
      <w:r>
        <w:rPr>
          <w:rFonts w:ascii="Arial" w:cs="Arial" w:eastAsia="Arial" w:hAnsi="Arial"/>
          <w:b/>
          <w:bCs/>
          <w:color w:val="2E4D87"/>
          <w:sz w:val="22"/>
          <w:szCs w:val="22"/>
        </w:rPr>
        <w:t xml:space="preserve">Datos generales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00"/>
        <w:gridCol w:w="10970"/>
      </w:tblGrid>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Proceso analizado</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Periodo del levantamiento</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[DD/MM/AAAA — DD/MM/AAAA]</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Fuentes de información</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[N° entrevistas, N° encuestas, observaciones, documentos revisados]</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Equipo de análisis</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[NOMBRES / CARGOS] — Metodología Pierre R.</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Documentos de referencia</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MH-SGC-001 (Matriz de Hallazgos), MP-ASI-002 (Mapa AS-IS), FB-SGC-003 (Fichas de Brechas)</w:t>
            </w:r>
          </w:p>
        </w:tc>
      </w:tr>
    </w:tbl>
    <w:p>
      <w:pPr>
        <w:pStyle w:val="Heading2"/>
        <w:spacing w:after="100" w:before="160"/>
      </w:pPr>
      <w:r>
        <w:rPr>
          <w:rFonts w:ascii="Arial" w:cs="Arial" w:eastAsia="Arial" w:hAnsi="Arial"/>
          <w:b/>
          <w:bCs/>
          <w:color w:val="2E4D87"/>
          <w:sz w:val="22"/>
          <w:szCs w:val="22"/>
        </w:rPr>
        <w:t xml:space="preserve">Síntesis de resultados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00"/>
        <w:gridCol w:w="3200"/>
        <w:gridCol w:w="3200"/>
        <w:gridCol w:w="3370"/>
      </w:tblGrid>
      <w:tr>
        <w:trPr>
          <w:tblHeader/>
        </w:trPr>
        <w:tc>
          <w:tcPr>
            <w:tcW w:type="dxa" w:w="4800"/>
            <w:tcBorders>
              <w:top w:val="single" w:color="BFBFBF" w:sz="4"/>
              <w:left w:val="single" w:color="BFBFBF" w:sz="4"/>
              <w:bottom w:val="single" w:color="BFBFBF" w:sz="4"/>
              <w:right w:val="single" w:color="BFBFBF" w:sz="4"/>
            </w:tcBorders>
            <w:shd w:fill="2E74B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Categoría</w:t>
            </w:r>
          </w:p>
        </w:tc>
        <w:tc>
          <w:tcPr>
            <w:tcW w:type="dxa" w:w="3200"/>
            <w:tcBorders>
              <w:top w:val="single" w:color="BFBFBF" w:sz="4"/>
              <w:left w:val="single" w:color="BFBFBF" w:sz="4"/>
              <w:bottom w:val="single" w:color="BFBFBF" w:sz="4"/>
              <w:right w:val="single" w:color="BFBFBF" w:sz="4"/>
            </w:tcBorders>
            <w:shd w:fill="2E74B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Cantidad</w:t>
            </w:r>
          </w:p>
        </w:tc>
        <w:tc>
          <w:tcPr>
            <w:tcW w:type="dxa" w:w="3200"/>
            <w:tcBorders>
              <w:top w:val="single" w:color="BFBFBF" w:sz="4"/>
              <w:left w:val="single" w:color="BFBFBF" w:sz="4"/>
              <w:bottom w:val="single" w:color="BFBFBF" w:sz="4"/>
              <w:right w:val="single" w:color="BFBFBF" w:sz="4"/>
            </w:tcBorders>
            <w:shd w:fill="2E74B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De los cuales críticos</w:t>
            </w:r>
          </w:p>
        </w:tc>
        <w:tc>
          <w:tcPr>
            <w:tcW w:type="dxa" w:w="3370"/>
            <w:tcBorders>
              <w:top w:val="single" w:color="BFBFBF" w:sz="4"/>
              <w:left w:val="single" w:color="BFBFBF" w:sz="4"/>
              <w:bottom w:val="single" w:color="BFBFBF" w:sz="4"/>
              <w:right w:val="single" w:color="BFBFBF" w:sz="4"/>
            </w:tcBorders>
            <w:shd w:fill="2E74B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Comentario</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Hallazgos registrados (MH-SGC-001)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Cuellos de botella identificados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Brechas documentadas (FB-SGC-003)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Oportunidades de mejora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No conformidades potenciales (10.2)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pStyle w:val="Heading2"/>
        <w:spacing w:after="100" w:before="160"/>
      </w:pPr>
      <w:r>
        <w:rPr>
          <w:rFonts w:ascii="Arial" w:cs="Arial" w:eastAsia="Arial" w:hAnsi="Arial"/>
          <w:b/>
          <w:bCs/>
          <w:color w:val="2E4D87"/>
          <w:sz w:val="22"/>
          <w:szCs w:val="22"/>
        </w:rPr>
        <w:t xml:space="preserve">Principales hallazgos (máximo 5 — los más relevantes)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4200"/>
        <w:gridCol w:w="3570"/>
      </w:tblGrid>
      <w:tr>
        <w:trPr>
          <w:tblHeader/>
        </w:trPr>
        <w:tc>
          <w:tcPr>
            <w:tcW w:type="dxa" w:w="1400"/>
            <w:tcBorders>
              <w:top w:val="single" w:color="BFBFBF" w:sz="4"/>
              <w:left w:val="single" w:color="BFBFBF" w:sz="4"/>
              <w:bottom w:val="single" w:color="BFBFBF" w:sz="4"/>
              <w:right w:val="single" w:color="BFBFBF" w:sz="4"/>
            </w:tcBorders>
            <w:shd w:fill="2E74B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w:t>
            </w:r>
          </w:p>
        </w:tc>
        <w:tc>
          <w:tcPr>
            <w:tcW w:type="dxa" w:w="5400"/>
            <w:tcBorders>
              <w:top w:val="single" w:color="BFBFBF" w:sz="4"/>
              <w:left w:val="single" w:color="BFBFBF" w:sz="4"/>
              <w:bottom w:val="single" w:color="BFBFBF" w:sz="4"/>
              <w:right w:val="single" w:color="BFBFBF" w:sz="4"/>
            </w:tcBorders>
            <w:shd w:fill="2E74B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Hallazgo (contexto + situación encontrada)</w:t>
            </w:r>
          </w:p>
        </w:tc>
        <w:tc>
          <w:tcPr>
            <w:tcW w:type="dxa" w:w="4200"/>
            <w:tcBorders>
              <w:top w:val="single" w:color="BFBFBF" w:sz="4"/>
              <w:left w:val="single" w:color="BFBFBF" w:sz="4"/>
              <w:bottom w:val="single" w:color="BFBFBF" w:sz="4"/>
              <w:right w:val="single" w:color="BFBFBF" w:sz="4"/>
            </w:tcBorders>
            <w:shd w:fill="2E74B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Recomendación</w:t>
            </w:r>
          </w:p>
        </w:tc>
        <w:tc>
          <w:tcPr>
            <w:tcW w:type="dxa" w:w="3570"/>
            <w:tcBorders>
              <w:top w:val="single" w:color="BFBFBF" w:sz="4"/>
              <w:left w:val="single" w:color="BFBFBF" w:sz="4"/>
              <w:bottom w:val="single" w:color="BFBFBF" w:sz="4"/>
              <w:right w:val="single" w:color="BFBFBF" w:sz="4"/>
            </w:tcBorders>
            <w:shd w:fill="2E74B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Referencia normativa</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5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5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5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5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5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548235" w:sz="4"/>
              <w:left w:val="single" w:color="548235" w:sz="4"/>
              <w:bottom w:val="single" w:color="548235" w:sz="4"/>
              <w:right w:val="single" w:color="548235"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2"/>
                <w:szCs w:val="22"/>
              </w:rPr>
              <w:t xml:space="preserve">NIVEL INTERMEDIO — ANÁLISIS DE TIEMPOS, ROLES, ACTIVIDADES Y PRIORIZACIÓN</w:t>
            </w:r>
          </w:p>
        </w:tc>
      </w:tr>
    </w:tbl>
    <w:p>
      <w:pPr>
        <w:pStyle w:val="Heading2"/>
        <w:spacing w:after="100" w:before="160"/>
      </w:pPr>
      <w:r>
        <w:rPr>
          <w:rFonts w:ascii="Arial" w:cs="Arial" w:eastAsia="Arial" w:hAnsi="Arial"/>
          <w:b/>
          <w:bCs/>
          <w:color w:val="2E4D87"/>
          <w:sz w:val="22"/>
          <w:szCs w:val="22"/>
        </w:rPr>
        <w:t xml:space="preserve">2.1 Organización de la información recopilada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3700"/>
        <w:gridCol w:w="3670"/>
      </w:tblGrid>
      <w:tr>
        <w:trPr>
          <w:tblHeader/>
        </w:trPr>
        <w:tc>
          <w:tcPr>
            <w:tcW w:type="dxa" w:w="34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Fuente / técnica de levantamiento</w:t>
            </w:r>
          </w:p>
        </w:tc>
        <w:tc>
          <w:tcPr>
            <w:tcW w:type="dxa" w:w="38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Información obtenida</w:t>
            </w:r>
          </w:p>
        </w:tc>
        <w:tc>
          <w:tcPr>
            <w:tcW w:type="dxa" w:w="37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Calidad de la información (Alta/Media/Baja)</w:t>
            </w:r>
          </w:p>
        </w:tc>
        <w:tc>
          <w:tcPr>
            <w:tcW w:type="dxa" w:w="367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Limitaciones o vacíos detectados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pStyle w:val="Heading2"/>
        <w:spacing w:after="100" w:before="160"/>
      </w:pPr>
      <w:r>
        <w:rPr>
          <w:rFonts w:ascii="Arial" w:cs="Arial" w:eastAsia="Arial" w:hAnsi="Arial"/>
          <w:b/>
          <w:bCs/>
          <w:color w:val="2E4D87"/>
          <w:sz w:val="22"/>
          <w:szCs w:val="22"/>
        </w:rPr>
        <w:t xml:space="preserve">2.2 Análisis de tiempos del proceso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400"/>
        <w:gridCol w:w="2700"/>
        <w:gridCol w:w="3670"/>
      </w:tblGrid>
      <w:tr>
        <w:trPr>
          <w:tblHeader/>
        </w:trPr>
        <w:tc>
          <w:tcPr>
            <w:tcW w:type="dxa" w:w="34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Etapa / actividad</w:t>
            </w:r>
          </w:p>
        </w:tc>
        <w:tc>
          <w:tcPr>
            <w:tcW w:type="dxa" w:w="24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Tiempo de proceso (TP)</w:t>
            </w:r>
          </w:p>
        </w:tc>
        <w:tc>
          <w:tcPr>
            <w:tcW w:type="dxa" w:w="24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Tiempo de espera (TE)</w:t>
            </w:r>
          </w:p>
        </w:tc>
        <w:tc>
          <w:tcPr>
            <w:tcW w:type="dxa" w:w="27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 sobre el lead time total</w:t>
            </w:r>
          </w:p>
        </w:tc>
        <w:tc>
          <w:tcPr>
            <w:tcW w:type="dxa" w:w="367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Observación (demoras, reprocesos)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6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pStyle w:val="Heading2"/>
        <w:spacing w:after="100" w:before="160"/>
      </w:pPr>
      <w:r>
        <w:rPr>
          <w:rFonts w:ascii="Arial" w:cs="Arial" w:eastAsia="Arial" w:hAnsi="Arial"/>
          <w:b/>
          <w:bCs/>
          <w:color w:val="2E4D87"/>
          <w:sz w:val="22"/>
          <w:szCs w:val="22"/>
        </w:rPr>
        <w:t xml:space="preserve">2.3 Análisis de roles y actividades (cargas y traspasos)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gridCol w:w="3000"/>
        <w:gridCol w:w="3370"/>
      </w:tblGrid>
      <w:tr>
        <w:trPr>
          <w:tblHeader/>
        </w:trPr>
        <w:tc>
          <w:tcPr>
            <w:tcW w:type="dxa" w:w="30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Rol / área</w:t>
            </w:r>
          </w:p>
        </w:tc>
        <w:tc>
          <w:tcPr>
            <w:tcW w:type="dxa" w:w="26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 actividades que ejecuta</w:t>
            </w:r>
          </w:p>
        </w:tc>
        <w:tc>
          <w:tcPr>
            <w:tcW w:type="dxa" w:w="26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 traspasos (handoffs) que genera</w:t>
            </w:r>
          </w:p>
        </w:tc>
        <w:tc>
          <w:tcPr>
            <w:tcW w:type="dxa" w:w="30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Sobrecarga / duplicidad detectada</w:t>
            </w:r>
          </w:p>
        </w:tc>
        <w:tc>
          <w:tcPr>
            <w:tcW w:type="dxa" w:w="337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Recomendación RACI (R/A/C/I a redefinir)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spacing w:after="60" w:before="60"/>
        <w:jc w:val="left"/>
      </w:pPr>
      <w:r>
        <w:rPr>
          <w:rFonts w:ascii="Arial" w:cs="Arial" w:eastAsia="Arial" w:hAnsi="Arial"/>
          <w:b/>
          <w:bCs/>
          <w:i w:val="false"/>
          <w:iCs w:val="false"/>
          <w:color w:val="000000"/>
          <w:sz w:val="16"/>
          <w:szCs w:val="16"/>
        </w:rPr>
        <w:t xml:space="preserve">Buena práctica (BPM CBOK 4.0): </w:t>
      </w:r>
      <w:r>
        <w:rPr>
          <w:rFonts w:ascii="Arial" w:cs="Arial" w:eastAsia="Arial" w:hAnsi="Arial"/>
          <w:b w:val="false"/>
          <w:bCs w:val="false"/>
          <w:i/>
          <w:iCs/>
          <w:color w:val="000000"/>
          <w:sz w:val="16"/>
          <w:szCs w:val="16"/>
        </w:rPr>
        <w:t xml:space="preserve">un número elevado de traspasos entre roles incrementa esperas y errores de comunicación; evalúe consolidar actividades o clarificar la matriz RACI del proceso (responsabilidades y autoridades, cláusula 5.3).</w:t>
      </w:r>
    </w:p>
    <w:p>
      <w:pPr>
        <w:pStyle w:val="Heading2"/>
        <w:spacing w:after="100" w:before="160"/>
      </w:pPr>
      <w:r>
        <w:rPr>
          <w:rFonts w:ascii="Arial" w:cs="Arial" w:eastAsia="Arial" w:hAnsi="Arial"/>
          <w:b/>
          <w:bCs/>
          <w:color w:val="2E4D87"/>
          <w:sz w:val="22"/>
          <w:szCs w:val="22"/>
        </w:rPr>
        <w:t xml:space="preserve">2.4 Cuellos de botella y brechas — consolidado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2700"/>
        <w:gridCol w:w="2700"/>
        <w:gridCol w:w="3370"/>
      </w:tblGrid>
      <w:tr>
        <w:trPr>
          <w:tblHeader/>
        </w:trPr>
        <w:tc>
          <w:tcPr>
            <w:tcW w:type="dxa" w:w="14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ID</w:t>
            </w:r>
          </w:p>
        </w:tc>
        <w:tc>
          <w:tcPr>
            <w:tcW w:type="dxa" w:w="44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Cuello de botella / brecha</w:t>
            </w:r>
          </w:p>
        </w:tc>
        <w:tc>
          <w:tcPr>
            <w:tcW w:type="dxa" w:w="27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Origen (causa preliminar)</w:t>
            </w:r>
          </w:p>
        </w:tc>
        <w:tc>
          <w:tcPr>
            <w:tcW w:type="dxa" w:w="27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Impacto (tiempo/costo/calidad/cliente)</w:t>
            </w:r>
          </w:p>
        </w:tc>
        <w:tc>
          <w:tcPr>
            <w:tcW w:type="dxa" w:w="337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Ficha de brecha asociada (FB-SGC-003)</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pStyle w:val="Heading2"/>
        <w:spacing w:after="100" w:before="160"/>
      </w:pPr>
      <w:r>
        <w:rPr>
          <w:rFonts w:ascii="Arial" w:cs="Arial" w:eastAsia="Arial" w:hAnsi="Arial"/>
          <w:b/>
          <w:bCs/>
          <w:color w:val="2E4D87"/>
          <w:sz w:val="22"/>
          <w:szCs w:val="22"/>
        </w:rPr>
        <w:t xml:space="preserve">2.5 Priorización de hallazgos relevantes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400"/>
        <w:gridCol w:w="2400"/>
        <w:gridCol w:w="2400"/>
        <w:gridCol w:w="1770"/>
      </w:tblGrid>
      <w:tr>
        <w:trPr>
          <w:tblHeader/>
        </w:trPr>
        <w:tc>
          <w:tcPr>
            <w:tcW w:type="dxa" w:w="14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w:t>
            </w:r>
          </w:p>
        </w:tc>
        <w:tc>
          <w:tcPr>
            <w:tcW w:type="dxa" w:w="42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Hallazgo</w:t>
            </w:r>
          </w:p>
        </w:tc>
        <w:tc>
          <w:tcPr>
            <w:tcW w:type="dxa" w:w="24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Riesgo (P×I)</w:t>
            </w:r>
          </w:p>
        </w:tc>
        <w:tc>
          <w:tcPr>
            <w:tcW w:type="dxa" w:w="24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Impacto en cliente/ciudadano</w:t>
            </w:r>
          </w:p>
        </w:tc>
        <w:tc>
          <w:tcPr>
            <w:tcW w:type="dxa" w:w="24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Esfuerzo de solución</w:t>
            </w:r>
          </w:p>
        </w:tc>
        <w:tc>
          <w:tcPr>
            <w:tcW w:type="dxa" w:w="177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Prioridad (1/2/3)</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spacing w:after="60" w:before="60"/>
        <w:jc w:val="left"/>
      </w:pPr>
      <w:r>
        <w:rPr>
          <w:rFonts w:ascii="Arial" w:cs="Arial" w:eastAsia="Arial" w:hAnsi="Arial"/>
          <w:b/>
          <w:bCs/>
          <w:i w:val="false"/>
          <w:iCs w:val="false"/>
          <w:color w:val="000000"/>
          <w:sz w:val="16"/>
          <w:szCs w:val="16"/>
        </w:rPr>
        <w:t xml:space="preserve">Criterio de priorización: </w:t>
      </w:r>
      <w:r>
        <w:rPr>
          <w:rFonts w:ascii="Arial" w:cs="Arial" w:eastAsia="Arial" w:hAnsi="Arial"/>
          <w:b w:val="false"/>
          <w:bCs w:val="false"/>
          <w:i/>
          <w:iCs/>
          <w:color w:val="000000"/>
          <w:sz w:val="16"/>
          <w:szCs w:val="16"/>
        </w:rPr>
        <w:t xml:space="preserve">Prioridad 1 = riesgo alto o exigencia normativa con bajo/medio esfuerzo (quick wins y obligaciones); Prioridad 2 = riesgo medio; Prioridad 3 = riesgo bajo, gestionar en ciclos regulares de mejora (Kaizen).</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C55A11" w:sz="4"/>
              <w:left w:val="single" w:color="C55A11" w:sz="4"/>
              <w:bottom w:val="single" w:color="C55A11" w:sz="4"/>
              <w:right w:val="single" w:color="C55A11"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2"/>
                <w:szCs w:val="22"/>
              </w:rPr>
              <w:t xml:space="preserve">NIVEL AVANZADO — ANÁLISIS CUANTITATIVO, PARETO Y HOJA DE RUTA TO-BE</w:t>
            </w:r>
          </w:p>
        </w:tc>
      </w:tr>
    </w:tbl>
    <w:p>
      <w:pPr>
        <w:pStyle w:val="Heading2"/>
        <w:spacing w:after="100" w:before="160"/>
      </w:pPr>
      <w:r>
        <w:rPr>
          <w:rFonts w:ascii="Arial" w:cs="Arial" w:eastAsia="Arial" w:hAnsi="Arial"/>
          <w:b/>
          <w:bCs/>
          <w:color w:val="2E4D87"/>
          <w:sz w:val="22"/>
          <w:szCs w:val="22"/>
        </w:rPr>
        <w:t xml:space="preserve">3.1 Análisis de Pareto de hallazgos (80/20)</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gridCol w:w="2600"/>
        <w:gridCol w:w="2970"/>
      </w:tblGrid>
      <w:tr>
        <w:trPr>
          <w:tblHeader/>
        </w:trPr>
        <w:tc>
          <w:tcPr>
            <w:tcW w:type="dxa" w:w="42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Categoría de hallazgo / causa</w:t>
            </w:r>
          </w:p>
        </w:tc>
        <w:tc>
          <w:tcPr>
            <w:tcW w:type="dxa" w:w="2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Frecuencia</w:t>
            </w:r>
          </w:p>
        </w:tc>
        <w:tc>
          <w:tcPr>
            <w:tcW w:type="dxa" w:w="2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 del total</w:t>
            </w:r>
          </w:p>
        </w:tc>
        <w:tc>
          <w:tcPr>
            <w:tcW w:type="dxa" w:w="26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 acumulado</w:t>
            </w:r>
          </w:p>
        </w:tc>
        <w:tc>
          <w:tcPr>
            <w:tcW w:type="dxa" w:w="297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¿Dentro del 80% vital? (Sí/No)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pStyle w:val="Heading2"/>
        <w:spacing w:after="100" w:before="160"/>
      </w:pPr>
      <w:r>
        <w:rPr>
          <w:rFonts w:ascii="Arial" w:cs="Arial" w:eastAsia="Arial" w:hAnsi="Arial"/>
          <w:b/>
          <w:bCs/>
          <w:color w:val="2E4D87"/>
          <w:sz w:val="22"/>
          <w:szCs w:val="22"/>
        </w:rPr>
        <w:t xml:space="preserve">3.2 Línea base de indicadores del proceso (9.1.1)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400"/>
        <w:gridCol w:w="2400"/>
        <w:gridCol w:w="3370"/>
      </w:tblGrid>
      <w:tr>
        <w:trPr>
          <w:tblHeader/>
        </w:trPr>
        <w:tc>
          <w:tcPr>
            <w:tcW w:type="dxa" w:w="3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KPI</w:t>
            </w:r>
          </w:p>
        </w:tc>
        <w:tc>
          <w:tcPr>
            <w:tcW w:type="dxa" w:w="30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Fórmula</w:t>
            </w:r>
          </w:p>
        </w:tc>
        <w:tc>
          <w:tcPr>
            <w:tcW w:type="dxa" w:w="2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Valor actual (línea base)</w:t>
            </w:r>
          </w:p>
        </w:tc>
        <w:tc>
          <w:tcPr>
            <w:tcW w:type="dxa" w:w="2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Meta propuesta (TO-BE)</w:t>
            </w:r>
          </w:p>
        </w:tc>
        <w:tc>
          <w:tcPr>
            <w:tcW w:type="dxa" w:w="337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Frecuencia y responsable de medición</w:t>
            </w:r>
          </w:p>
        </w:tc>
      </w:tr>
      <w:tr>
        <w:tc>
          <w:tcPr>
            <w:tcW w:type="dxa" w:w="34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Eficacia del proceso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[Fórmula]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Eficiencia del proceso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[Fórmula]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Tiempo de ciclo / lead time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[Fórmula]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 de reprocesos o defectos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[Fórmula]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Satisfacción del cliente (9.1.2)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[Fórmula]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spacing w:after="60" w:before="60"/>
        <w:jc w:val="left"/>
      </w:pPr>
      <w:r>
        <w:rPr>
          <w:rFonts w:ascii="Arial" w:cs="Arial" w:eastAsia="Arial" w:hAnsi="Arial"/>
          <w:b/>
          <w:bCs/>
          <w:i w:val="false"/>
          <w:iCs w:val="false"/>
          <w:color w:val="000000"/>
          <w:sz w:val="16"/>
          <w:szCs w:val="16"/>
        </w:rPr>
        <w:t xml:space="preserve">Nota: </w:t>
      </w:r>
      <w:r>
        <w:rPr>
          <w:rFonts w:ascii="Arial" w:cs="Arial" w:eastAsia="Arial" w:hAnsi="Arial"/>
          <w:b w:val="false"/>
          <w:bCs w:val="false"/>
          <w:i/>
          <w:iCs/>
          <w:color w:val="000000"/>
          <w:sz w:val="16"/>
          <w:szCs w:val="16"/>
        </w:rPr>
        <w:t xml:space="preserve">cuando exista data suficiente, incorpore métricas estadísticas (DPMO, nivel sigma, Cp/Cpk) para dimensionar la variabilidad del proceso (enfoque Six Sigma — DMAIC, fases Medir y Analizar).</w:t>
      </w:r>
    </w:p>
    <w:p>
      <w:pPr>
        <w:pStyle w:val="Heading2"/>
        <w:spacing w:after="100" w:before="160"/>
      </w:pPr>
      <w:r>
        <w:rPr>
          <w:rFonts w:ascii="Arial" w:cs="Arial" w:eastAsia="Arial" w:hAnsi="Arial"/>
          <w:b/>
          <w:bCs/>
          <w:color w:val="2E4D87"/>
          <w:sz w:val="22"/>
          <w:szCs w:val="22"/>
        </w:rPr>
        <w:t xml:space="preserve">3.3 Costo de no calidad estimado del proceso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56"/>
        <w:gridCol w:w="4857"/>
        <w:gridCol w:w="4857"/>
      </w:tblGrid>
      <w:tr>
        <w:trPr>
          <w:tblHeader/>
        </w:trPr>
        <w:tc>
          <w:tcPr>
            <w:tcW w:type="dxa" w:w="4856"/>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Concepto (fallas internas / externas / esperas)</w:t>
            </w:r>
          </w:p>
        </w:tc>
        <w:tc>
          <w:tcPr>
            <w:tcW w:type="dxa" w:w="4857"/>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Costo mensual estimado (S/)</w:t>
            </w:r>
          </w:p>
        </w:tc>
        <w:tc>
          <w:tcPr>
            <w:tcW w:type="dxa" w:w="4857"/>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Costo anualizado (S/)</w:t>
            </w:r>
          </w:p>
        </w:tc>
      </w:tr>
      <w:tr>
        <w:tc>
          <w:tcPr>
            <w:tcW w:type="dxa" w:w="48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8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8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4856"/>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TOTAL CNC</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[S/]</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[S/]</w:t>
            </w:r>
          </w:p>
        </w:tc>
      </w:tr>
    </w:tbl>
    <w:p>
      <w:pPr>
        <w:pStyle w:val="Heading2"/>
        <w:spacing w:after="100" w:before="160"/>
      </w:pPr>
      <w:r>
        <w:rPr>
          <w:rFonts w:ascii="Arial" w:cs="Arial" w:eastAsia="Arial" w:hAnsi="Arial"/>
          <w:b/>
          <w:bCs/>
          <w:color w:val="2E4D87"/>
          <w:sz w:val="22"/>
          <w:szCs w:val="22"/>
        </w:rPr>
        <w:t xml:space="preserve">3.4 Conclusiones del análisis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gridCol w:w="6170"/>
      </w:tblGrid>
      <w:tr>
        <w:trPr>
          <w:tblHeader/>
        </w:trPr>
        <w:tc>
          <w:tcPr>
            <w:tcW w:type="dxa" w:w="1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w:t>
            </w:r>
          </w:p>
        </w:tc>
        <w:tc>
          <w:tcPr>
            <w:tcW w:type="dxa" w:w="70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Conclusión (sustentada en evidencia)</w:t>
            </w:r>
          </w:p>
        </w:tc>
        <w:tc>
          <w:tcPr>
            <w:tcW w:type="dxa" w:w="617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Referencia (hallazgo / brecha / cláusula)</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6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6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6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6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pStyle w:val="Heading2"/>
        <w:spacing w:after="100" w:before="160"/>
      </w:pPr>
      <w:r>
        <w:rPr>
          <w:rFonts w:ascii="Arial" w:cs="Arial" w:eastAsia="Arial" w:hAnsi="Arial"/>
          <w:b/>
          <w:bCs/>
          <w:color w:val="2E4D87"/>
          <w:sz w:val="22"/>
          <w:szCs w:val="22"/>
        </w:rPr>
        <w:t xml:space="preserve">3.5 Recomendaciones y hoja de ruta hacia el TO-BE (vínculo PHVA)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2400"/>
        <w:gridCol w:w="2400"/>
        <w:gridCol w:w="2200"/>
        <w:gridCol w:w="1770"/>
      </w:tblGrid>
      <w:tr>
        <w:trPr>
          <w:tblHeader/>
        </w:trPr>
        <w:tc>
          <w:tcPr>
            <w:tcW w:type="dxa" w:w="1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w:t>
            </w:r>
          </w:p>
        </w:tc>
        <w:tc>
          <w:tcPr>
            <w:tcW w:type="dxa" w:w="4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Recomendación / iniciativa de mejora</w:t>
            </w:r>
          </w:p>
        </w:tc>
        <w:tc>
          <w:tcPr>
            <w:tcW w:type="dxa" w:w="2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Etapa PHVA</w:t>
            </w:r>
          </w:p>
        </w:tc>
        <w:tc>
          <w:tcPr>
            <w:tcW w:type="dxa" w:w="2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Responsable propuesto</w:t>
            </w:r>
          </w:p>
        </w:tc>
        <w:tc>
          <w:tcPr>
            <w:tcW w:type="dxa" w:w="22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Plazo sugerido</w:t>
            </w:r>
          </w:p>
        </w:tc>
        <w:tc>
          <w:tcPr>
            <w:tcW w:type="dxa" w:w="177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Prioridad</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1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spacing w:after="60" w:before="60"/>
        <w:jc w:val="left"/>
      </w:pPr>
      <w:r>
        <w:rPr>
          <w:rFonts w:ascii="Arial" w:cs="Arial" w:eastAsia="Arial" w:hAnsi="Arial"/>
          <w:b/>
          <w:bCs/>
          <w:i w:val="false"/>
          <w:iCs w:val="false"/>
          <w:color w:val="000000"/>
          <w:sz w:val="16"/>
          <w:szCs w:val="16"/>
        </w:rPr>
        <w:t xml:space="preserve">Continuidad metodológica: </w:t>
      </w:r>
      <w:r>
        <w:rPr>
          <w:rFonts w:ascii="Arial" w:cs="Arial" w:eastAsia="Arial" w:hAnsi="Arial"/>
          <w:b w:val="false"/>
          <w:bCs w:val="false"/>
          <w:i/>
          <w:iCs/>
          <w:color w:val="000000"/>
          <w:sz w:val="16"/>
          <w:szCs w:val="16"/>
        </w:rPr>
        <w:t xml:space="preserve">las recomendaciones priorizadas alimentan el Plan de Acción (PL-GA-001) y el Cronograma de Implementación (CR-MS-002) de la siguiente fase, cerrando el ciclo Planificar del PHVA. Este reporte debe presentarse en la revisión por la dirección como entrada del apartado 9.3.2 c) (desempeño de procesos, no conformidades, resultados de seguimiento y medición).</w:t>
      </w:r>
    </w:p>
    <w:p>
      <w:pPr>
        <w:pStyle w:val="Heading2"/>
        <w:spacing w:after="100" w:before="160"/>
      </w:pPr>
      <w:r>
        <w:rPr>
          <w:rFonts w:ascii="Arial" w:cs="Arial" w:eastAsia="Arial" w:hAnsi="Arial"/>
          <w:b/>
          <w:bCs/>
          <w:color w:val="2E4D87"/>
          <w:sz w:val="22"/>
          <w:szCs w:val="22"/>
        </w:rPr>
        <w:t xml:space="preserve">Aprobación del reporte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56"/>
        <w:gridCol w:w="4857"/>
        <w:gridCol w:w="4857"/>
      </w:tblGrid>
      <w:tr>
        <w:trPr>
          <w:tblHeader/>
        </w:trPr>
        <w:tc>
          <w:tcPr>
            <w:tcW w:type="dxa" w:w="485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Elaborado por</w:t>
            </w:r>
          </w:p>
        </w:tc>
        <w:tc>
          <w:tcPr>
            <w:tcW w:type="dxa" w:w="48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Revisado por</w:t>
            </w:r>
          </w:p>
        </w:tc>
        <w:tc>
          <w:tcPr>
            <w:tcW w:type="dxa" w:w="48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Aprobado por</w:t>
            </w:r>
          </w:p>
        </w:tc>
      </w:tr>
      <w:tr>
        <w:tc>
          <w:tcPr>
            <w:tcW w:type="dxa" w:w="48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Pierre R. — Consultor SGC</w:t>
            </w:r>
          </w:p>
          <w:p>
            <w:pPr>
              <w:spacing w:after="20" w:before="20"/>
              <w:jc w:val="center"/>
            </w:pPr>
            <w:r>
              <w:rPr>
                <w:rFonts w:ascii="Arial" w:cs="Arial" w:eastAsia="Arial" w:hAnsi="Arial"/>
                <w:b w:val="false"/>
                <w:bCs w:val="false"/>
                <w:i w:val="false"/>
                <w:iCs w:val="false"/>
                <w:color w:val="000000"/>
                <w:sz w:val="16"/>
                <w:szCs w:val="16"/>
              </w:rPr>
              <w:t xml:space="preserve">[Firma / Fecha]</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[NOMBRE / CARGO]</w:t>
            </w:r>
          </w:p>
          <w:p>
            <w:pPr>
              <w:spacing w:after="20" w:before="20"/>
              <w:jc w:val="center"/>
            </w:pPr>
            <w:r>
              <w:rPr>
                <w:rFonts w:ascii="Arial" w:cs="Arial" w:eastAsia="Arial" w:hAnsi="Arial"/>
                <w:b w:val="false"/>
                <w:bCs w:val="false"/>
                <w:i/>
                <w:iCs/>
                <w:color w:val="808080"/>
                <w:sz w:val="16"/>
                <w:szCs w:val="16"/>
              </w:rPr>
              <w:t xml:space="preserve">[Firma / Fecha]</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[NOMBRE / CARGO — Alta dirección]</w:t>
            </w:r>
          </w:p>
          <w:p>
            <w:pPr>
              <w:spacing w:after="20" w:before="20"/>
              <w:jc w:val="center"/>
            </w:pPr>
            <w:r>
              <w:rPr>
                <w:rFonts w:ascii="Arial" w:cs="Arial" w:eastAsia="Arial" w:hAnsi="Arial"/>
                <w:b w:val="false"/>
                <w:bCs w:val="false"/>
                <w:i/>
                <w:iCs/>
                <w:color w:val="808080"/>
                <w:sz w:val="16"/>
                <w:szCs w:val="16"/>
              </w:rPr>
              <w:t xml:space="preserve">[Firma / Fecha]</w:t>
            </w:r>
          </w:p>
        </w:tc>
      </w:tr>
    </w:tbl>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9000" w:sz="6" w:space="4"/>
      </w:pBdr>
      <w:tabs>
        <w:tab w:val="right" w:pos="14570"/>
      </w:tabs>
    </w:pPr>
    <w:r>
      <w:rPr>
        <w:rFonts w:ascii="Arial" w:cs="Arial" w:eastAsia="Arial" w:hAnsi="Arial"/>
        <w:color w:val="808080"/>
        <w:sz w:val="14"/>
        <w:szCs w:val="14"/>
      </w:rPr>
      <w:t xml:space="preserve">Plantilla referencial SGC — uso interno · Elaborado por Pierre R.</w:t>
    </w:r>
    <w:r>
      <w:rPr>
        <w:rFonts w:ascii="Arial" w:cs="Arial" w:eastAsia="Arial" w:hAnsi="Arial"/>
        <w:color w:val="808080"/>
        <w:sz w:val="14"/>
        <w:szCs w:val="14"/>
      </w:rPr>
      <w:t xml:space="preserve">	Página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de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14570"/>
      </w:tabs>
    </w:pPr>
    <w:r>
      <w:rPr>
        <w:rFonts w:ascii="Arial" w:cs="Arial" w:eastAsia="Arial" w:hAnsi="Arial"/>
        <w:b/>
        <w:bCs/>
        <w:color w:val="1F3864"/>
        <w:sz w:val="14"/>
        <w:szCs w:val="14"/>
      </w:rPr>
      <w:t xml:space="preserve">RA-SGC-004 — Reporte de Análisis</w:t>
    </w:r>
    <w:r>
      <w:rPr>
        <w:rFonts w:ascii="Arial" w:cs="Arial" w:eastAsia="Arial" w:hAnsi="Arial"/>
        <w:b/>
        <w:bCs/>
        <w:color w:val="BF9000"/>
        <w:sz w:val="14"/>
        <w:szCs w:val="14"/>
      </w:rPr>
      <w:t xml:space="preserve">	Versión 01 · © Pierre R.</w:t>
    </w:r>
  </w:p>
  <w:p>
    <w:pPr>
      <w:rPr>
        <w:noProof/>
      </w:rPr>
    </w:pPr>
    <w:r>
      <w:rPr>
        <w:noProof/>
      </w:rPr>
      <w:pict>
        <v:shape id="PowerPlusWaterMarkObject1" o:spid="_x0000_s201" type="#_x0000_t136" style="position:absolute;margin-left:0;margin-top:0;width:520pt;height:130pt;rotation:315;z-index:-251654144;mso-position-horizontal:center;mso-position-horizontal-relative:margin;mso-position-vertical:center;mso-position-vertical-relative:margin" o:allowincell="f" fillcolor="#BF9000" stroked="f">
          <v:fill opacity="19661f"/>
          <v:textpath style="font-family:&quot;Arial&quot;;font-size:1pt" string="Pierre 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4D8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2026-06-10T00:23:00.263Z</dcterms:created>
  <dcterms:modified xsi:type="dcterms:W3CDTF">2026-06-10T00:23:00.263Z</dcterms:modified>
</cp:coreProperties>
</file>

<file path=docProps/custom.xml><?xml version="1.0" encoding="utf-8"?>
<Properties xmlns="http://schemas.openxmlformats.org/officeDocument/2006/custom-properties" xmlns:vt="http://schemas.openxmlformats.org/officeDocument/2006/docPropsVTypes"/>
</file>