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b/>
          <w:bCs/>
          <w:color w:val="8C6B2F"/>
          <w:spacing w:val="40"/>
          <w:sz w:val="19"/>
          <w:szCs w:val="19"/>
        </w:rPr>
        <w:t xml:space="preserve">MEMORANDO DE DECISIÓN</w:t>
      </w:r>
    </w:p>
    <w:p>
      <w:pPr>
        <w:pBdr>
          <w:top w:val="single" w:color="1F3864" w:sz="8" w:space="14"/>
        </w:pBdr>
        <w:spacing w:after="100"/>
        <w:jc w:val="center"/>
      </w:pPr>
    </w:p>
    <w:p>
      <w:pPr>
        <w:spacing w:after="60"/>
        <w:jc w:val="center"/>
      </w:pPr>
      <w:r>
        <w:rPr>
          <w:b/>
          <w:bCs/>
          <w:color w:val="1F3864"/>
          <w:sz w:val="40"/>
          <w:szCs w:val="40"/>
        </w:rPr>
        <w:t xml:space="preserve">Camino A o Camino B</w:t>
      </w:r>
    </w:p>
    <w:p>
      <w:pPr>
        <w:spacing w:after="200"/>
        <w:jc w:val="center"/>
      </w:pPr>
      <w:r>
        <w:rPr>
          <w:b/>
          <w:bCs/>
          <w:color w:val="1F3864"/>
          <w:sz w:val="40"/>
          <w:szCs w:val="40"/>
        </w:rPr>
        <w:t xml:space="preserve"/>
      </w:r>
    </w:p>
    <w:p>
      <w:pPr>
        <w:pBdr>
          <w:bottom w:val="single" w:color="1F3864" w:sz="8" w:space="14"/>
        </w:pBdr>
        <w:spacing w:after="500"/>
        <w:jc w:val="center"/>
      </w:pPr>
      <w:r>
        <w:rPr>
          <w:i/>
          <w:iCs/>
          <w:color w:val="44546A"/>
          <w:sz w:val="21"/>
          <w:szCs w:val="21"/>
        </w:rPr>
        <w:t xml:space="preserve">Escalar el volumen o construir la boutique — con una recomendación</w:t>
      </w:r>
    </w:p>
    <w:p>
      <w:pPr>
        <w:spacing w:after="40"/>
        <w:jc w:val="center"/>
      </w:pPr>
      <w:r>
        <w:rPr>
          <w:b/>
          <w:bCs/>
          <w:color w:val="8C6B2F"/>
          <w:sz w:val="24"/>
          <w:szCs w:val="24"/>
        </w:rPr>
        <w:t xml:space="preserve">Law Offices of Jose R. Santiago, PLLC</w:t>
      </w:r>
    </w:p>
    <w:p>
      <w:pPr>
        <w:spacing w:after="40"/>
        <w:jc w:val="center"/>
      </w:pPr>
      <w:r>
        <w:rPr>
          <w:color w:val="44546A"/>
          <w:sz w:val="20"/>
          <w:szCs w:val="20"/>
        </w:rPr>
        <w:t xml:space="preserve">29 de julio de 2026</w:t>
      </w:r>
    </w:p>
    <w:p>
      <w:pPr>
        <w:jc w:val="center"/>
      </w:pPr>
      <w:r>
        <w:rPr>
          <w:i/>
          <w:iCs/>
          <w:color w:val="999999"/>
          <w:sz w:val="18"/>
          <w:szCs w:val="18"/>
        </w:rPr>
        <w:t xml:space="preserve">Documento interno — no distribuir fuera de la firma</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1. La pregunta y por qué no puede quedar abierta</w:t>
      </w:r>
    </w:p>
    <w:p>
      <w:pPr>
        <w:spacing w:after="140" w:line="276"/>
      </w:pPr>
      <w:r>
        <w:rPr>
          <w:sz w:val="21"/>
          <w:szCs w:val="21"/>
        </w:rPr>
        <w:t xml:space="preserve">El documento de modelo de negocio planteó dos rutas de evolución y las dejó sin resolver:</w:t>
      </w:r>
    </w:p>
    <w:p>
      <w:pPr>
        <w:pStyle w:val="ListParagraph"/>
        <w:numPr>
          <w:ilvl w:val="0"/>
          <w:numId w:val="2"/>
        </w:numPr>
        <w:spacing w:after="70" w:line="264"/>
      </w:pPr>
      <w:r>
        <w:rPr>
          <w:b/>
          <w:bCs/>
          <w:sz w:val="21"/>
          <w:szCs w:val="21"/>
        </w:rPr>
        <w:t xml:space="preserve">Camino A — Escala de volumen.</w:t>
      </w:r>
      <w:r>
        <w:rPr>
          <w:sz w:val="21"/>
          <w:szCs w:val="21"/>
        </w:rPr>
        <w:t xml:space="preserve"> Doblar la máquina de casos repetibles, invertir en intake y automatización, crecer en paralegales antes que en abogados.</w:t>
      </w:r>
    </w:p>
    <w:p>
      <w:pPr>
        <w:pStyle w:val="ListParagraph"/>
        <w:numPr>
          <w:ilvl w:val="0"/>
          <w:numId w:val="2"/>
        </w:numPr>
        <w:spacing w:after="70" w:line="264"/>
      </w:pPr>
      <w:r>
        <w:rPr>
          <w:b/>
          <w:bCs/>
          <w:sz w:val="21"/>
          <w:szCs w:val="21"/>
        </w:rPr>
        <w:t xml:space="preserve">Camino B — Boutique de defensa y habeas.</w:t>
      </w:r>
      <w:r>
        <w:rPr>
          <w:sz w:val="21"/>
          <w:szCs w:val="21"/>
        </w:rPr>
        <w:t xml:space="preserve"> Menos casos, ticket mucho mayor, admisiones federales en distritos clave, reputación como activo principal.</w:t>
      </w:r>
    </w:p>
    <w:p>
      <w:pPr>
        <w:spacing w:after="140" w:line="276"/>
      </w:pPr>
      <w:r>
        <w:rPr>
          <w:sz w:val="21"/>
          <w:szCs w:val="21"/>
        </w:rPr>
        <w:t xml:space="preserve">No elegir tiene un costo concreto, y no es abstracto: </w:t>
      </w:r>
      <w:r>
        <w:rPr>
          <w:b/>
          <w:bCs/>
          <w:sz w:val="21"/>
          <w:szCs w:val="21"/>
        </w:rPr>
        <w:t xml:space="preserve">cada camino pide una contratación distinta, un marketing distinto y una estructura de precios distinta.</w:t>
      </w:r>
      <w:r>
        <w:rPr>
          <w:sz w:val="21"/>
          <w:szCs w:val="21"/>
        </w:rPr>
        <w:t xml:space="preserve"> Hacer las dos cosas a la vez con los recursos de una es la forma más común de no hacer ninguna.</w:t>
      </w:r>
    </w:p>
    <w:p>
      <w:pPr>
        <w:pStyle w:val="Heading1"/>
        <w:pBdr>
          <w:bottom w:val="single" w:color="1F3864" w:sz="10" w:space="6"/>
        </w:pBdr>
        <w:spacing w:after="200" w:before="480"/>
      </w:pPr>
      <w:r>
        <w:rPr>
          <w:rFonts w:ascii="Calibri" w:cs="Calibri" w:eastAsia="Calibri" w:hAnsi="Calibri"/>
          <w:b/>
          <w:bCs/>
          <w:color w:val="1F3864"/>
          <w:sz w:val="32"/>
          <w:szCs w:val="32"/>
        </w:rPr>
        <w:t xml:space="preserve">2. La métrica que reordena la decisión</w:t>
      </w:r>
    </w:p>
    <w:p>
      <w:pPr>
        <w:spacing w:after="140" w:line="276"/>
      </w:pPr>
      <w:r>
        <w:rPr>
          <w:sz w:val="21"/>
          <w:szCs w:val="21"/>
        </w:rPr>
        <w:t xml:space="preserve">El modelo de negocio calculaba el margen por caso. Esa métrica es correcta pero incompleta, porque trata todos los casos como si consumieran el mismo recurso escaso. No lo hacen.</w:t>
      </w:r>
    </w:p>
    <w:p>
      <w:pPr>
        <w:spacing w:after="60"/>
      </w:pP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El recurso escaso de esta firma no es el capital ni la demanda: son las horas del abogado</w:t>
            </w:r>
          </w:p>
          <w:p>
            <w:pPr>
              <w:spacing w:after="90" w:line="264"/>
            </w:pPr>
            <w:r>
              <w:rPr>
                <w:sz w:val="21"/>
                <w:szCs w:val="21"/>
              </w:rPr>
              <w:t xml:space="preserve">Un paralegal se contrata. Un abogado con criterio para llevar una defensa en corte, no — o no rápido, ni barato. En una firma de este tamaño </w:t>
            </w:r>
            <w:r>
              <w:rPr>
                <w:b/>
                <w:bCs/>
                <w:sz w:val="21"/>
                <w:szCs w:val="21"/>
              </w:rPr>
              <w:t xml:space="preserve">la hora de abogado es el cuello de botella real</w:t>
            </w:r>
            <w:r>
              <w:rPr>
                <w:sz w:val="21"/>
                <w:szCs w:val="21"/>
              </w:rPr>
              <w:t xml:space="preserve">, y por tanto la métrica que decide el mix no es el margen por caso, sino el </w:t>
            </w:r>
            <w:r>
              <w:rPr>
                <w:b/>
                <w:bCs/>
                <w:sz w:val="21"/>
                <w:szCs w:val="21"/>
              </w:rPr>
              <w:t xml:space="preserve">margen por hora de abogado</w:t>
            </w:r>
            <w:r>
              <w:rPr>
                <w:sz w:val="21"/>
                <w:szCs w:val="21"/>
              </w:rPr>
              <w:t xml:space="preserve">.</w:t>
            </w:r>
          </w:p>
        </w:tc>
      </w:tr>
    </w:tbl>
    <w:p>
      <w:pPr>
        <w:spacing w:after="140"/>
      </w:pPr>
    </w:p>
    <w:p>
      <w:pPr>
        <w:spacing w:after="140" w:line="276"/>
      </w:pPr>
      <w:r>
        <w:rPr>
          <w:sz w:val="21"/>
          <w:szCs w:val="21"/>
        </w:rPr>
        <w:t xml:space="preserve">Con los supuestos ilustrativos del modelo, el orden cambia por completo:</w:t>
      </w:r>
    </w:p>
    <w:p>
      <w:pPr>
        <w:spacing w:after="80"/>
      </w:pP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2350"/>
        <w:gridCol w:w="1100"/>
        <w:gridCol w:w="1100"/>
        <w:gridCol w:w="1300"/>
        <w:gridCol w:w="1050"/>
        <w:gridCol w:w="2460"/>
      </w:tblGrid>
      <w:tr>
        <w:trPr>
          <w:tblHeader/>
        </w:trPr>
        <w:tc>
          <w:tcPr>
            <w:tcW w:type="dxa" w:w="2350"/>
            <w:shd w:fill="1F3864" w:val="clear"/>
            <w:tcMar>
              <w:top w:type="dxa" w:w="90"/>
              <w:left w:type="dxa" w:w="110"/>
              <w:bottom w:type="dxa" w:w="90"/>
              <w:right w:type="dxa" w:w="110"/>
            </w:tcMar>
          </w:tcPr>
          <w:p>
            <w:pPr>
              <w:spacing w:after="0" w:line="250"/>
            </w:pPr>
            <w:r>
              <w:rPr>
                <w:b/>
                <w:bCs/>
                <w:color w:val="FFFFFF"/>
                <w:sz w:val="19"/>
                <w:szCs w:val="19"/>
              </w:rPr>
              <w:t xml:space="preserve">Tipo de caso</w:t>
            </w:r>
          </w:p>
        </w:tc>
        <w:tc>
          <w:tcPr>
            <w:tcW w:type="dxa" w:w="1100"/>
            <w:shd w:fill="1F3864" w:val="clear"/>
            <w:tcMar>
              <w:top w:type="dxa" w:w="90"/>
              <w:left w:type="dxa" w:w="110"/>
              <w:bottom w:type="dxa" w:w="90"/>
              <w:right w:type="dxa" w:w="110"/>
            </w:tcMar>
          </w:tcPr>
          <w:p>
            <w:pPr>
              <w:spacing w:after="0" w:line="250"/>
            </w:pPr>
            <w:r>
              <w:rPr>
                <w:b/>
                <w:bCs/>
                <w:color w:val="FFFFFF"/>
                <w:sz w:val="19"/>
                <w:szCs w:val="19"/>
              </w:rPr>
              <w:t xml:space="preserve">Precio</w:t>
            </w:r>
          </w:p>
        </w:tc>
        <w:tc>
          <w:tcPr>
            <w:tcW w:type="dxa" w:w="1100"/>
            <w:shd w:fill="1F3864" w:val="clear"/>
            <w:tcMar>
              <w:top w:type="dxa" w:w="90"/>
              <w:left w:type="dxa" w:w="110"/>
              <w:bottom w:type="dxa" w:w="90"/>
              <w:right w:type="dxa" w:w="110"/>
            </w:tcMar>
          </w:tcPr>
          <w:p>
            <w:pPr>
              <w:spacing w:after="0" w:line="250"/>
            </w:pPr>
            <w:r>
              <w:rPr>
                <w:b/>
                <w:bCs/>
                <w:color w:val="FFFFFF"/>
                <w:sz w:val="19"/>
                <w:szCs w:val="19"/>
              </w:rPr>
              <w:t xml:space="preserve">Horas
abogado</w:t>
            </w:r>
          </w:p>
        </w:tc>
        <w:tc>
          <w:tcPr>
            <w:tcW w:type="dxa" w:w="1300"/>
            <w:shd w:fill="1F3864" w:val="clear"/>
            <w:tcMar>
              <w:top w:type="dxa" w:w="90"/>
              <w:left w:type="dxa" w:w="110"/>
              <w:bottom w:type="dxa" w:w="90"/>
              <w:right w:type="dxa" w:w="110"/>
            </w:tcMar>
          </w:tcPr>
          <w:p>
            <w:pPr>
              <w:spacing w:after="0" w:line="250"/>
            </w:pPr>
            <w:r>
              <w:rPr>
                <w:b/>
                <w:bCs/>
                <w:color w:val="FFFFFF"/>
                <w:sz w:val="19"/>
                <w:szCs w:val="19"/>
              </w:rPr>
              <w:t xml:space="preserve">Margen
por caso</w:t>
            </w:r>
          </w:p>
        </w:tc>
        <w:tc>
          <w:tcPr>
            <w:tcW w:type="dxa" w:w="1050"/>
            <w:shd w:fill="1F3864" w:val="clear"/>
            <w:tcMar>
              <w:top w:type="dxa" w:w="90"/>
              <w:left w:type="dxa" w:w="110"/>
              <w:bottom w:type="dxa" w:w="90"/>
              <w:right w:type="dxa" w:w="110"/>
            </w:tcMar>
          </w:tcPr>
          <w:p>
            <w:pPr>
              <w:spacing w:after="0" w:line="250"/>
            </w:pPr>
            <w:r>
              <w:rPr>
                <w:b/>
                <w:bCs/>
                <w:color w:val="FFFFFF"/>
                <w:sz w:val="19"/>
                <w:szCs w:val="19"/>
              </w:rPr>
              <w:t xml:space="preserve">Margen
%</w:t>
            </w:r>
          </w:p>
        </w:tc>
        <w:tc>
          <w:tcPr>
            <w:tcW w:type="dxa" w:w="2460"/>
            <w:shd w:fill="1F3864" w:val="clear"/>
            <w:tcMar>
              <w:top w:type="dxa" w:w="90"/>
              <w:left w:type="dxa" w:w="110"/>
              <w:bottom w:type="dxa" w:w="90"/>
              <w:right w:type="dxa" w:w="110"/>
            </w:tcMar>
          </w:tcPr>
          <w:p>
            <w:pPr>
              <w:spacing w:after="0" w:line="250"/>
            </w:pPr>
            <w:r>
              <w:rPr>
                <w:b/>
                <w:bCs/>
                <w:color w:val="FFFFFF"/>
                <w:sz w:val="19"/>
                <w:szCs w:val="19"/>
              </w:rPr>
              <w:t xml:space="preserve">Margen por
hora de abogado</w:t>
            </w:r>
          </w:p>
        </w:tc>
      </w:tr>
      <w:tr>
        <w:tc>
          <w:tcPr>
            <w:tcW w:type="dxa" w:w="2350"/>
            <w:shd w:fill="FFFFFF" w:val="clear"/>
            <w:tcMar>
              <w:top w:type="dxa" w:w="80"/>
              <w:left w:type="dxa" w:w="110"/>
              <w:bottom w:type="dxa" w:w="80"/>
              <w:right w:type="dxa" w:w="110"/>
            </w:tcMar>
            <w:vAlign w:val="center"/>
          </w:tcPr>
          <w:p>
            <w:pPr>
              <w:spacing w:after="0" w:line="250"/>
            </w:pPr>
            <w:r>
              <w:rPr>
                <w:sz w:val="19"/>
                <w:szCs w:val="19"/>
              </w:rPr>
              <w:t xml:space="preserve">Ajuste de estatus</w:t>
            </w:r>
          </w:p>
        </w:tc>
        <w:tc>
          <w:tcPr>
            <w:tcW w:type="dxa" w:w="1100"/>
            <w:shd w:fill="FFFFFF" w:val="clear"/>
            <w:tcMar>
              <w:top w:type="dxa" w:w="80"/>
              <w:left w:type="dxa" w:w="110"/>
              <w:bottom w:type="dxa" w:w="80"/>
              <w:right w:type="dxa" w:w="110"/>
            </w:tcMar>
            <w:vAlign w:val="center"/>
          </w:tcPr>
          <w:p>
            <w:pPr>
              <w:spacing w:after="0" w:line="250"/>
            </w:pPr>
            <w:r>
              <w:rPr>
                <w:sz w:val="19"/>
                <w:szCs w:val="19"/>
              </w:rPr>
              <w:t xml:space="preserve">$4,200</w:t>
            </w:r>
          </w:p>
        </w:tc>
        <w:tc>
          <w:tcPr>
            <w:tcW w:type="dxa" w:w="1100"/>
            <w:shd w:fill="FFFFFF" w:val="clear"/>
            <w:tcMar>
              <w:top w:type="dxa" w:w="80"/>
              <w:left w:type="dxa" w:w="110"/>
              <w:bottom w:type="dxa" w:w="80"/>
              <w:right w:type="dxa" w:w="110"/>
            </w:tcMar>
            <w:vAlign w:val="center"/>
          </w:tcPr>
          <w:p>
            <w:pPr>
              <w:spacing w:after="0" w:line="250"/>
            </w:pPr>
            <w:r>
              <w:rPr>
                <w:sz w:val="19"/>
                <w:szCs w:val="19"/>
              </w:rPr>
              <w:t xml:space="preserve">2.0</w:t>
            </w:r>
          </w:p>
        </w:tc>
        <w:tc>
          <w:tcPr>
            <w:tcW w:type="dxa" w:w="1300"/>
            <w:shd w:fill="FFFFFF" w:val="clear"/>
            <w:tcMar>
              <w:top w:type="dxa" w:w="80"/>
              <w:left w:type="dxa" w:w="110"/>
              <w:bottom w:type="dxa" w:w="80"/>
              <w:right w:type="dxa" w:w="110"/>
            </w:tcMar>
            <w:vAlign w:val="center"/>
          </w:tcPr>
          <w:p>
            <w:pPr>
              <w:spacing w:after="0" w:line="250"/>
            </w:pPr>
            <w:r>
              <w:rPr>
                <w:sz w:val="19"/>
                <w:szCs w:val="19"/>
              </w:rPr>
              <w:t xml:space="preserve">$2,367</w:t>
            </w:r>
          </w:p>
        </w:tc>
        <w:tc>
          <w:tcPr>
            <w:tcW w:type="dxa" w:w="1050"/>
            <w:shd w:fill="FFFFFF" w:val="clear"/>
            <w:tcMar>
              <w:top w:type="dxa" w:w="80"/>
              <w:left w:type="dxa" w:w="110"/>
              <w:bottom w:type="dxa" w:w="80"/>
              <w:right w:type="dxa" w:w="110"/>
            </w:tcMar>
            <w:vAlign w:val="center"/>
          </w:tcPr>
          <w:p>
            <w:pPr>
              <w:spacing w:after="0" w:line="250"/>
            </w:pPr>
            <w:r>
              <w:rPr>
                <w:sz w:val="19"/>
                <w:szCs w:val="19"/>
              </w:rPr>
              <w:t xml:space="preserve">56 %</w:t>
            </w:r>
          </w:p>
        </w:tc>
        <w:tc>
          <w:tcPr>
            <w:tcW w:type="dxa" w:w="2460"/>
            <w:shd w:fill="FFFFFF" w:val="clear"/>
            <w:tcMar>
              <w:top w:type="dxa" w:w="80"/>
              <w:left w:type="dxa" w:w="110"/>
              <w:bottom w:type="dxa" w:w="80"/>
              <w:right w:type="dxa" w:w="110"/>
            </w:tcMar>
            <w:vAlign w:val="center"/>
          </w:tcPr>
          <w:p>
            <w:pPr>
              <w:spacing w:after="0" w:line="250"/>
            </w:pPr>
            <w:r>
              <w:rPr>
                <w:b/>
                <w:bCs/>
                <w:sz w:val="19"/>
                <w:szCs w:val="19"/>
              </w:rPr>
              <w:t xml:space="preserve">$1,184</w:t>
            </w:r>
          </w:p>
        </w:tc>
      </w:tr>
      <w:tr>
        <w:tc>
          <w:tcPr>
            <w:tcW w:type="dxa" w:w="2350"/>
            <w:shd w:fill="F5F7FA" w:val="clear"/>
            <w:tcMar>
              <w:top w:type="dxa" w:w="80"/>
              <w:left w:type="dxa" w:w="110"/>
              <w:bottom w:type="dxa" w:w="80"/>
              <w:right w:type="dxa" w:w="110"/>
            </w:tcMar>
            <w:vAlign w:val="center"/>
          </w:tcPr>
          <w:p>
            <w:pPr>
              <w:spacing w:after="0" w:line="250"/>
            </w:pPr>
            <w:r>
              <w:rPr>
                <w:sz w:val="19"/>
                <w:szCs w:val="19"/>
              </w:rPr>
              <w:t xml:space="preserve">Preparación de habeas</w:t>
            </w:r>
          </w:p>
        </w:tc>
        <w:tc>
          <w:tcPr>
            <w:tcW w:type="dxa" w:w="1100"/>
            <w:shd w:fill="F5F7FA" w:val="clear"/>
            <w:tcMar>
              <w:top w:type="dxa" w:w="80"/>
              <w:left w:type="dxa" w:w="110"/>
              <w:bottom w:type="dxa" w:w="80"/>
              <w:right w:type="dxa" w:w="110"/>
            </w:tcMar>
            <w:vAlign w:val="center"/>
          </w:tcPr>
          <w:p>
            <w:pPr>
              <w:spacing w:after="0" w:line="250"/>
            </w:pPr>
            <w:r>
              <w:rPr>
                <w:sz w:val="19"/>
                <w:szCs w:val="19"/>
              </w:rPr>
              <w:t xml:space="preserve">$2,800</w:t>
            </w:r>
          </w:p>
        </w:tc>
        <w:tc>
          <w:tcPr>
            <w:tcW w:type="dxa" w:w="1100"/>
            <w:shd w:fill="F5F7FA" w:val="clear"/>
            <w:tcMar>
              <w:top w:type="dxa" w:w="80"/>
              <w:left w:type="dxa" w:w="110"/>
              <w:bottom w:type="dxa" w:w="80"/>
              <w:right w:type="dxa" w:w="110"/>
            </w:tcMar>
            <w:vAlign w:val="center"/>
          </w:tcPr>
          <w:p>
            <w:pPr>
              <w:spacing w:after="0" w:line="250"/>
            </w:pPr>
            <w:r>
              <w:rPr>
                <w:sz w:val="19"/>
                <w:szCs w:val="19"/>
              </w:rPr>
              <w:t xml:space="preserve">1.5</w:t>
            </w:r>
          </w:p>
        </w:tc>
        <w:tc>
          <w:tcPr>
            <w:tcW w:type="dxa" w:w="1300"/>
            <w:shd w:fill="F5F7FA" w:val="clear"/>
            <w:tcMar>
              <w:top w:type="dxa" w:w="80"/>
              <w:left w:type="dxa" w:w="110"/>
              <w:bottom w:type="dxa" w:w="80"/>
              <w:right w:type="dxa" w:w="110"/>
            </w:tcMar>
            <w:vAlign w:val="center"/>
          </w:tcPr>
          <w:p>
            <w:pPr>
              <w:spacing w:after="0" w:line="250"/>
            </w:pPr>
            <w:r>
              <w:rPr>
                <w:sz w:val="19"/>
                <w:szCs w:val="19"/>
              </w:rPr>
              <w:t xml:space="preserve">$1,246</w:t>
            </w:r>
          </w:p>
        </w:tc>
        <w:tc>
          <w:tcPr>
            <w:tcW w:type="dxa" w:w="1050"/>
            <w:shd w:fill="F5F7FA" w:val="clear"/>
            <w:tcMar>
              <w:top w:type="dxa" w:w="80"/>
              <w:left w:type="dxa" w:w="110"/>
              <w:bottom w:type="dxa" w:w="80"/>
              <w:right w:type="dxa" w:w="110"/>
            </w:tcMar>
            <w:vAlign w:val="center"/>
          </w:tcPr>
          <w:p>
            <w:pPr>
              <w:spacing w:after="0" w:line="250"/>
            </w:pPr>
            <w:r>
              <w:rPr>
                <w:sz w:val="19"/>
                <w:szCs w:val="19"/>
              </w:rPr>
              <w:t xml:space="preserve">44 %</w:t>
            </w:r>
          </w:p>
        </w:tc>
        <w:tc>
          <w:tcPr>
            <w:tcW w:type="dxa" w:w="2460"/>
            <w:shd w:fill="F5F7FA" w:val="clear"/>
            <w:tcMar>
              <w:top w:type="dxa" w:w="80"/>
              <w:left w:type="dxa" w:w="110"/>
              <w:bottom w:type="dxa" w:w="80"/>
              <w:right w:type="dxa" w:w="110"/>
            </w:tcMar>
            <w:vAlign w:val="center"/>
          </w:tcPr>
          <w:p>
            <w:pPr>
              <w:spacing w:after="0" w:line="250"/>
            </w:pPr>
            <w:r>
              <w:rPr>
                <w:b/>
                <w:bCs/>
                <w:sz w:val="19"/>
                <w:szCs w:val="19"/>
              </w:rPr>
              <w:t xml:space="preserve">$830</w:t>
            </w:r>
          </w:p>
        </w:tc>
      </w:tr>
      <w:tr>
        <w:tc>
          <w:tcPr>
            <w:tcW w:type="dxa" w:w="2350"/>
            <w:shd w:fill="FFFFFF" w:val="clear"/>
            <w:tcMar>
              <w:top w:type="dxa" w:w="80"/>
              <w:left w:type="dxa" w:w="110"/>
              <w:bottom w:type="dxa" w:w="80"/>
              <w:right w:type="dxa" w:w="110"/>
            </w:tcMar>
            <w:vAlign w:val="center"/>
          </w:tcPr>
          <w:p>
            <w:pPr>
              <w:spacing w:after="0" w:line="250"/>
            </w:pPr>
            <w:r>
              <w:rPr>
                <w:sz w:val="19"/>
                <w:szCs w:val="19"/>
              </w:rPr>
              <w:t xml:space="preserve">Cumplimiento I-9 (empleador)</w:t>
            </w:r>
          </w:p>
        </w:tc>
        <w:tc>
          <w:tcPr>
            <w:tcW w:type="dxa" w:w="1100"/>
            <w:shd w:fill="FFFFFF" w:val="clear"/>
            <w:tcMar>
              <w:top w:type="dxa" w:w="80"/>
              <w:left w:type="dxa" w:w="110"/>
              <w:bottom w:type="dxa" w:w="80"/>
              <w:right w:type="dxa" w:w="110"/>
            </w:tcMar>
            <w:vAlign w:val="center"/>
          </w:tcPr>
          <w:p>
            <w:pPr>
              <w:spacing w:after="0" w:line="250"/>
            </w:pPr>
            <w:r>
              <w:rPr>
                <w:sz w:val="19"/>
                <w:szCs w:val="19"/>
              </w:rPr>
              <w:t xml:space="preserve">$7,200</w:t>
            </w:r>
          </w:p>
        </w:tc>
        <w:tc>
          <w:tcPr>
            <w:tcW w:type="dxa" w:w="1100"/>
            <w:shd w:fill="FFFFFF" w:val="clear"/>
            <w:tcMar>
              <w:top w:type="dxa" w:w="80"/>
              <w:left w:type="dxa" w:w="110"/>
              <w:bottom w:type="dxa" w:w="80"/>
              <w:right w:type="dxa" w:w="110"/>
            </w:tcMar>
            <w:vAlign w:val="center"/>
          </w:tcPr>
          <w:p>
            <w:pPr>
              <w:spacing w:after="0" w:line="250"/>
            </w:pPr>
            <w:r>
              <w:rPr>
                <w:sz w:val="19"/>
                <w:szCs w:val="19"/>
              </w:rPr>
              <w:t xml:space="preserve">6.0</w:t>
            </w:r>
          </w:p>
        </w:tc>
        <w:tc>
          <w:tcPr>
            <w:tcW w:type="dxa" w:w="1300"/>
            <w:shd w:fill="FFFFFF" w:val="clear"/>
            <w:tcMar>
              <w:top w:type="dxa" w:w="80"/>
              <w:left w:type="dxa" w:w="110"/>
              <w:bottom w:type="dxa" w:w="80"/>
              <w:right w:type="dxa" w:w="110"/>
            </w:tcMar>
            <w:vAlign w:val="center"/>
          </w:tcPr>
          <w:p>
            <w:pPr>
              <w:spacing w:after="0" w:line="250"/>
            </w:pPr>
            <w:r>
              <w:rPr>
                <w:sz w:val="19"/>
                <w:szCs w:val="19"/>
              </w:rPr>
              <w:t xml:space="preserve">$4,250</w:t>
            </w:r>
          </w:p>
        </w:tc>
        <w:tc>
          <w:tcPr>
            <w:tcW w:type="dxa" w:w="1050"/>
            <w:shd w:fill="FFFFFF" w:val="clear"/>
            <w:tcMar>
              <w:top w:type="dxa" w:w="80"/>
              <w:left w:type="dxa" w:w="110"/>
              <w:bottom w:type="dxa" w:w="80"/>
              <w:right w:type="dxa" w:w="110"/>
            </w:tcMar>
            <w:vAlign w:val="center"/>
          </w:tcPr>
          <w:p>
            <w:pPr>
              <w:spacing w:after="0" w:line="250"/>
            </w:pPr>
            <w:r>
              <w:rPr>
                <w:sz w:val="19"/>
                <w:szCs w:val="19"/>
              </w:rPr>
              <w:t xml:space="preserve">59 %</w:t>
            </w:r>
          </w:p>
        </w:tc>
        <w:tc>
          <w:tcPr>
            <w:tcW w:type="dxa" w:w="2460"/>
            <w:shd w:fill="FFFFFF" w:val="clear"/>
            <w:tcMar>
              <w:top w:type="dxa" w:w="80"/>
              <w:left w:type="dxa" w:w="110"/>
              <w:bottom w:type="dxa" w:w="80"/>
              <w:right w:type="dxa" w:w="110"/>
            </w:tcMar>
            <w:vAlign w:val="center"/>
          </w:tcPr>
          <w:p>
            <w:pPr>
              <w:spacing w:after="0" w:line="250"/>
            </w:pPr>
            <w:r>
              <w:rPr>
                <w:b/>
                <w:bCs/>
                <w:sz w:val="19"/>
                <w:szCs w:val="19"/>
              </w:rPr>
              <w:t xml:space="preserve">$708</w:t>
            </w:r>
          </w:p>
        </w:tc>
      </w:tr>
      <w:tr>
        <w:tc>
          <w:tcPr>
            <w:tcW w:type="dxa" w:w="2350"/>
            <w:shd w:fill="F5F7FA" w:val="clear"/>
            <w:tcMar>
              <w:top w:type="dxa" w:w="80"/>
              <w:left w:type="dxa" w:w="110"/>
              <w:bottom w:type="dxa" w:w="80"/>
              <w:right w:type="dxa" w:w="110"/>
            </w:tcMar>
            <w:vAlign w:val="center"/>
          </w:tcPr>
          <w:p>
            <w:pPr>
              <w:spacing w:after="0" w:line="250"/>
            </w:pPr>
            <w:r>
              <w:rPr>
                <w:sz w:val="19"/>
                <w:szCs w:val="19"/>
              </w:rPr>
              <w:t xml:space="preserve">Petición familiar (I-130)</w:t>
            </w:r>
          </w:p>
        </w:tc>
        <w:tc>
          <w:tcPr>
            <w:tcW w:type="dxa" w:w="1100"/>
            <w:shd w:fill="F5F7FA" w:val="clear"/>
            <w:tcMar>
              <w:top w:type="dxa" w:w="80"/>
              <w:left w:type="dxa" w:w="110"/>
              <w:bottom w:type="dxa" w:w="80"/>
              <w:right w:type="dxa" w:w="110"/>
            </w:tcMar>
            <w:vAlign w:val="center"/>
          </w:tcPr>
          <w:p>
            <w:pPr>
              <w:spacing w:after="0" w:line="250"/>
            </w:pPr>
            <w:r>
              <w:rPr>
                <w:sz w:val="19"/>
                <w:szCs w:val="19"/>
              </w:rPr>
              <w:t xml:space="preserve">$2,600</w:t>
            </w:r>
          </w:p>
        </w:tc>
        <w:tc>
          <w:tcPr>
            <w:tcW w:type="dxa" w:w="1100"/>
            <w:shd w:fill="F5F7FA" w:val="clear"/>
            <w:tcMar>
              <w:top w:type="dxa" w:w="80"/>
              <w:left w:type="dxa" w:w="110"/>
              <w:bottom w:type="dxa" w:w="80"/>
              <w:right w:type="dxa" w:w="110"/>
            </w:tcMar>
            <w:vAlign w:val="center"/>
          </w:tcPr>
          <w:p>
            <w:pPr>
              <w:spacing w:after="0" w:line="250"/>
            </w:pPr>
            <w:r>
              <w:rPr>
                <w:sz w:val="19"/>
                <w:szCs w:val="19"/>
              </w:rPr>
              <w:t xml:space="preserve">1.5</w:t>
            </w:r>
          </w:p>
        </w:tc>
        <w:tc>
          <w:tcPr>
            <w:tcW w:type="dxa" w:w="1300"/>
            <w:shd w:fill="F5F7FA" w:val="clear"/>
            <w:tcMar>
              <w:top w:type="dxa" w:w="80"/>
              <w:left w:type="dxa" w:w="110"/>
              <w:bottom w:type="dxa" w:w="80"/>
              <w:right w:type="dxa" w:w="110"/>
            </w:tcMar>
            <w:vAlign w:val="center"/>
          </w:tcPr>
          <w:p>
            <w:pPr>
              <w:spacing w:after="0" w:line="250"/>
            </w:pPr>
            <w:r>
              <w:rPr>
                <w:sz w:val="19"/>
                <w:szCs w:val="19"/>
              </w:rPr>
              <w:t xml:space="preserve">$922</w:t>
            </w:r>
          </w:p>
        </w:tc>
        <w:tc>
          <w:tcPr>
            <w:tcW w:type="dxa" w:w="1050"/>
            <w:shd w:fill="F5F7FA" w:val="clear"/>
            <w:tcMar>
              <w:top w:type="dxa" w:w="80"/>
              <w:left w:type="dxa" w:w="110"/>
              <w:bottom w:type="dxa" w:w="80"/>
              <w:right w:type="dxa" w:w="110"/>
            </w:tcMar>
            <w:vAlign w:val="center"/>
          </w:tcPr>
          <w:p>
            <w:pPr>
              <w:spacing w:after="0" w:line="250"/>
            </w:pPr>
            <w:r>
              <w:rPr>
                <w:sz w:val="19"/>
                <w:szCs w:val="19"/>
              </w:rPr>
              <w:t xml:space="preserve">35 %</w:t>
            </w:r>
          </w:p>
        </w:tc>
        <w:tc>
          <w:tcPr>
            <w:tcW w:type="dxa" w:w="2460"/>
            <w:shd w:fill="F5F7FA" w:val="clear"/>
            <w:tcMar>
              <w:top w:type="dxa" w:w="80"/>
              <w:left w:type="dxa" w:w="110"/>
              <w:bottom w:type="dxa" w:w="80"/>
              <w:right w:type="dxa" w:w="110"/>
            </w:tcMar>
            <w:vAlign w:val="center"/>
          </w:tcPr>
          <w:p>
            <w:pPr>
              <w:spacing w:after="0" w:line="250"/>
            </w:pPr>
            <w:r>
              <w:rPr>
                <w:b/>
                <w:bCs/>
                <w:sz w:val="19"/>
                <w:szCs w:val="19"/>
              </w:rPr>
              <w:t xml:space="preserve">$614</w:t>
            </w:r>
          </w:p>
        </w:tc>
      </w:tr>
      <w:tr>
        <w:tc>
          <w:tcPr>
            <w:tcW w:type="dxa" w:w="2350"/>
            <w:shd w:fill="FFFFFF" w:val="clear"/>
            <w:tcMar>
              <w:top w:type="dxa" w:w="80"/>
              <w:left w:type="dxa" w:w="110"/>
              <w:bottom w:type="dxa" w:w="80"/>
              <w:right w:type="dxa" w:w="110"/>
            </w:tcMar>
            <w:vAlign w:val="center"/>
          </w:tcPr>
          <w:p>
            <w:pPr>
              <w:spacing w:after="0" w:line="250"/>
            </w:pPr>
            <w:r>
              <w:rPr>
                <w:sz w:val="19"/>
                <w:szCs w:val="19"/>
              </w:rPr>
              <w:t xml:space="preserve">Asilo afirmativo</w:t>
            </w:r>
          </w:p>
        </w:tc>
        <w:tc>
          <w:tcPr>
            <w:tcW w:type="dxa" w:w="1100"/>
            <w:shd w:fill="FFFFFF" w:val="clear"/>
            <w:tcMar>
              <w:top w:type="dxa" w:w="80"/>
              <w:left w:type="dxa" w:w="110"/>
              <w:bottom w:type="dxa" w:w="80"/>
              <w:right w:type="dxa" w:w="110"/>
            </w:tcMar>
            <w:vAlign w:val="center"/>
          </w:tcPr>
          <w:p>
            <w:pPr>
              <w:spacing w:after="0" w:line="250"/>
            </w:pPr>
            <w:r>
              <w:rPr>
                <w:sz w:val="19"/>
                <w:szCs w:val="19"/>
              </w:rPr>
              <w:t xml:space="preserve">$6,500</w:t>
            </w:r>
          </w:p>
        </w:tc>
        <w:tc>
          <w:tcPr>
            <w:tcW w:type="dxa" w:w="1100"/>
            <w:shd w:fill="FFFFFF" w:val="clear"/>
            <w:tcMar>
              <w:top w:type="dxa" w:w="80"/>
              <w:left w:type="dxa" w:w="110"/>
              <w:bottom w:type="dxa" w:w="80"/>
              <w:right w:type="dxa" w:w="110"/>
            </w:tcMar>
            <w:vAlign w:val="center"/>
          </w:tcPr>
          <w:p>
            <w:pPr>
              <w:spacing w:after="0" w:line="250"/>
            </w:pPr>
            <w:r>
              <w:rPr>
                <w:sz w:val="19"/>
                <w:szCs w:val="19"/>
              </w:rPr>
              <w:t xml:space="preserve">8.0</w:t>
            </w:r>
          </w:p>
        </w:tc>
        <w:tc>
          <w:tcPr>
            <w:tcW w:type="dxa" w:w="1300"/>
            <w:shd w:fill="FFFFFF" w:val="clear"/>
            <w:tcMar>
              <w:top w:type="dxa" w:w="80"/>
              <w:left w:type="dxa" w:w="110"/>
              <w:bottom w:type="dxa" w:w="80"/>
              <w:right w:type="dxa" w:w="110"/>
            </w:tcMar>
            <w:vAlign w:val="center"/>
          </w:tcPr>
          <w:p>
            <w:pPr>
              <w:spacing w:after="0" w:line="250"/>
            </w:pPr>
            <w:r>
              <w:rPr>
                <w:sz w:val="19"/>
                <w:szCs w:val="19"/>
              </w:rPr>
              <w:t xml:space="preserve">$3,860</w:t>
            </w:r>
          </w:p>
        </w:tc>
        <w:tc>
          <w:tcPr>
            <w:tcW w:type="dxa" w:w="1050"/>
            <w:shd w:fill="FFFFFF" w:val="clear"/>
            <w:tcMar>
              <w:top w:type="dxa" w:w="80"/>
              <w:left w:type="dxa" w:w="110"/>
              <w:bottom w:type="dxa" w:w="80"/>
              <w:right w:type="dxa" w:w="110"/>
            </w:tcMar>
            <w:vAlign w:val="center"/>
          </w:tcPr>
          <w:p>
            <w:pPr>
              <w:spacing w:after="0" w:line="250"/>
            </w:pPr>
            <w:r>
              <w:rPr>
                <w:sz w:val="19"/>
                <w:szCs w:val="19"/>
              </w:rPr>
              <w:t xml:space="preserve">59 %</w:t>
            </w:r>
          </w:p>
        </w:tc>
        <w:tc>
          <w:tcPr>
            <w:tcW w:type="dxa" w:w="2460"/>
            <w:shd w:fill="FFFFFF" w:val="clear"/>
            <w:tcMar>
              <w:top w:type="dxa" w:w="80"/>
              <w:left w:type="dxa" w:w="110"/>
              <w:bottom w:type="dxa" w:w="80"/>
              <w:right w:type="dxa" w:w="110"/>
            </w:tcMar>
            <w:vAlign w:val="center"/>
          </w:tcPr>
          <w:p>
            <w:pPr>
              <w:spacing w:after="0" w:line="250"/>
            </w:pPr>
            <w:r>
              <w:rPr>
                <w:b/>
                <w:bCs/>
                <w:sz w:val="19"/>
                <w:szCs w:val="19"/>
              </w:rPr>
              <w:t xml:space="preserve">$482</w:t>
            </w:r>
          </w:p>
        </w:tc>
      </w:tr>
      <w:tr>
        <w:tc>
          <w:tcPr>
            <w:tcW w:type="dxa" w:w="2350"/>
            <w:shd w:fill="F5F7FA" w:val="clear"/>
            <w:tcMar>
              <w:top w:type="dxa" w:w="80"/>
              <w:left w:type="dxa" w:w="110"/>
              <w:bottom w:type="dxa" w:w="80"/>
              <w:right w:type="dxa" w:w="110"/>
            </w:tcMar>
            <w:vAlign w:val="center"/>
          </w:tcPr>
          <w:p>
            <w:pPr>
              <w:spacing w:after="0" w:line="250"/>
            </w:pPr>
            <w:r>
              <w:rPr>
                <w:sz w:val="19"/>
                <w:szCs w:val="19"/>
              </w:rPr>
              <w:t xml:space="preserve">Naturalización</w:t>
            </w:r>
          </w:p>
        </w:tc>
        <w:tc>
          <w:tcPr>
            <w:tcW w:type="dxa" w:w="1100"/>
            <w:shd w:fill="F5F7FA" w:val="clear"/>
            <w:tcMar>
              <w:top w:type="dxa" w:w="80"/>
              <w:left w:type="dxa" w:w="110"/>
              <w:bottom w:type="dxa" w:w="80"/>
              <w:right w:type="dxa" w:w="110"/>
            </w:tcMar>
            <w:vAlign w:val="center"/>
          </w:tcPr>
          <w:p>
            <w:pPr>
              <w:spacing w:after="0" w:line="250"/>
            </w:pPr>
            <w:r>
              <w:rPr>
                <w:sz w:val="19"/>
                <w:szCs w:val="19"/>
              </w:rPr>
              <w:t xml:space="preserve">$1,800</w:t>
            </w:r>
          </w:p>
        </w:tc>
        <w:tc>
          <w:tcPr>
            <w:tcW w:type="dxa" w:w="1100"/>
            <w:shd w:fill="F5F7FA" w:val="clear"/>
            <w:tcMar>
              <w:top w:type="dxa" w:w="80"/>
              <w:left w:type="dxa" w:w="110"/>
              <w:bottom w:type="dxa" w:w="80"/>
              <w:right w:type="dxa" w:w="110"/>
            </w:tcMar>
            <w:vAlign w:val="center"/>
          </w:tcPr>
          <w:p>
            <w:pPr>
              <w:spacing w:after="0" w:line="250"/>
            </w:pPr>
            <w:r>
              <w:rPr>
                <w:sz w:val="19"/>
                <w:szCs w:val="19"/>
              </w:rPr>
              <w:t xml:space="preserve">1.0</w:t>
            </w:r>
          </w:p>
        </w:tc>
        <w:tc>
          <w:tcPr>
            <w:tcW w:type="dxa" w:w="1300"/>
            <w:shd w:fill="F5F7FA" w:val="clear"/>
            <w:tcMar>
              <w:top w:type="dxa" w:w="80"/>
              <w:left w:type="dxa" w:w="110"/>
              <w:bottom w:type="dxa" w:w="80"/>
              <w:right w:type="dxa" w:w="110"/>
            </w:tcMar>
            <w:vAlign w:val="center"/>
          </w:tcPr>
          <w:p>
            <w:pPr>
              <w:spacing w:after="0" w:line="250"/>
            </w:pPr>
            <w:r>
              <w:rPr>
                <w:sz w:val="19"/>
                <w:szCs w:val="19"/>
              </w:rPr>
              <w:t xml:space="preserve">$343</w:t>
            </w:r>
          </w:p>
        </w:tc>
        <w:tc>
          <w:tcPr>
            <w:tcW w:type="dxa" w:w="1050"/>
            <w:shd w:fill="F5F7FA" w:val="clear"/>
            <w:tcMar>
              <w:top w:type="dxa" w:w="80"/>
              <w:left w:type="dxa" w:w="110"/>
              <w:bottom w:type="dxa" w:w="80"/>
              <w:right w:type="dxa" w:w="110"/>
            </w:tcMar>
            <w:vAlign w:val="center"/>
          </w:tcPr>
          <w:p>
            <w:pPr>
              <w:spacing w:after="0" w:line="250"/>
            </w:pPr>
            <w:r>
              <w:rPr>
                <w:sz w:val="19"/>
                <w:szCs w:val="19"/>
              </w:rPr>
              <w:t xml:space="preserve">19 %</w:t>
            </w:r>
          </w:p>
        </w:tc>
        <w:tc>
          <w:tcPr>
            <w:tcW w:type="dxa" w:w="2460"/>
            <w:shd w:fill="F5F7FA" w:val="clear"/>
            <w:tcMar>
              <w:top w:type="dxa" w:w="80"/>
              <w:left w:type="dxa" w:w="110"/>
              <w:bottom w:type="dxa" w:w="80"/>
              <w:right w:type="dxa" w:w="110"/>
            </w:tcMar>
            <w:vAlign w:val="center"/>
          </w:tcPr>
          <w:p>
            <w:pPr>
              <w:spacing w:after="0" w:line="250"/>
            </w:pPr>
            <w:r>
              <w:rPr>
                <w:b/>
                <w:bCs/>
                <w:sz w:val="19"/>
                <w:szCs w:val="19"/>
              </w:rPr>
              <w:t xml:space="preserve">$343</w:t>
            </w:r>
          </w:p>
        </w:tc>
      </w:tr>
      <w:tr>
        <w:tc>
          <w:tcPr>
            <w:tcW w:type="dxa" w:w="2350"/>
            <w:shd w:fill="FFFFFF" w:val="clear"/>
            <w:tcMar>
              <w:top w:type="dxa" w:w="80"/>
              <w:left w:type="dxa" w:w="110"/>
              <w:bottom w:type="dxa" w:w="80"/>
              <w:right w:type="dxa" w:w="110"/>
            </w:tcMar>
            <w:vAlign w:val="center"/>
          </w:tcPr>
          <w:p>
            <w:pPr>
              <w:spacing w:after="0" w:line="250"/>
            </w:pPr>
            <w:r>
              <w:rPr>
                <w:sz w:val="19"/>
                <w:szCs w:val="19"/>
              </w:rPr>
              <w:t xml:space="preserve">Defensa en corte (removal)</w:t>
            </w:r>
          </w:p>
        </w:tc>
        <w:tc>
          <w:tcPr>
            <w:tcW w:type="dxa" w:w="1100"/>
            <w:shd w:fill="FFFFFF" w:val="clear"/>
            <w:tcMar>
              <w:top w:type="dxa" w:w="80"/>
              <w:left w:type="dxa" w:w="110"/>
              <w:bottom w:type="dxa" w:w="80"/>
              <w:right w:type="dxa" w:w="110"/>
            </w:tcMar>
            <w:vAlign w:val="center"/>
          </w:tcPr>
          <w:p>
            <w:pPr>
              <w:spacing w:after="0" w:line="250"/>
            </w:pPr>
            <w:r>
              <w:rPr>
                <w:sz w:val="19"/>
                <w:szCs w:val="19"/>
              </w:rPr>
              <w:t xml:space="preserve">$9,000</w:t>
            </w:r>
          </w:p>
        </w:tc>
        <w:tc>
          <w:tcPr>
            <w:tcW w:type="dxa" w:w="1100"/>
            <w:shd w:fill="FFFFFF" w:val="clear"/>
            <w:tcMar>
              <w:top w:type="dxa" w:w="80"/>
              <w:left w:type="dxa" w:w="110"/>
              <w:bottom w:type="dxa" w:w="80"/>
              <w:right w:type="dxa" w:w="110"/>
            </w:tcMar>
            <w:vAlign w:val="center"/>
          </w:tcPr>
          <w:p>
            <w:pPr>
              <w:spacing w:after="0" w:line="250"/>
            </w:pPr>
            <w:r>
              <w:rPr>
                <w:sz w:val="19"/>
                <w:szCs w:val="19"/>
              </w:rPr>
              <w:t xml:space="preserve">20.0</w:t>
            </w:r>
          </w:p>
        </w:tc>
        <w:tc>
          <w:tcPr>
            <w:tcW w:type="dxa" w:w="1300"/>
            <w:shd w:fill="FFFFFF" w:val="clear"/>
            <w:tcMar>
              <w:top w:type="dxa" w:w="80"/>
              <w:left w:type="dxa" w:w="110"/>
              <w:bottom w:type="dxa" w:w="80"/>
              <w:right w:type="dxa" w:w="110"/>
            </w:tcMar>
            <w:vAlign w:val="center"/>
          </w:tcPr>
          <w:p>
            <w:pPr>
              <w:spacing w:after="0" w:line="250"/>
            </w:pPr>
            <w:r>
              <w:rPr>
                <w:sz w:val="19"/>
                <w:szCs w:val="19"/>
              </w:rPr>
              <w:t xml:space="preserve">$4,952</w:t>
            </w:r>
          </w:p>
        </w:tc>
        <w:tc>
          <w:tcPr>
            <w:tcW w:type="dxa" w:w="1050"/>
            <w:shd w:fill="FFFFFF" w:val="clear"/>
            <w:tcMar>
              <w:top w:type="dxa" w:w="80"/>
              <w:left w:type="dxa" w:w="110"/>
              <w:bottom w:type="dxa" w:w="80"/>
              <w:right w:type="dxa" w:w="110"/>
            </w:tcMar>
            <w:vAlign w:val="center"/>
          </w:tcPr>
          <w:p>
            <w:pPr>
              <w:spacing w:after="0" w:line="250"/>
            </w:pPr>
            <w:r>
              <w:rPr>
                <w:sz w:val="19"/>
                <w:szCs w:val="19"/>
              </w:rPr>
              <w:t xml:space="preserve">55 %</w:t>
            </w:r>
          </w:p>
        </w:tc>
        <w:tc>
          <w:tcPr>
            <w:tcW w:type="dxa" w:w="2460"/>
            <w:shd w:fill="FFFFFF" w:val="clear"/>
            <w:tcMar>
              <w:top w:type="dxa" w:w="80"/>
              <w:left w:type="dxa" w:w="110"/>
              <w:bottom w:type="dxa" w:w="80"/>
              <w:right w:type="dxa" w:w="110"/>
            </w:tcMar>
            <w:vAlign w:val="center"/>
          </w:tcPr>
          <w:p>
            <w:pPr>
              <w:spacing w:after="0" w:line="250"/>
            </w:pPr>
            <w:r>
              <w:rPr>
                <w:b/>
                <w:bCs/>
                <w:sz w:val="19"/>
                <w:szCs w:val="19"/>
              </w:rPr>
              <w:t xml:space="preserve">$248</w:t>
            </w:r>
          </w:p>
        </w:tc>
      </w:tr>
    </w:tbl>
    <w:p>
      <w:pPr>
        <w:spacing w:after="160"/>
      </w:pPr>
    </w:p>
    <w:tbl>
      <w:tblPr>
        <w:tblW w:type="dxa" w:w="9360"/>
        <w:tblBorders>
          <w:top w:val="single" w:color="8C6B2F" w:sz="4"/>
          <w:left w:val="single" w:color="8C6B2F" w:sz="24"/>
          <w:bottom w:val="single" w:color="8C6B2F" w:sz="4"/>
          <w:right w:val="single" w:color="8C6B2F" w:sz="4"/>
          <w:insideH w:val="none" w:color="FFFFFF" w:sz="0"/>
          <w:insideV w:val="none" w:color="FFFFFF" w:sz="0"/>
        </w:tblBorders>
      </w:tblPr>
      <w:tblGrid>
        <w:gridCol w:w="9360"/>
      </w:tblGrid>
      <w:tr>
        <w:tc>
          <w:tcPr>
            <w:tcW w:type="dxa" w:w="9360"/>
            <w:shd w:fill="FBF6EC" w:val="clear"/>
            <w:tcMar>
              <w:top w:type="dxa" w:w="160"/>
              <w:left w:type="dxa" w:w="200"/>
              <w:bottom w:type="dxa" w:w="160"/>
              <w:right w:type="dxa" w:w="180"/>
            </w:tcMar>
          </w:tcPr>
          <w:p>
            <w:pPr>
              <w:spacing w:after="100"/>
            </w:pPr>
            <w:r>
              <w:rPr>
                <w:b/>
                <w:bCs/>
                <w:caps/>
                <w:color w:val="8C6B2F"/>
                <w:sz w:val="21"/>
                <w:szCs w:val="21"/>
              </w:rPr>
              <w:t xml:space="preserve">El hallazgo</w:t>
            </w:r>
          </w:p>
          <w:p>
            <w:pPr>
              <w:spacing w:after="90" w:line="264"/>
            </w:pPr>
            <w:r>
              <w:rPr>
                <w:b/>
                <w:bCs/>
                <w:sz w:val="21"/>
                <w:szCs w:val="21"/>
              </w:rPr>
              <w:t xml:space="preserve">La defensa en corte tiene el mayor margen por caso de toda la cartera —$4,952, un 55 %— y el PEOR margen por hora de abogado: $248.</w:t>
            </w:r>
            <w:r>
              <w:rPr>
                <w:sz w:val="21"/>
                <w:szCs w:val="21"/>
              </w:rPr>
              <w:t xml:space="preserve"> Por debajo de la naturalización, que es el producto que instintivamente se considera el de menor valor.</w:t>
            </w:r>
          </w:p>
          <w:p>
            <w:pPr>
              <w:spacing w:after="90" w:line="264"/>
            </w:pPr>
            <w:r>
              <w:rPr>
                <w:sz w:val="21"/>
                <w:szCs w:val="21"/>
              </w:rPr>
              <w:t xml:space="preserve">Con el mix ilustrativo, la defensa en corte consume </w:t>
            </w:r>
            <w:r>
              <w:rPr>
                <w:b/>
                <w:bCs/>
                <w:sz w:val="21"/>
                <w:szCs w:val="21"/>
              </w:rPr>
              <w:t xml:space="preserve">720 horas de abogado al año — el 41 % de todas las horas de abogado de la firma— para producir el 20 % del margen.</w:t>
            </w:r>
          </w:p>
          <w:p>
            <w:pPr>
              <w:spacing w:after="90" w:line="264"/>
            </w:pPr>
            <w:r>
              <w:rPr>
                <w:sz w:val="21"/>
                <w:szCs w:val="21"/>
              </w:rPr>
              <w:t xml:space="preserve">El ajuste de estatus, en el otro extremo, produce </w:t>
            </w:r>
            <w:r>
              <w:rPr>
                <w:b/>
                <w:bCs/>
                <w:sz w:val="21"/>
                <w:szCs w:val="21"/>
              </w:rPr>
              <w:t xml:space="preserve">$1,184 por hora de abogado: casi cinco veces más que la defensa en corte.</w:t>
            </w:r>
          </w:p>
          <w:p>
            <w:pPr>
              <w:spacing w:after="90" w:line="264"/>
            </w:pPr>
            <w:r>
              <w:rPr>
                <w:b/>
                <w:bCs/>
                <w:sz w:val="21"/>
                <w:szCs w:val="21"/>
              </w:rPr>
              <w:t xml:space="preserve">Consecuencia directa:</w:t>
            </w:r>
            <w:r>
              <w:rPr>
                <w:sz w:val="21"/>
                <w:szCs w:val="21"/>
              </w:rPr>
              <w:t xml:space="preserve"> el producto que parece «el importante» es el que peor usa el recurso más escaso de la firma. Y esa es exactamente la trampa del Camino B mal construido.</w:t>
            </w:r>
          </w:p>
        </w:tc>
      </w:tr>
    </w:tbl>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3. Los dos caminos, evaluados con esa métrica</w:t>
      </w:r>
    </w:p>
    <w:p>
      <w:pPr>
        <w:pStyle w:val="Heading2"/>
        <w:spacing w:after="140" w:before="320"/>
      </w:pPr>
      <w:r>
        <w:rPr>
          <w:rFonts w:ascii="Calibri" w:cs="Calibri" w:eastAsia="Calibri" w:hAnsi="Calibri"/>
          <w:b/>
          <w:bCs/>
          <w:color w:val="1F3864"/>
          <w:sz w:val="25"/>
          <w:szCs w:val="25"/>
        </w:rPr>
        <w:t xml:space="preserve">3.1 Camino A — Escala de volumen</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2600"/>
        <w:gridCol w:w="6760"/>
      </w:tblGrid>
      <w:tr>
        <w:trPr>
          <w:tblHeader/>
        </w:trPr>
        <w:tc>
          <w:tcPr>
            <w:tcW w:type="dxa" w:w="2600"/>
            <w:shd w:fill="1F3864" w:val="clear"/>
            <w:tcMar>
              <w:top w:type="dxa" w:w="90"/>
              <w:left w:type="dxa" w:w="110"/>
              <w:bottom w:type="dxa" w:w="90"/>
              <w:right w:type="dxa" w:w="110"/>
            </w:tcMar>
          </w:tcPr>
          <w:p>
            <w:pPr>
              <w:spacing w:after="0" w:line="250"/>
            </w:pPr>
            <w:r>
              <w:rPr>
                <w:b/>
                <w:bCs/>
                <w:color w:val="FFFFFF"/>
                <w:sz w:val="19"/>
                <w:szCs w:val="19"/>
              </w:rPr>
              <w:t xml:space="preserve">Dimensión</w:t>
            </w:r>
          </w:p>
        </w:tc>
        <w:tc>
          <w:tcPr>
            <w:tcW w:type="dxa" w:w="6760"/>
            <w:shd w:fill="1F3864" w:val="clear"/>
            <w:tcMar>
              <w:top w:type="dxa" w:w="90"/>
              <w:left w:type="dxa" w:w="110"/>
              <w:bottom w:type="dxa" w:w="90"/>
              <w:right w:type="dxa" w:w="110"/>
            </w:tcMar>
          </w:tcPr>
          <w:p>
            <w:pPr>
              <w:spacing w:after="0" w:line="250"/>
            </w:pPr>
            <w:r>
              <w:rPr>
                <w:b/>
                <w:bCs/>
                <w:color w:val="FFFFFF"/>
                <w:sz w:val="19"/>
                <w:szCs w:val="19"/>
              </w:rPr>
              <w:t xml:space="preserve">Lectura</w:t>
            </w:r>
          </w:p>
        </w:tc>
      </w:tr>
      <w:tr>
        <w:tc>
          <w:tcPr>
            <w:tcW w:type="dxa" w:w="2600"/>
            <w:shd w:fill="FFFFFF" w:val="clear"/>
            <w:tcMar>
              <w:top w:type="dxa" w:w="80"/>
              <w:left w:type="dxa" w:w="110"/>
              <w:bottom w:type="dxa" w:w="80"/>
              <w:right w:type="dxa" w:w="110"/>
            </w:tcMar>
            <w:vAlign w:val="center"/>
          </w:tcPr>
          <w:p>
            <w:pPr>
              <w:spacing w:after="0" w:line="250"/>
            </w:pPr>
            <w:r>
              <w:rPr>
                <w:b/>
                <w:bCs/>
                <w:sz w:val="19"/>
                <w:szCs w:val="19"/>
              </w:rPr>
              <w:t xml:space="preserve">Qué es</w:t>
            </w:r>
          </w:p>
        </w:tc>
        <w:tc>
          <w:tcPr>
            <w:tcW w:type="dxa" w:w="6760"/>
            <w:shd w:fill="FFFFFF" w:val="clear"/>
            <w:tcMar>
              <w:top w:type="dxa" w:w="80"/>
              <w:left w:type="dxa" w:w="110"/>
              <w:bottom w:type="dxa" w:w="80"/>
              <w:right w:type="dxa" w:w="110"/>
            </w:tcMar>
            <w:vAlign w:val="center"/>
          </w:tcPr>
          <w:p>
            <w:pPr>
              <w:spacing w:after="0" w:line="250"/>
            </w:pPr>
            <w:r>
              <w:rPr>
                <w:sz w:val="19"/>
                <w:szCs w:val="19"/>
              </w:rPr>
              <w:t xml:space="preserve">Más casos repetibles: naturalización, peticiones familiares, ajuste. Crecer en intake, paralegales y automatización</w:t>
            </w:r>
          </w:p>
        </w:tc>
      </w:tr>
      <w:tr>
        <w:tc>
          <w:tcPr>
            <w:tcW w:type="dxa" w:w="2600"/>
            <w:shd w:fill="F5F7FA" w:val="clear"/>
            <w:tcMar>
              <w:top w:type="dxa" w:w="80"/>
              <w:left w:type="dxa" w:w="110"/>
              <w:bottom w:type="dxa" w:w="80"/>
              <w:right w:type="dxa" w:w="110"/>
            </w:tcMar>
            <w:vAlign w:val="center"/>
          </w:tcPr>
          <w:p>
            <w:pPr>
              <w:spacing w:after="0" w:line="250"/>
            </w:pPr>
            <w:r>
              <w:rPr>
                <w:b/>
                <w:bCs/>
                <w:sz w:val="19"/>
                <w:szCs w:val="19"/>
              </w:rPr>
              <w:t xml:space="preserve">Recurso que consume</w:t>
            </w:r>
          </w:p>
        </w:tc>
        <w:tc>
          <w:tcPr>
            <w:tcW w:type="dxa" w:w="6760"/>
            <w:shd w:fill="F5F7FA" w:val="clear"/>
            <w:tcMar>
              <w:top w:type="dxa" w:w="80"/>
              <w:left w:type="dxa" w:w="110"/>
              <w:bottom w:type="dxa" w:w="80"/>
              <w:right w:type="dxa" w:w="110"/>
            </w:tcMar>
            <w:vAlign w:val="center"/>
          </w:tcPr>
          <w:p>
            <w:pPr>
              <w:spacing w:after="0" w:line="250"/>
            </w:pPr>
            <w:r>
              <w:rPr>
                <w:sz w:val="19"/>
                <w:szCs w:val="19"/>
              </w:rPr>
              <w:t xml:space="preserve">Capacidad de captación y de entrega. Poca hora de abogado por caso</w:t>
            </w:r>
          </w:p>
        </w:tc>
      </w:tr>
      <w:tr>
        <w:tc>
          <w:tcPr>
            <w:tcW w:type="dxa" w:w="2600"/>
            <w:shd w:fill="FFFFFF" w:val="clear"/>
            <w:tcMar>
              <w:top w:type="dxa" w:w="80"/>
              <w:left w:type="dxa" w:w="110"/>
              <w:bottom w:type="dxa" w:w="80"/>
              <w:right w:type="dxa" w:w="110"/>
            </w:tcMar>
            <w:vAlign w:val="center"/>
          </w:tcPr>
          <w:p>
            <w:pPr>
              <w:spacing w:after="0" w:line="250"/>
            </w:pPr>
            <w:r>
              <w:rPr>
                <w:b/>
                <w:bCs/>
                <w:sz w:val="19"/>
                <w:szCs w:val="19"/>
              </w:rPr>
              <w:t xml:space="preserve">Techo</w:t>
            </w:r>
          </w:p>
        </w:tc>
        <w:tc>
          <w:tcPr>
            <w:tcW w:type="dxa" w:w="6760"/>
            <w:shd w:fill="FFFFFF" w:val="clear"/>
            <w:tcMar>
              <w:top w:type="dxa" w:w="80"/>
              <w:left w:type="dxa" w:w="110"/>
              <w:bottom w:type="dxa" w:w="80"/>
              <w:right w:type="dxa" w:w="110"/>
            </w:tcMar>
            <w:vAlign w:val="center"/>
          </w:tcPr>
          <w:p>
            <w:pPr>
              <w:spacing w:after="0" w:line="250"/>
            </w:pPr>
            <w:r>
              <w:rPr>
                <w:sz w:val="19"/>
                <w:szCs w:val="19"/>
              </w:rPr>
              <w:t xml:space="preserve">Alto. El mercado federal no es local (la práctica ante agencias es nacional)</w:t>
            </w:r>
          </w:p>
        </w:tc>
      </w:tr>
      <w:tr>
        <w:tc>
          <w:tcPr>
            <w:tcW w:type="dxa" w:w="2600"/>
            <w:shd w:fill="F5F7FA" w:val="clear"/>
            <w:tcMar>
              <w:top w:type="dxa" w:w="80"/>
              <w:left w:type="dxa" w:w="110"/>
              <w:bottom w:type="dxa" w:w="80"/>
              <w:right w:type="dxa" w:w="110"/>
            </w:tcMar>
            <w:vAlign w:val="center"/>
          </w:tcPr>
          <w:p>
            <w:pPr>
              <w:spacing w:after="0" w:line="250"/>
            </w:pPr>
            <w:r>
              <w:rPr>
                <w:b/>
                <w:bCs/>
                <w:sz w:val="19"/>
                <w:szCs w:val="19"/>
              </w:rPr>
              <w:t xml:space="preserve">Margen por caso</w:t>
            </w:r>
          </w:p>
        </w:tc>
        <w:tc>
          <w:tcPr>
            <w:tcW w:type="dxa" w:w="6760"/>
            <w:shd w:fill="F5F7FA" w:val="clear"/>
            <w:tcMar>
              <w:top w:type="dxa" w:w="80"/>
              <w:left w:type="dxa" w:w="110"/>
              <w:bottom w:type="dxa" w:w="80"/>
              <w:right w:type="dxa" w:w="110"/>
            </w:tcMar>
            <w:vAlign w:val="center"/>
          </w:tcPr>
          <w:p>
            <w:pPr>
              <w:spacing w:after="0" w:line="250"/>
            </w:pPr>
            <w:r>
              <w:rPr>
                <w:sz w:val="19"/>
                <w:szCs w:val="19"/>
              </w:rPr>
              <w:t xml:space="preserve">Menor</w:t>
            </w:r>
          </w:p>
        </w:tc>
      </w:tr>
      <w:tr>
        <w:tc>
          <w:tcPr>
            <w:tcW w:type="dxa" w:w="2600"/>
            <w:shd w:fill="FFFFFF" w:val="clear"/>
            <w:tcMar>
              <w:top w:type="dxa" w:w="80"/>
              <w:left w:type="dxa" w:w="110"/>
              <w:bottom w:type="dxa" w:w="80"/>
              <w:right w:type="dxa" w:w="110"/>
            </w:tcMar>
            <w:vAlign w:val="center"/>
          </w:tcPr>
          <w:p>
            <w:pPr>
              <w:spacing w:after="0" w:line="250"/>
            </w:pPr>
            <w:r>
              <w:rPr>
                <w:b/>
                <w:bCs/>
                <w:sz w:val="19"/>
                <w:szCs w:val="19"/>
              </w:rPr>
              <w:t xml:space="preserve">Margen por hora de abogado</w:t>
            </w:r>
          </w:p>
        </w:tc>
        <w:tc>
          <w:tcPr>
            <w:tcW w:type="dxa" w:w="6760"/>
            <w:shd w:fill="FFFFFF" w:val="clear"/>
            <w:tcMar>
              <w:top w:type="dxa" w:w="80"/>
              <w:left w:type="dxa" w:w="110"/>
              <w:bottom w:type="dxa" w:w="80"/>
              <w:right w:type="dxa" w:w="110"/>
            </w:tcMar>
            <w:vAlign w:val="center"/>
          </w:tcPr>
          <w:p>
            <w:pPr>
              <w:spacing w:after="0" w:line="250"/>
            </w:pPr>
            <w:r>
              <w:rPr>
                <w:b/>
                <w:bCs/>
                <w:sz w:val="19"/>
                <w:szCs w:val="19"/>
              </w:rPr>
              <w:t xml:space="preserve">Alto</w:t>
            </w:r>
            <w:r>
              <w:rPr>
                <w:sz w:val="19"/>
                <w:szCs w:val="19"/>
              </w:rPr>
              <w:t xml:space="preserve"> — el ajuste de estatus encabeza toda la cartera</w:t>
            </w:r>
          </w:p>
        </w:tc>
      </w:tr>
      <w:tr>
        <w:tc>
          <w:tcPr>
            <w:tcW w:type="dxa" w:w="2600"/>
            <w:shd w:fill="F5F7FA" w:val="clear"/>
            <w:tcMar>
              <w:top w:type="dxa" w:w="80"/>
              <w:left w:type="dxa" w:w="110"/>
              <w:bottom w:type="dxa" w:w="80"/>
              <w:right w:type="dxa" w:w="110"/>
            </w:tcMar>
            <w:vAlign w:val="center"/>
          </w:tcPr>
          <w:p>
            <w:pPr>
              <w:spacing w:after="0" w:line="250"/>
            </w:pPr>
            <w:r>
              <w:rPr>
                <w:b/>
                <w:bCs/>
                <w:sz w:val="19"/>
                <w:szCs w:val="19"/>
              </w:rPr>
              <w:t xml:space="preserve">Qué exige</w:t>
            </w:r>
          </w:p>
        </w:tc>
        <w:tc>
          <w:tcPr>
            <w:tcW w:type="dxa" w:w="6760"/>
            <w:shd w:fill="F5F7FA" w:val="clear"/>
            <w:tcMar>
              <w:top w:type="dxa" w:w="80"/>
              <w:left w:type="dxa" w:w="110"/>
              <w:bottom w:type="dxa" w:w="80"/>
              <w:right w:type="dxa" w:w="110"/>
            </w:tcMar>
            <w:vAlign w:val="center"/>
          </w:tcPr>
          <w:p>
            <w:pPr>
              <w:spacing w:after="0" w:line="250"/>
            </w:pPr>
            <w:r>
              <w:rPr>
                <w:sz w:val="19"/>
                <w:szCs w:val="19"/>
              </w:rPr>
              <w:t xml:space="preserve">Disciplina operativa constante, proceso escrito, medición semanal</w:t>
            </w:r>
          </w:p>
        </w:tc>
      </w:tr>
      <w:tr>
        <w:tc>
          <w:tcPr>
            <w:tcW w:type="dxa" w:w="2600"/>
            <w:shd w:fill="FFFFFF" w:val="clear"/>
            <w:tcMar>
              <w:top w:type="dxa" w:w="80"/>
              <w:left w:type="dxa" w:w="110"/>
              <w:bottom w:type="dxa" w:w="80"/>
              <w:right w:type="dxa" w:w="110"/>
            </w:tcMar>
            <w:vAlign w:val="center"/>
          </w:tcPr>
          <w:p>
            <w:pPr>
              <w:spacing w:after="0" w:line="250"/>
            </w:pPr>
            <w:r>
              <w:rPr>
                <w:b/>
                <w:bCs/>
                <w:sz w:val="19"/>
                <w:szCs w:val="19"/>
              </w:rPr>
              <w:t xml:space="preserve">Riesgo</w:t>
            </w:r>
          </w:p>
        </w:tc>
        <w:tc>
          <w:tcPr>
            <w:tcW w:type="dxa" w:w="6760"/>
            <w:shd w:fill="FFFFFF" w:val="clear"/>
            <w:tcMar>
              <w:top w:type="dxa" w:w="80"/>
              <w:left w:type="dxa" w:w="110"/>
              <w:bottom w:type="dxa" w:w="80"/>
              <w:right w:type="dxa" w:w="110"/>
            </w:tcMar>
            <w:vAlign w:val="center"/>
          </w:tcPr>
          <w:p>
            <w:pPr>
              <w:spacing w:after="0" w:line="250"/>
            </w:pPr>
            <w:r>
              <w:rPr>
                <w:sz w:val="19"/>
                <w:szCs w:val="19"/>
              </w:rPr>
              <w:t xml:space="preserve">Se degrada en silencio: la calidad cae antes de que lo diga ningún indicador</w:t>
            </w:r>
          </w:p>
        </w:tc>
      </w:tr>
      <w:tr>
        <w:tc>
          <w:tcPr>
            <w:tcW w:type="dxa" w:w="2600"/>
            <w:shd w:fill="F5F7FA" w:val="clear"/>
            <w:tcMar>
              <w:top w:type="dxa" w:w="80"/>
              <w:left w:type="dxa" w:w="110"/>
              <w:bottom w:type="dxa" w:w="80"/>
              <w:right w:type="dxa" w:w="110"/>
            </w:tcMar>
            <w:vAlign w:val="center"/>
          </w:tcPr>
          <w:p>
            <w:pPr>
              <w:spacing w:after="0" w:line="250"/>
            </w:pPr>
            <w:r>
              <w:rPr>
                <w:b/>
                <w:bCs/>
                <w:sz w:val="19"/>
                <w:szCs w:val="19"/>
              </w:rPr>
              <w:t xml:space="preserve">Velocidad</w:t>
            </w:r>
          </w:p>
        </w:tc>
        <w:tc>
          <w:tcPr>
            <w:tcW w:type="dxa" w:w="6760"/>
            <w:shd w:fill="F5F7FA" w:val="clear"/>
            <w:tcMar>
              <w:top w:type="dxa" w:w="80"/>
              <w:left w:type="dxa" w:w="110"/>
              <w:bottom w:type="dxa" w:w="80"/>
              <w:right w:type="dxa" w:w="110"/>
            </w:tcMar>
            <w:vAlign w:val="center"/>
          </w:tcPr>
          <w:p>
            <w:pPr>
              <w:spacing w:after="0" w:line="250"/>
            </w:pPr>
            <w:r>
              <w:rPr>
                <w:sz w:val="19"/>
                <w:szCs w:val="19"/>
              </w:rPr>
              <w:t xml:space="preserve">Rápido. Las palancas actúan en meses</w:t>
            </w:r>
          </w:p>
        </w:tc>
      </w:tr>
    </w:tbl>
    <w:p>
      <w:pPr>
        <w:spacing w:after="160"/>
      </w:pPr>
    </w:p>
    <w:p>
      <w:pPr>
        <w:pStyle w:val="Heading2"/>
        <w:spacing w:after="140" w:before="320"/>
      </w:pPr>
      <w:r>
        <w:rPr>
          <w:rFonts w:ascii="Calibri" w:cs="Calibri" w:eastAsia="Calibri" w:hAnsi="Calibri"/>
          <w:b/>
          <w:bCs/>
          <w:color w:val="1F3864"/>
          <w:sz w:val="25"/>
          <w:szCs w:val="25"/>
        </w:rPr>
        <w:t xml:space="preserve">3.2 Camino B — Boutique de defensa y habeas</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2600"/>
        <w:gridCol w:w="6760"/>
      </w:tblGrid>
      <w:tr>
        <w:trPr>
          <w:tblHeader/>
        </w:trPr>
        <w:tc>
          <w:tcPr>
            <w:tcW w:type="dxa" w:w="2600"/>
            <w:shd w:fill="1F3864" w:val="clear"/>
            <w:tcMar>
              <w:top w:type="dxa" w:w="90"/>
              <w:left w:type="dxa" w:w="110"/>
              <w:bottom w:type="dxa" w:w="90"/>
              <w:right w:type="dxa" w:w="110"/>
            </w:tcMar>
          </w:tcPr>
          <w:p>
            <w:pPr>
              <w:spacing w:after="0" w:line="250"/>
            </w:pPr>
            <w:r>
              <w:rPr>
                <w:b/>
                <w:bCs/>
                <w:color w:val="FFFFFF"/>
                <w:sz w:val="19"/>
                <w:szCs w:val="19"/>
              </w:rPr>
              <w:t xml:space="preserve">Dimensión</w:t>
            </w:r>
          </w:p>
        </w:tc>
        <w:tc>
          <w:tcPr>
            <w:tcW w:type="dxa" w:w="6760"/>
            <w:shd w:fill="1F3864" w:val="clear"/>
            <w:tcMar>
              <w:top w:type="dxa" w:w="90"/>
              <w:left w:type="dxa" w:w="110"/>
              <w:bottom w:type="dxa" w:w="90"/>
              <w:right w:type="dxa" w:w="110"/>
            </w:tcMar>
          </w:tcPr>
          <w:p>
            <w:pPr>
              <w:spacing w:after="0" w:line="250"/>
            </w:pPr>
            <w:r>
              <w:rPr>
                <w:b/>
                <w:bCs/>
                <w:color w:val="FFFFFF"/>
                <w:sz w:val="19"/>
                <w:szCs w:val="19"/>
              </w:rPr>
              <w:t xml:space="preserve">Lectura</w:t>
            </w:r>
          </w:p>
        </w:tc>
      </w:tr>
      <w:tr>
        <w:tc>
          <w:tcPr>
            <w:tcW w:type="dxa" w:w="2600"/>
            <w:shd w:fill="FFFFFF" w:val="clear"/>
            <w:tcMar>
              <w:top w:type="dxa" w:w="80"/>
              <w:left w:type="dxa" w:w="110"/>
              <w:bottom w:type="dxa" w:w="80"/>
              <w:right w:type="dxa" w:w="110"/>
            </w:tcMar>
            <w:vAlign w:val="center"/>
          </w:tcPr>
          <w:p>
            <w:pPr>
              <w:spacing w:after="0" w:line="250"/>
            </w:pPr>
            <w:r>
              <w:rPr>
                <w:b/>
                <w:bCs/>
                <w:sz w:val="19"/>
                <w:szCs w:val="19"/>
              </w:rPr>
              <w:t xml:space="preserve">Qué es</w:t>
            </w:r>
          </w:p>
        </w:tc>
        <w:tc>
          <w:tcPr>
            <w:tcW w:type="dxa" w:w="6760"/>
            <w:shd w:fill="FFFFFF" w:val="clear"/>
            <w:tcMar>
              <w:top w:type="dxa" w:w="80"/>
              <w:left w:type="dxa" w:w="110"/>
              <w:bottom w:type="dxa" w:w="80"/>
              <w:right w:type="dxa" w:w="110"/>
            </w:tcMar>
            <w:vAlign w:val="center"/>
          </w:tcPr>
          <w:p>
            <w:pPr>
              <w:spacing w:after="0" w:line="250"/>
            </w:pPr>
            <w:r>
              <w:rPr>
                <w:sz w:val="19"/>
                <w:szCs w:val="19"/>
              </w:rPr>
              <w:t xml:space="preserve">Menos casos, mayor complejidad: defensa en corte, detención, habeas federal</w:t>
            </w:r>
          </w:p>
        </w:tc>
      </w:tr>
      <w:tr>
        <w:tc>
          <w:tcPr>
            <w:tcW w:type="dxa" w:w="2600"/>
            <w:shd w:fill="F5F7FA" w:val="clear"/>
            <w:tcMar>
              <w:top w:type="dxa" w:w="80"/>
              <w:left w:type="dxa" w:w="110"/>
              <w:bottom w:type="dxa" w:w="80"/>
              <w:right w:type="dxa" w:w="110"/>
            </w:tcMar>
            <w:vAlign w:val="center"/>
          </w:tcPr>
          <w:p>
            <w:pPr>
              <w:spacing w:after="0" w:line="250"/>
            </w:pPr>
            <w:r>
              <w:rPr>
                <w:b/>
                <w:bCs/>
                <w:sz w:val="19"/>
                <w:szCs w:val="19"/>
              </w:rPr>
              <w:t xml:space="preserve">Recurso que consume</w:t>
            </w:r>
          </w:p>
        </w:tc>
        <w:tc>
          <w:tcPr>
            <w:tcW w:type="dxa" w:w="6760"/>
            <w:shd w:fill="F5F7FA" w:val="clear"/>
            <w:tcMar>
              <w:top w:type="dxa" w:w="80"/>
              <w:left w:type="dxa" w:w="110"/>
              <w:bottom w:type="dxa" w:w="80"/>
              <w:right w:type="dxa" w:w="110"/>
            </w:tcMar>
            <w:vAlign w:val="center"/>
          </w:tcPr>
          <w:p>
            <w:pPr>
              <w:spacing w:after="0" w:line="250"/>
            </w:pPr>
            <w:r>
              <w:rPr>
                <w:b/>
                <w:bCs/>
                <w:sz w:val="19"/>
                <w:szCs w:val="19"/>
              </w:rPr>
              <w:t xml:space="preserve">Hora de abogado sénior — el recurso más escaso</w:t>
            </w:r>
          </w:p>
        </w:tc>
      </w:tr>
      <w:tr>
        <w:tc>
          <w:tcPr>
            <w:tcW w:type="dxa" w:w="2600"/>
            <w:shd w:fill="FFFFFF" w:val="clear"/>
            <w:tcMar>
              <w:top w:type="dxa" w:w="80"/>
              <w:left w:type="dxa" w:w="110"/>
              <w:bottom w:type="dxa" w:w="80"/>
              <w:right w:type="dxa" w:w="110"/>
            </w:tcMar>
            <w:vAlign w:val="center"/>
          </w:tcPr>
          <w:p>
            <w:pPr>
              <w:spacing w:after="0" w:line="250"/>
            </w:pPr>
            <w:r>
              <w:rPr>
                <w:b/>
                <w:bCs/>
                <w:sz w:val="19"/>
                <w:szCs w:val="19"/>
              </w:rPr>
              <w:t xml:space="preserve">Techo</w:t>
            </w:r>
          </w:p>
        </w:tc>
        <w:tc>
          <w:tcPr>
            <w:tcW w:type="dxa" w:w="6760"/>
            <w:shd w:fill="FFFFFF" w:val="clear"/>
            <w:tcMar>
              <w:top w:type="dxa" w:w="80"/>
              <w:left w:type="dxa" w:w="110"/>
              <w:bottom w:type="dxa" w:w="80"/>
              <w:right w:type="dxa" w:w="110"/>
            </w:tcMar>
            <w:vAlign w:val="center"/>
          </w:tcPr>
          <w:p>
            <w:pPr>
              <w:spacing w:after="0" w:line="250"/>
            </w:pPr>
            <w:r>
              <w:rPr>
                <w:sz w:val="19"/>
                <w:szCs w:val="19"/>
              </w:rPr>
              <w:t xml:space="preserve">Bajo en volumen; alto en precio por caso</w:t>
            </w:r>
          </w:p>
        </w:tc>
      </w:tr>
      <w:tr>
        <w:tc>
          <w:tcPr>
            <w:tcW w:type="dxa" w:w="2600"/>
            <w:shd w:fill="F5F7FA" w:val="clear"/>
            <w:tcMar>
              <w:top w:type="dxa" w:w="80"/>
              <w:left w:type="dxa" w:w="110"/>
              <w:bottom w:type="dxa" w:w="80"/>
              <w:right w:type="dxa" w:w="110"/>
            </w:tcMar>
            <w:vAlign w:val="center"/>
          </w:tcPr>
          <w:p>
            <w:pPr>
              <w:spacing w:after="0" w:line="250"/>
            </w:pPr>
            <w:r>
              <w:rPr>
                <w:b/>
                <w:bCs/>
                <w:sz w:val="19"/>
                <w:szCs w:val="19"/>
              </w:rPr>
              <w:t xml:space="preserve">Margen por caso</w:t>
            </w:r>
          </w:p>
        </w:tc>
        <w:tc>
          <w:tcPr>
            <w:tcW w:type="dxa" w:w="6760"/>
            <w:shd w:fill="F5F7FA" w:val="clear"/>
            <w:tcMar>
              <w:top w:type="dxa" w:w="80"/>
              <w:left w:type="dxa" w:w="110"/>
              <w:bottom w:type="dxa" w:w="80"/>
              <w:right w:type="dxa" w:w="110"/>
            </w:tcMar>
            <w:vAlign w:val="center"/>
          </w:tcPr>
          <w:p>
            <w:pPr>
              <w:spacing w:after="0" w:line="250"/>
            </w:pPr>
            <w:r>
              <w:rPr>
                <w:sz w:val="19"/>
                <w:szCs w:val="19"/>
              </w:rPr>
              <w:t xml:space="preserve">El mayor de la cartera</w:t>
            </w:r>
          </w:p>
        </w:tc>
      </w:tr>
      <w:tr>
        <w:tc>
          <w:tcPr>
            <w:tcW w:type="dxa" w:w="2600"/>
            <w:shd w:fill="FFFFFF" w:val="clear"/>
            <w:tcMar>
              <w:top w:type="dxa" w:w="80"/>
              <w:left w:type="dxa" w:w="110"/>
              <w:bottom w:type="dxa" w:w="80"/>
              <w:right w:type="dxa" w:w="110"/>
            </w:tcMar>
            <w:vAlign w:val="center"/>
          </w:tcPr>
          <w:p>
            <w:pPr>
              <w:spacing w:after="0" w:line="250"/>
            </w:pPr>
            <w:r>
              <w:rPr>
                <w:b/>
                <w:bCs/>
                <w:sz w:val="19"/>
                <w:szCs w:val="19"/>
              </w:rPr>
              <w:t xml:space="preserve">Margen por hora de abogado</w:t>
            </w:r>
          </w:p>
        </w:tc>
        <w:tc>
          <w:tcPr>
            <w:tcW w:type="dxa" w:w="6760"/>
            <w:shd w:fill="FFFFFF" w:val="clear"/>
            <w:tcMar>
              <w:top w:type="dxa" w:w="80"/>
              <w:left w:type="dxa" w:w="110"/>
              <w:bottom w:type="dxa" w:w="80"/>
              <w:right w:type="dxa" w:w="110"/>
            </w:tcMar>
            <w:vAlign w:val="center"/>
          </w:tcPr>
          <w:p>
            <w:pPr>
              <w:spacing w:after="0" w:line="250"/>
            </w:pPr>
            <w:r>
              <w:rPr>
                <w:b/>
                <w:bCs/>
                <w:sz w:val="19"/>
                <w:szCs w:val="19"/>
              </w:rPr>
              <w:t xml:space="preserve">Depende radicalmente del producto:</w:t>
            </w:r>
            <w:r>
              <w:rPr>
                <w:sz w:val="19"/>
                <w:szCs w:val="19"/>
              </w:rPr>
              <w:t xml:space="preserve"> habeas $830, defensa en corte $248</w:t>
            </w:r>
          </w:p>
        </w:tc>
      </w:tr>
      <w:tr>
        <w:tc>
          <w:tcPr>
            <w:tcW w:type="dxa" w:w="2600"/>
            <w:shd w:fill="F5F7FA" w:val="clear"/>
            <w:tcMar>
              <w:top w:type="dxa" w:w="80"/>
              <w:left w:type="dxa" w:w="110"/>
              <w:bottom w:type="dxa" w:w="80"/>
              <w:right w:type="dxa" w:w="110"/>
            </w:tcMar>
            <w:vAlign w:val="center"/>
          </w:tcPr>
          <w:p>
            <w:pPr>
              <w:spacing w:after="0" w:line="250"/>
            </w:pPr>
            <w:r>
              <w:rPr>
                <w:b/>
                <w:bCs/>
                <w:sz w:val="19"/>
                <w:szCs w:val="19"/>
              </w:rPr>
              <w:t xml:space="preserve">Qué exige</w:t>
            </w:r>
          </w:p>
        </w:tc>
        <w:tc>
          <w:tcPr>
            <w:tcW w:type="dxa" w:w="6760"/>
            <w:shd w:fill="F5F7FA" w:val="clear"/>
            <w:tcMar>
              <w:top w:type="dxa" w:w="80"/>
              <w:left w:type="dxa" w:w="110"/>
              <w:bottom w:type="dxa" w:w="80"/>
              <w:right w:type="dxa" w:w="110"/>
            </w:tcMar>
            <w:vAlign w:val="center"/>
          </w:tcPr>
          <w:p>
            <w:pPr>
              <w:spacing w:after="0" w:line="250"/>
            </w:pPr>
            <w:r>
              <w:rPr>
                <w:sz w:val="19"/>
                <w:szCs w:val="19"/>
              </w:rPr>
              <w:t xml:space="preserve">Talento sénior escaso, admisiones federales, reputación construida en años</w:t>
            </w:r>
          </w:p>
        </w:tc>
      </w:tr>
      <w:tr>
        <w:tc>
          <w:tcPr>
            <w:tcW w:type="dxa" w:w="2600"/>
            <w:shd w:fill="FFFFFF" w:val="clear"/>
            <w:tcMar>
              <w:top w:type="dxa" w:w="80"/>
              <w:left w:type="dxa" w:w="110"/>
              <w:bottom w:type="dxa" w:w="80"/>
              <w:right w:type="dxa" w:w="110"/>
            </w:tcMar>
            <w:vAlign w:val="center"/>
          </w:tcPr>
          <w:p>
            <w:pPr>
              <w:spacing w:after="0" w:line="250"/>
            </w:pPr>
            <w:r>
              <w:rPr>
                <w:b/>
                <w:bCs/>
                <w:sz w:val="19"/>
                <w:szCs w:val="19"/>
              </w:rPr>
              <w:t xml:space="preserve">Riesgo</w:t>
            </w:r>
          </w:p>
        </w:tc>
        <w:tc>
          <w:tcPr>
            <w:tcW w:type="dxa" w:w="6760"/>
            <w:shd w:fill="FFFFFF" w:val="clear"/>
            <w:tcMar>
              <w:top w:type="dxa" w:w="80"/>
              <w:left w:type="dxa" w:w="110"/>
              <w:bottom w:type="dxa" w:w="80"/>
              <w:right w:type="dxa" w:w="110"/>
            </w:tcMar>
            <w:vAlign w:val="center"/>
          </w:tcPr>
          <w:p>
            <w:pPr>
              <w:spacing w:after="0" w:line="250"/>
            </w:pPr>
            <w:r>
              <w:rPr>
                <w:sz w:val="19"/>
                <w:szCs w:val="19"/>
              </w:rPr>
              <w:t xml:space="preserve">Consume la capacidad sénior y ahoga al resto de la firma</w:t>
            </w:r>
          </w:p>
        </w:tc>
      </w:tr>
      <w:tr>
        <w:tc>
          <w:tcPr>
            <w:tcW w:type="dxa" w:w="2600"/>
            <w:shd w:fill="F5F7FA" w:val="clear"/>
            <w:tcMar>
              <w:top w:type="dxa" w:w="80"/>
              <w:left w:type="dxa" w:w="110"/>
              <w:bottom w:type="dxa" w:w="80"/>
              <w:right w:type="dxa" w:w="110"/>
            </w:tcMar>
            <w:vAlign w:val="center"/>
          </w:tcPr>
          <w:p>
            <w:pPr>
              <w:spacing w:after="0" w:line="250"/>
            </w:pPr>
            <w:r>
              <w:rPr>
                <w:b/>
                <w:bCs/>
                <w:sz w:val="19"/>
                <w:szCs w:val="19"/>
              </w:rPr>
              <w:t xml:space="preserve">Velocidad</w:t>
            </w:r>
          </w:p>
        </w:tc>
        <w:tc>
          <w:tcPr>
            <w:tcW w:type="dxa" w:w="6760"/>
            <w:shd w:fill="F5F7FA" w:val="clear"/>
            <w:tcMar>
              <w:top w:type="dxa" w:w="80"/>
              <w:left w:type="dxa" w:w="110"/>
              <w:bottom w:type="dxa" w:w="80"/>
              <w:right w:type="dxa" w:w="110"/>
            </w:tcMar>
            <w:vAlign w:val="center"/>
          </w:tcPr>
          <w:p>
            <w:pPr>
              <w:spacing w:after="0" w:line="250"/>
            </w:pPr>
            <w:r>
              <w:rPr>
                <w:sz w:val="19"/>
                <w:szCs w:val="19"/>
              </w:rPr>
              <w:t xml:space="preserve">Lento. La reputación no se compra</w:t>
            </w:r>
          </w:p>
        </w:tc>
      </w:tr>
    </w:tbl>
    <w:p>
      <w:pPr>
        <w:spacing w:after="160"/>
      </w:pPr>
    </w:p>
    <w:p>
      <w:pPr>
        <w:spacing w:after="140" w:line="276"/>
      </w:pPr>
      <w:r>
        <w:rPr>
          <w:b/>
          <w:bCs/>
          <w:sz w:val="21"/>
          <w:szCs w:val="21"/>
        </w:rPr>
        <w:t xml:space="preserve">Lo que la tabla revela y la formulación original del dilema escondía:</w:t>
      </w:r>
      <w:r>
        <w:rPr>
          <w:sz w:val="21"/>
          <w:szCs w:val="21"/>
        </w:rPr>
        <w:t xml:space="preserve"> «Camino B» no es una cosa. Contiene dos productos con economías opuestas. El habeas de alcance limitado es de los mejores usos de la hora de abogado de toda la firma; la defensa en corte es el peor.</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4. Recomendación</w:t>
      </w: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Camino A financiando un Camino B selectivo — construido sobre habeas y detención, no sobre defensa en corte</w:t>
            </w:r>
          </w:p>
          <w:p>
            <w:pPr>
              <w:spacing w:after="90" w:line="264"/>
            </w:pPr>
            <w:r>
              <w:rPr>
                <w:b/>
                <w:bCs/>
                <w:sz w:val="21"/>
                <w:szCs w:val="21"/>
              </w:rPr>
              <w:t xml:space="preserve">1. El motor es el Camino A</w:t>
            </w:r>
            <w:r>
              <w:rPr>
                <w:sz w:val="21"/>
                <w:szCs w:val="21"/>
              </w:rPr>
              <w:t xml:space="preserve">, y dentro de él, el ajuste de estatus y las peticiones familiares antes que la naturalización. La naturalización se mantiene porque alimenta el canal de referidos —que es el más barato que existe—, no por su margen.</w:t>
            </w:r>
          </w:p>
          <w:p>
            <w:pPr>
              <w:spacing w:after="90" w:line="264"/>
            </w:pPr>
            <w:r>
              <w:rPr>
                <w:b/>
                <w:bCs/>
                <w:sz w:val="21"/>
                <w:szCs w:val="21"/>
              </w:rPr>
              <w:t xml:space="preserve">2. El Camino B se construye sobre el habeas de alcance limitado y el trabajo de detención</w:t>
            </w:r>
            <w:r>
              <w:rPr>
                <w:sz w:val="21"/>
                <w:szCs w:val="21"/>
              </w:rPr>
              <w:t xml:space="preserve">, no sobre la defensa en corte. Rinde $830 por hora de abogado, es repetible, se automatiza bien, no exige comparecencias y —con la política de divulgación de la nota de cumplimiento— no depende de un vacío normativo.</w:t>
            </w:r>
          </w:p>
          <w:p>
            <w:pPr>
              <w:spacing w:after="90" w:line="264"/>
            </w:pPr>
            <w:r>
              <w:rPr>
                <w:b/>
                <w:bCs/>
                <w:sz w:val="21"/>
                <w:szCs w:val="21"/>
              </w:rPr>
              <w:t xml:space="preserve">3. La defensa en corte se acota deliberadamente.</w:t>
            </w:r>
            <w:r>
              <w:rPr>
                <w:sz w:val="21"/>
                <w:szCs w:val="21"/>
              </w:rPr>
              <w:t xml:space="preserve"> No se abandona: se limita a un número declarado de casos al año, elegidos por su valor estratégico o reputacional, y se cotiza sabiendo que consume el recurso más caro de la firma. Hoy absorbe el 41 % de las horas de abogado por el 20 % del margen; eso es una decisión, y debe tomarse como tal en vez de ocurrir por inercia.</w:t>
            </w:r>
          </w:p>
          <w:p>
            <w:pPr>
              <w:spacing w:after="90" w:line="264"/>
            </w:pPr>
            <w:r>
              <w:rPr>
                <w:b/>
                <w:bCs/>
                <w:sz w:val="21"/>
                <w:szCs w:val="21"/>
              </w:rPr>
              <w:t xml:space="preserve">4. El cumplimiento para empleadores se lanza igualmente</w:t>
            </w:r>
            <w:r>
              <w:rPr>
                <w:sz w:val="21"/>
                <w:szCs w:val="21"/>
              </w:rPr>
              <w:t xml:space="preserve">, porque es la única línea con ingreso recurrente y la única que no depende del ciclo político. A $708 por hora de abogado no es la mejor de la cartera, pero es la única que estabiliza la nómina.</w:t>
            </w:r>
          </w:p>
        </w:tc>
      </w:tr>
    </w:tbl>
    <w:p>
      <w:pPr>
        <w:spacing w:after="160"/>
      </w:pPr>
    </w:p>
    <w:p>
      <w:pPr>
        <w:pStyle w:val="Heading2"/>
        <w:spacing w:after="140" w:before="320"/>
      </w:pPr>
      <w:r>
        <w:rPr>
          <w:rFonts w:ascii="Calibri" w:cs="Calibri" w:eastAsia="Calibri" w:hAnsi="Calibri"/>
          <w:b/>
          <w:bCs/>
          <w:color w:val="1F3864"/>
          <w:sz w:val="25"/>
          <w:szCs w:val="25"/>
        </w:rPr>
        <w:t xml:space="preserve">4.1 La secuencia</w:t>
      </w:r>
    </w:p>
    <w:tbl>
      <w:tblPr>
        <w:tblW w:type="dxa" w:w="9360"/>
        <w:tblBorders>
          <w:top w:val="single" w:color="C7D0DC" w:sz="4"/>
          <w:left w:val="single" w:color="C7D0DC" w:sz="4"/>
          <w:bottom w:val="single" w:color="C7D0DC" w:sz="4"/>
          <w:right w:val="single" w:color="C7D0DC" w:sz="4"/>
          <w:insideH w:val="single" w:color="C7D0DC" w:sz="2"/>
          <w:insideV w:val="single" w:color="C7D0DC" w:sz="2"/>
        </w:tblBorders>
      </w:tblPr>
      <w:tblGrid>
        <w:gridCol w:w="1500"/>
        <w:gridCol w:w="4400"/>
        <w:gridCol w:w="3460"/>
      </w:tblGrid>
      <w:tr>
        <w:trPr>
          <w:tblHeader/>
        </w:trPr>
        <w:tc>
          <w:tcPr>
            <w:tcW w:type="dxa" w:w="1500"/>
            <w:shd w:fill="1F3864" w:val="clear"/>
            <w:tcMar>
              <w:top w:type="dxa" w:w="90"/>
              <w:left w:type="dxa" w:w="110"/>
              <w:bottom w:type="dxa" w:w="90"/>
              <w:right w:type="dxa" w:w="110"/>
            </w:tcMar>
          </w:tcPr>
          <w:p>
            <w:pPr>
              <w:spacing w:after="0" w:line="250"/>
            </w:pPr>
            <w:r>
              <w:rPr>
                <w:b/>
                <w:bCs/>
                <w:color w:val="FFFFFF"/>
                <w:sz w:val="19"/>
                <w:szCs w:val="19"/>
              </w:rPr>
              <w:t xml:space="preserve">Fase</w:t>
            </w:r>
          </w:p>
        </w:tc>
        <w:tc>
          <w:tcPr>
            <w:tcW w:type="dxa" w:w="4400"/>
            <w:shd w:fill="1F3864" w:val="clear"/>
            <w:tcMar>
              <w:top w:type="dxa" w:w="90"/>
              <w:left w:type="dxa" w:w="110"/>
              <w:bottom w:type="dxa" w:w="90"/>
              <w:right w:type="dxa" w:w="110"/>
            </w:tcMar>
          </w:tcPr>
          <w:p>
            <w:pPr>
              <w:spacing w:after="0" w:line="250"/>
            </w:pPr>
            <w:r>
              <w:rPr>
                <w:b/>
                <w:bCs/>
                <w:color w:val="FFFFFF"/>
                <w:sz w:val="19"/>
                <w:szCs w:val="19"/>
              </w:rPr>
              <w:t xml:space="preserve">Qué se hace</w:t>
            </w:r>
          </w:p>
        </w:tc>
        <w:tc>
          <w:tcPr>
            <w:tcW w:type="dxa" w:w="3460"/>
            <w:shd w:fill="1F3864" w:val="clear"/>
            <w:tcMar>
              <w:top w:type="dxa" w:w="90"/>
              <w:left w:type="dxa" w:w="110"/>
              <w:bottom w:type="dxa" w:w="90"/>
              <w:right w:type="dxa" w:w="110"/>
            </w:tcMar>
          </w:tcPr>
          <w:p>
            <w:pPr>
              <w:spacing w:after="0" w:line="250"/>
            </w:pPr>
            <w:r>
              <w:rPr>
                <w:b/>
                <w:bCs/>
                <w:color w:val="FFFFFF"/>
                <w:sz w:val="19"/>
                <w:szCs w:val="19"/>
              </w:rPr>
              <w:t xml:space="preserve">Qué demuestra que funcionó</w:t>
            </w:r>
          </w:p>
        </w:tc>
      </w:tr>
      <w:tr>
        <w:tc>
          <w:tcPr>
            <w:tcW w:type="dxa" w:w="1500"/>
            <w:shd w:fill="FFFFFF" w:val="clear"/>
            <w:tcMar>
              <w:top w:type="dxa" w:w="80"/>
              <w:left w:type="dxa" w:w="110"/>
              <w:bottom w:type="dxa" w:w="80"/>
              <w:right w:type="dxa" w:w="110"/>
            </w:tcMar>
            <w:vAlign w:val="center"/>
          </w:tcPr>
          <w:p>
            <w:pPr>
              <w:spacing w:after="0" w:line="250"/>
            </w:pPr>
            <w:r>
              <w:rPr>
                <w:b/>
                <w:bCs/>
                <w:sz w:val="19"/>
                <w:szCs w:val="19"/>
              </w:rPr>
              <w:t xml:space="preserve">Meses 0–6</w:t>
            </w:r>
          </w:p>
        </w:tc>
        <w:tc>
          <w:tcPr>
            <w:tcW w:type="dxa" w:w="4400"/>
            <w:shd w:fill="FFFFFF" w:val="clear"/>
            <w:tcMar>
              <w:top w:type="dxa" w:w="80"/>
              <w:left w:type="dxa" w:w="110"/>
              <w:bottom w:type="dxa" w:w="80"/>
              <w:right w:type="dxa" w:w="110"/>
            </w:tcMar>
            <w:vAlign w:val="center"/>
          </w:tcPr>
          <w:p>
            <w:pPr>
              <w:spacing w:after="0" w:line="250"/>
            </w:pPr>
            <w:r>
              <w:rPr>
                <w:sz w:val="19"/>
                <w:szCs w:val="19"/>
              </w:rPr>
              <w:t xml:space="preserve">Instrumentación y conversión. Medir horas reales de entrega por tipo de caso. Instalar el intake</w:t>
            </w:r>
          </w:p>
        </w:tc>
        <w:tc>
          <w:tcPr>
            <w:tcW w:type="dxa" w:w="3460"/>
            <w:shd w:fill="FFFFFF" w:val="clear"/>
            <w:tcMar>
              <w:top w:type="dxa" w:w="80"/>
              <w:left w:type="dxa" w:w="110"/>
              <w:bottom w:type="dxa" w:w="80"/>
              <w:right w:type="dxa" w:w="110"/>
            </w:tcMar>
            <w:vAlign w:val="center"/>
          </w:tcPr>
          <w:p>
            <w:pPr>
              <w:spacing w:after="0" w:line="250"/>
            </w:pPr>
            <w:r>
              <w:rPr>
                <w:sz w:val="19"/>
                <w:szCs w:val="19"/>
              </w:rPr>
              <w:t xml:space="preserve">La tasa de conversión sube y las horas reales aparecen en el modelo</w:t>
            </w:r>
          </w:p>
        </w:tc>
      </w:tr>
      <w:tr>
        <w:tc>
          <w:tcPr>
            <w:tcW w:type="dxa" w:w="1500"/>
            <w:shd w:fill="F5F7FA" w:val="clear"/>
            <w:tcMar>
              <w:top w:type="dxa" w:w="80"/>
              <w:left w:type="dxa" w:w="110"/>
              <w:bottom w:type="dxa" w:w="80"/>
              <w:right w:type="dxa" w:w="110"/>
            </w:tcMar>
            <w:vAlign w:val="center"/>
          </w:tcPr>
          <w:p>
            <w:pPr>
              <w:spacing w:after="0" w:line="250"/>
            </w:pPr>
            <w:r>
              <w:rPr>
                <w:b/>
                <w:bCs/>
                <w:sz w:val="19"/>
                <w:szCs w:val="19"/>
              </w:rPr>
              <w:t xml:space="preserve">Meses 6–12</w:t>
            </w:r>
          </w:p>
        </w:tc>
        <w:tc>
          <w:tcPr>
            <w:tcW w:type="dxa" w:w="4400"/>
            <w:shd w:fill="F5F7FA" w:val="clear"/>
            <w:tcMar>
              <w:top w:type="dxa" w:w="80"/>
              <w:left w:type="dxa" w:w="110"/>
              <w:bottom w:type="dxa" w:w="80"/>
              <w:right w:type="dxa" w:w="110"/>
            </w:tcMar>
            <w:vAlign w:val="center"/>
          </w:tcPr>
          <w:p>
            <w:pPr>
              <w:spacing w:after="0" w:line="250"/>
            </w:pPr>
            <w:r>
              <w:rPr>
                <w:sz w:val="19"/>
                <w:szCs w:val="19"/>
              </w:rPr>
              <w:t xml:space="preserve">Productizar los tres tipos de mayor volumen. Acotar por escrito la defensa en corte</w:t>
            </w:r>
          </w:p>
        </w:tc>
        <w:tc>
          <w:tcPr>
            <w:tcW w:type="dxa" w:w="3460"/>
            <w:shd w:fill="F5F7FA" w:val="clear"/>
            <w:tcMar>
              <w:top w:type="dxa" w:w="80"/>
              <w:left w:type="dxa" w:w="110"/>
              <w:bottom w:type="dxa" w:w="80"/>
              <w:right w:type="dxa" w:w="110"/>
            </w:tcMar>
            <w:vAlign w:val="center"/>
          </w:tcPr>
          <w:p>
            <w:pPr>
              <w:spacing w:after="0" w:line="250"/>
            </w:pPr>
            <w:r>
              <w:rPr>
                <w:sz w:val="19"/>
                <w:szCs w:val="19"/>
              </w:rPr>
              <w:t xml:space="preserve">El margen por hora de abogado del conjunto sube</w:t>
            </w:r>
          </w:p>
        </w:tc>
      </w:tr>
      <w:tr>
        <w:tc>
          <w:tcPr>
            <w:tcW w:type="dxa" w:w="1500"/>
            <w:shd w:fill="FFFFFF" w:val="clear"/>
            <w:tcMar>
              <w:top w:type="dxa" w:w="80"/>
              <w:left w:type="dxa" w:w="110"/>
              <w:bottom w:type="dxa" w:w="80"/>
              <w:right w:type="dxa" w:w="110"/>
            </w:tcMar>
            <w:vAlign w:val="center"/>
          </w:tcPr>
          <w:p>
            <w:pPr>
              <w:spacing w:after="0" w:line="250"/>
            </w:pPr>
            <w:r>
              <w:rPr>
                <w:b/>
                <w:bCs/>
                <w:sz w:val="19"/>
                <w:szCs w:val="19"/>
              </w:rPr>
              <w:t xml:space="preserve">Meses 12–18</w:t>
            </w:r>
          </w:p>
        </w:tc>
        <w:tc>
          <w:tcPr>
            <w:tcW w:type="dxa" w:w="4400"/>
            <w:shd w:fill="FFFFFF" w:val="clear"/>
            <w:tcMar>
              <w:top w:type="dxa" w:w="80"/>
              <w:left w:type="dxa" w:w="110"/>
              <w:bottom w:type="dxa" w:w="80"/>
              <w:right w:type="dxa" w:w="110"/>
            </w:tcMar>
            <w:vAlign w:val="center"/>
          </w:tcPr>
          <w:p>
            <w:pPr>
              <w:spacing w:after="0" w:line="250"/>
            </w:pPr>
            <w:r>
              <w:rPr>
                <w:sz w:val="19"/>
                <w:szCs w:val="19"/>
              </w:rPr>
              <w:t xml:space="preserve">Escalar habeas con la política de divulgación resuelta. Lanzar el producto de cumplimiento</w:t>
            </w:r>
          </w:p>
        </w:tc>
        <w:tc>
          <w:tcPr>
            <w:tcW w:type="dxa" w:w="3460"/>
            <w:shd w:fill="FFFFFF" w:val="clear"/>
            <w:tcMar>
              <w:top w:type="dxa" w:w="80"/>
              <w:left w:type="dxa" w:w="110"/>
              <w:bottom w:type="dxa" w:w="80"/>
              <w:right w:type="dxa" w:w="110"/>
            </w:tcMar>
            <w:vAlign w:val="center"/>
          </w:tcPr>
          <w:p>
            <w:pPr>
              <w:spacing w:after="0" w:line="250"/>
            </w:pPr>
            <w:r>
              <w:rPr>
                <w:sz w:val="19"/>
                <w:szCs w:val="19"/>
              </w:rPr>
              <w:t xml:space="preserve">Aparece ingreso recurrente y el habeas crece sin consumir sénior</w:t>
            </w:r>
          </w:p>
        </w:tc>
      </w:tr>
      <w:tr>
        <w:tc>
          <w:tcPr>
            <w:tcW w:type="dxa" w:w="1500"/>
            <w:shd w:fill="F5F7FA" w:val="clear"/>
            <w:tcMar>
              <w:top w:type="dxa" w:w="80"/>
              <w:left w:type="dxa" w:w="110"/>
              <w:bottom w:type="dxa" w:w="80"/>
              <w:right w:type="dxa" w:w="110"/>
            </w:tcMar>
            <w:vAlign w:val="center"/>
          </w:tcPr>
          <w:p>
            <w:pPr>
              <w:spacing w:after="0" w:line="250"/>
            </w:pPr>
            <w:r>
              <w:rPr>
                <w:b/>
                <w:bCs/>
                <w:sz w:val="19"/>
                <w:szCs w:val="19"/>
              </w:rPr>
              <w:t xml:space="preserve">Meses 18–24</w:t>
            </w:r>
          </w:p>
        </w:tc>
        <w:tc>
          <w:tcPr>
            <w:tcW w:type="dxa" w:w="4400"/>
            <w:shd w:fill="F5F7FA" w:val="clear"/>
            <w:tcMar>
              <w:top w:type="dxa" w:w="80"/>
              <w:left w:type="dxa" w:w="110"/>
              <w:bottom w:type="dxa" w:w="80"/>
              <w:right w:type="dxa" w:w="110"/>
            </w:tcMar>
            <w:vAlign w:val="center"/>
          </w:tcPr>
          <w:p>
            <w:pPr>
              <w:spacing w:after="0" w:line="250"/>
            </w:pPr>
            <w:r>
              <w:rPr>
                <w:sz w:val="19"/>
                <w:szCs w:val="19"/>
              </w:rPr>
              <w:t xml:space="preserve">Contratar según la restricción real. Evaluar admisiones federales adicionales</w:t>
            </w:r>
          </w:p>
        </w:tc>
        <w:tc>
          <w:tcPr>
            <w:tcW w:type="dxa" w:w="3460"/>
            <w:shd w:fill="F5F7FA" w:val="clear"/>
            <w:tcMar>
              <w:top w:type="dxa" w:w="80"/>
              <w:left w:type="dxa" w:w="110"/>
              <w:bottom w:type="dxa" w:w="80"/>
              <w:right w:type="dxa" w:w="110"/>
            </w:tcMar>
            <w:vAlign w:val="center"/>
          </w:tcPr>
          <w:p>
            <w:pPr>
              <w:spacing w:after="0" w:line="250"/>
            </w:pPr>
            <w:r>
              <w:rPr>
                <w:sz w:val="19"/>
                <w:szCs w:val="19"/>
              </w:rPr>
              <w:t xml:space="preserve">La firma crece sin que caiga el margen por hora de abogado</w:t>
            </w:r>
          </w:p>
        </w:tc>
      </w:tr>
    </w:tbl>
    <w:p>
      <w:pPr>
        <w:spacing w:after="160"/>
      </w:pPr>
    </w:p>
    <w:p>
      <w:pPr>
        <w:pStyle w:val="Heading2"/>
        <w:spacing w:after="140" w:before="320"/>
      </w:pPr>
      <w:r>
        <w:rPr>
          <w:rFonts w:ascii="Calibri" w:cs="Calibri" w:eastAsia="Calibri" w:hAnsi="Calibri"/>
          <w:b/>
          <w:bCs/>
          <w:color w:val="1F3864"/>
          <w:sz w:val="25"/>
          <w:szCs w:val="25"/>
        </w:rPr>
        <w:t xml:space="preserve">4.2 El indicador que dice si la decisión está funcionando</w:t>
      </w:r>
    </w:p>
    <w:tbl>
      <w:tblPr>
        <w:tblW w:type="dxa" w:w="9360"/>
        <w:tblBorders>
          <w:top w:val="single" w:color="1F3864" w:sz="4"/>
          <w:left w:val="single" w:color="1F3864" w:sz="24"/>
          <w:bottom w:val="single" w:color="1F3864" w:sz="4"/>
          <w:right w:val="single" w:color="1F3864" w:sz="4"/>
          <w:insideH w:val="none" w:color="FFFFFF" w:sz="0"/>
          <w:insideV w:val="none" w:color="FFFFFF" w:sz="0"/>
        </w:tblBorders>
      </w:tblPr>
      <w:tblGrid>
        <w:gridCol w:w="9360"/>
      </w:tblGrid>
      <w:tr>
        <w:tc>
          <w:tcPr>
            <w:tcW w:type="dxa" w:w="9360"/>
            <w:shd w:fill="EDF1F7" w:val="clear"/>
            <w:tcMar>
              <w:top w:type="dxa" w:w="160"/>
              <w:left w:type="dxa" w:w="200"/>
              <w:bottom w:type="dxa" w:w="160"/>
              <w:right w:type="dxa" w:w="180"/>
            </w:tcMar>
          </w:tcPr>
          <w:p>
            <w:pPr>
              <w:spacing w:after="100"/>
            </w:pPr>
            <w:r>
              <w:rPr>
                <w:b/>
                <w:bCs/>
                <w:caps/>
                <w:color w:val="1F3864"/>
                <w:sz w:val="21"/>
                <w:szCs w:val="21"/>
              </w:rPr>
              <w:t xml:space="preserve">Margen por hora de abogado del conjunto de la cartera</w:t>
            </w:r>
          </w:p>
          <w:p>
            <w:pPr>
              <w:spacing w:after="90" w:line="264"/>
            </w:pPr>
            <w:r>
              <w:rPr>
                <w:sz w:val="21"/>
                <w:szCs w:val="21"/>
              </w:rPr>
              <w:t xml:space="preserve">Con el mix ilustrativo actual: </w:t>
            </w:r>
            <w:r>
              <w:rPr>
                <w:b/>
                <w:bCs/>
                <w:sz w:val="21"/>
                <w:szCs w:val="21"/>
              </w:rPr>
              <w:t xml:space="preserve">$497 por hora de abogado</w:t>
            </w:r>
            <w:r>
              <w:rPr>
                <w:sz w:val="21"/>
                <w:szCs w:val="21"/>
              </w:rPr>
              <w:t xml:space="preserve"> ($879,390 de margen ÷ 1,770 horas de abogado al año).</w:t>
            </w:r>
          </w:p>
          <w:p>
            <w:pPr>
              <w:spacing w:after="90" w:line="264"/>
            </w:pPr>
            <w:r>
              <w:rPr>
                <w:sz w:val="21"/>
                <w:szCs w:val="21"/>
              </w:rPr>
              <w:t xml:space="preserve">Ese número, y no el ingreso, es el que dice si el mix está mejorando. Puede subir el ingreso y bajar este indicador — y cuando eso pasa, la firma está trabajando más para ganar lo mismo.</w:t>
            </w:r>
          </w:p>
          <w:p>
            <w:pPr>
              <w:spacing w:after="90" w:line="264"/>
            </w:pPr>
            <w:r>
              <w:rPr>
                <w:b/>
                <w:bCs/>
                <w:sz w:val="21"/>
                <w:szCs w:val="21"/>
              </w:rPr>
              <w:t xml:space="preserve">Objetivo sugerido para 24 meses: superar los $700 por hora de abogado</w:t>
            </w:r>
            <w:r>
              <w:rPr>
                <w:sz w:val="21"/>
                <w:szCs w:val="21"/>
              </w:rPr>
              <w:t xml:space="preserve">, sin que baje el margen total. Se consigue por mix (más ajuste y habeas, defensa acotada) y por proceso (menos horas de abogado por caso), no por precio.</w:t>
            </w:r>
          </w:p>
          <w:p>
            <w:pPr>
              <w:spacing w:after="90" w:line="264"/>
            </w:pPr>
            <w:r>
              <w:rPr>
                <w:sz w:val="21"/>
                <w:szCs w:val="21"/>
              </w:rPr>
              <w:t xml:space="preserve">Un dato que conviene tener presente: con 1,770 horas de abogado al año, el mix actual ya requiere </w:t>
            </w:r>
            <w:r>
              <w:rPr>
                <w:b/>
                <w:bCs/>
                <w:sz w:val="21"/>
                <w:szCs w:val="21"/>
              </w:rPr>
              <w:t xml:space="preserve">1.18 abogados a tiempo completo</w:t>
            </w:r>
            <w:r>
              <w:rPr>
                <w:sz w:val="21"/>
                <w:szCs w:val="21"/>
              </w:rPr>
              <w:t xml:space="preserve"> solo para sostenerse. La restricción no es teórica.</w:t>
            </w:r>
          </w:p>
        </w:tc>
      </w:tr>
    </w:tbl>
    <w:p>
      <w:pPr>
        <w:spacing w:after="140"/>
      </w:pPr>
    </w:p>
    <w:p>
      <w:pPr>
        <w:pStyle w:val="Heading2"/>
        <w:spacing w:after="140" w:before="320"/>
      </w:pPr>
      <w:r>
        <w:rPr>
          <w:rFonts w:ascii="Calibri" w:cs="Calibri" w:eastAsia="Calibri" w:hAnsi="Calibri"/>
          <w:b/>
          <w:bCs/>
          <w:color w:val="1F3864"/>
          <w:sz w:val="25"/>
          <w:szCs w:val="25"/>
        </w:rPr>
        <w:t xml:space="preserve">4.3 Lo que NO hay que hacer</w:t>
      </w:r>
    </w:p>
    <w:p>
      <w:pPr>
        <w:pStyle w:val="ListParagraph"/>
        <w:numPr>
          <w:ilvl w:val="0"/>
          <w:numId w:val="2"/>
        </w:numPr>
        <w:spacing w:after="70" w:line="264"/>
      </w:pPr>
      <w:r>
        <w:rPr>
          <w:b/>
          <w:bCs/>
          <w:sz w:val="21"/>
          <w:szCs w:val="21"/>
        </w:rPr>
        <w:t xml:space="preserve">No perseguir los dos caminos con la misma cola de trabajo.</w:t>
      </w:r>
      <w:r>
        <w:rPr>
          <w:sz w:val="21"/>
          <w:szCs w:val="21"/>
        </w:rPr>
        <w:t xml:space="preserve"> Procesos distintos, plazos distintos, criterios de aceptación distintos. El trabajo complejo y el de volumen no pueden compartir la misma bandeja de entrada.</w:t>
      </w:r>
    </w:p>
    <w:p>
      <w:pPr>
        <w:pStyle w:val="ListParagraph"/>
        <w:numPr>
          <w:ilvl w:val="0"/>
          <w:numId w:val="2"/>
        </w:numPr>
        <w:spacing w:after="70" w:line="264"/>
      </w:pPr>
      <w:r>
        <w:rPr>
          <w:b/>
          <w:bCs/>
          <w:sz w:val="21"/>
          <w:szCs w:val="21"/>
        </w:rPr>
        <w:t xml:space="preserve">No contratar un abogado para resolver un problema de proceso.</w:t>
      </w:r>
      <w:r>
        <w:rPr>
          <w:sz w:val="21"/>
          <w:szCs w:val="21"/>
        </w:rPr>
        <w:t xml:space="preserve"> Es la forma más cara de no resolverlo. Primero intake y paralegal; abogado cuando el flujo exceda la capacidad de forma sostenida.</w:t>
      </w:r>
    </w:p>
    <w:p>
      <w:pPr>
        <w:pStyle w:val="ListParagraph"/>
        <w:numPr>
          <w:ilvl w:val="0"/>
          <w:numId w:val="2"/>
        </w:numPr>
        <w:spacing w:after="70" w:line="264"/>
      </w:pPr>
      <w:r>
        <w:rPr>
          <w:b/>
          <w:bCs/>
          <w:sz w:val="21"/>
          <w:szCs w:val="21"/>
        </w:rPr>
        <w:t xml:space="preserve">No escalar el habeas antes de cerrar la casilla de divulgación.</w:t>
      </w:r>
      <w:r>
        <w:rPr>
          <w:sz w:val="21"/>
          <w:szCs w:val="21"/>
        </w:rPr>
        <w:t xml:space="preserve"> Escalar primero y verificar después convierte una casilla pendiente en un problema multiplicado.</w:t>
      </w:r>
    </w:p>
    <w:p>
      <w:pPr>
        <w:pStyle w:val="ListParagraph"/>
        <w:numPr>
          <w:ilvl w:val="0"/>
          <w:numId w:val="2"/>
        </w:numPr>
        <w:spacing w:after="70" w:line="264"/>
      </w:pPr>
      <w:r>
        <w:rPr>
          <w:b/>
          <w:bCs/>
          <w:sz w:val="21"/>
          <w:szCs w:val="21"/>
        </w:rPr>
        <w:t xml:space="preserve">No decidir el mix por quién llama por teléfono.</w:t>
      </w:r>
      <w:r>
        <w:rPr>
          <w:sz w:val="21"/>
          <w:szCs w:val="21"/>
        </w:rPr>
        <w:t xml:space="preserve"> Sin un objetivo declarado de mezcla, la mezcla la decide la demanda entrante, que no tiene ninguna opinión sobre nuestro margen.</w:t>
      </w:r>
    </w:p>
    <w:p>
      <w:r>
        <w:br w:type="page"/>
      </w:r>
    </w:p>
    <w:p>
      <w:pPr>
        <w:pStyle w:val="Heading1"/>
        <w:pBdr>
          <w:bottom w:val="single" w:color="1F3864" w:sz="10" w:space="6"/>
        </w:pBdr>
        <w:spacing w:after="200" w:before="480"/>
      </w:pPr>
      <w:r>
        <w:rPr>
          <w:rFonts w:ascii="Calibri" w:cs="Calibri" w:eastAsia="Calibri" w:hAnsi="Calibri"/>
          <w:b/>
          <w:bCs/>
          <w:color w:val="1F3864"/>
          <w:sz w:val="32"/>
          <w:szCs w:val="32"/>
        </w:rPr>
        <w:t xml:space="preserve">5. La advertencia que hace falta leer antes de actuar</w:t>
      </w:r>
    </w:p>
    <w:tbl>
      <w:tblPr>
        <w:tblW w:type="dxa" w:w="9360"/>
        <w:tblBorders>
          <w:top w:val="single" w:color="8C6B2F" w:sz="4"/>
          <w:left w:val="single" w:color="8C6B2F" w:sz="24"/>
          <w:bottom w:val="single" w:color="8C6B2F" w:sz="4"/>
          <w:right w:val="single" w:color="8C6B2F" w:sz="4"/>
          <w:insideH w:val="none" w:color="FFFFFF" w:sz="0"/>
          <w:insideV w:val="none" w:color="FFFFFF" w:sz="0"/>
        </w:tblBorders>
      </w:tblPr>
      <w:tblGrid>
        <w:gridCol w:w="9360"/>
      </w:tblGrid>
      <w:tr>
        <w:tc>
          <w:tcPr>
            <w:tcW w:type="dxa" w:w="9360"/>
            <w:shd w:fill="FBF6EC" w:val="clear"/>
            <w:tcMar>
              <w:top w:type="dxa" w:w="160"/>
              <w:left w:type="dxa" w:w="200"/>
              <w:bottom w:type="dxa" w:w="160"/>
              <w:right w:type="dxa" w:w="180"/>
            </w:tcMar>
          </w:tcPr>
          <w:p>
            <w:pPr>
              <w:spacing w:after="100"/>
            </w:pPr>
            <w:r>
              <w:rPr>
                <w:b/>
                <w:bCs/>
                <w:caps/>
                <w:color w:val="8C6B2F"/>
                <w:sz w:val="21"/>
                <w:szCs w:val="21"/>
              </w:rPr>
              <w:t xml:space="preserve">Esta recomendación es condicional, y la condición es concreta</w:t>
            </w:r>
          </w:p>
          <w:p>
            <w:pPr>
              <w:spacing w:after="90" w:line="264"/>
            </w:pPr>
            <w:r>
              <w:rPr>
                <w:sz w:val="21"/>
                <w:szCs w:val="21"/>
              </w:rPr>
              <w:t xml:space="preserve">Los supuestos de horas de entrega —2 horas de abogado en un ajuste, 20 en una defensa, 1.5 en un habeas— son </w:t>
            </w:r>
            <w:r>
              <w:rPr>
                <w:b/>
                <w:bCs/>
                <w:sz w:val="21"/>
                <w:szCs w:val="21"/>
              </w:rPr>
              <w:t xml:space="preserve">ilustrativos</w:t>
            </w:r>
            <w:r>
              <w:rPr>
                <w:sz w:val="21"/>
                <w:szCs w:val="21"/>
              </w:rPr>
              <w:t xml:space="preserve">. Vienen del modelo de negocio, no de una medición.</w:t>
            </w:r>
          </w:p>
          <w:p>
            <w:pPr>
              <w:spacing w:after="90" w:line="264"/>
            </w:pPr>
            <w:r>
              <w:rPr>
                <w:b/>
                <w:bCs/>
                <w:sz w:val="21"/>
                <w:szCs w:val="21"/>
              </w:rPr>
              <w:t xml:space="preserve">Todo el orden de la tabla de la sección 2 depende de esos números.</w:t>
            </w:r>
            <w:r>
              <w:rPr>
                <w:sz w:val="21"/>
                <w:szCs w:val="21"/>
              </w:rPr>
              <w:t xml:space="preserve"> Si una defensa en corte se lleva realmente 12 horas de abogado y no 20, su margen por hora sube a $413 y sigue siendo bajo, pero cambia la magnitud del ajuste. Si un ajuste de estatus se lleva 4 horas y no 2, su margen por hora cae a $592 y deja de encabezar la tabla.</w:t>
            </w:r>
          </w:p>
          <w:p>
            <w:pPr>
              <w:spacing w:after="90" w:line="264"/>
            </w:pPr>
            <w:r>
              <w:rPr>
                <w:b/>
                <w:bCs/>
                <w:sz w:val="21"/>
                <w:szCs w:val="21"/>
              </w:rPr>
              <w:t xml:space="preserve">La conclusión cualitativa es robusta:</w:t>
            </w:r>
            <w:r>
              <w:rPr>
                <w:sz w:val="21"/>
                <w:szCs w:val="21"/>
              </w:rPr>
              <w:t xml:space="preserve"> la defensa en corte casi con seguridad seguirá siendo el peor uso de la hora de abogado, porque la brecha con el resto es demasiado grande para invertirse. </w:t>
            </w:r>
            <w:r>
              <w:rPr>
                <w:b/>
                <w:bCs/>
                <w:sz w:val="21"/>
                <w:szCs w:val="21"/>
              </w:rPr>
              <w:t xml:space="preserve">Las magnitudes no lo son.</w:t>
            </w:r>
          </w:p>
          <w:p>
            <w:pPr>
              <w:spacing w:after="90" w:line="264"/>
            </w:pPr>
            <w:r>
              <w:rPr>
                <w:b/>
                <w:bCs/>
                <w:sz w:val="21"/>
                <w:szCs w:val="21"/>
              </w:rPr>
              <w:t xml:space="preserve">Por eso la Fase 1 no es opcional.</w:t>
            </w:r>
            <w:r>
              <w:rPr>
                <w:sz w:val="21"/>
                <w:szCs w:val="21"/>
              </w:rPr>
              <w:t xml:space="preserve"> Medir las horas reales de entrega —aunque no se facturen— es lo que convierte este memorando de un argumento en una decisión. Es la primera casilla de la hoja de ruta y la que desbloquea todo lo demás.</w:t>
            </w:r>
          </w:p>
          <w:p>
            <w:pPr>
              <w:spacing w:after="90" w:line="264"/>
            </w:pPr>
            <w:r>
              <w:rPr>
                <w:sz w:val="21"/>
                <w:szCs w:val="21"/>
              </w:rPr>
              <w:t xml:space="preserve">La hoja </w:t>
            </w:r>
            <w:r>
              <w:rPr>
                <w:b/>
                <w:bCs/>
                <w:sz w:val="21"/>
                <w:szCs w:val="21"/>
              </w:rPr>
              <w:t xml:space="preserve">TiposDeCaso</w:t>
            </w:r>
            <w:r>
              <w:rPr>
                <w:sz w:val="21"/>
                <w:szCs w:val="21"/>
              </w:rPr>
              <w:t xml:space="preserve"> del modelo financiero está construida exactamente para eso: se cargan las horas reales y la tabla se reordena sola.</w:t>
            </w:r>
          </w:p>
        </w:tc>
      </w:tr>
    </w:tbl>
    <w:p>
      <w:pPr>
        <w:spacing w:after="160"/>
      </w:pPr>
    </w:p>
    <w:p>
      <w:pPr>
        <w:pStyle w:val="Heading1"/>
        <w:pBdr>
          <w:bottom w:val="single" w:color="1F3864" w:sz="10" w:space="6"/>
        </w:pBdr>
        <w:spacing w:after="200" w:before="480"/>
      </w:pPr>
      <w:r>
        <w:rPr>
          <w:rFonts w:ascii="Calibri" w:cs="Calibri" w:eastAsia="Calibri" w:hAnsi="Calibri"/>
          <w:b/>
          <w:bCs/>
          <w:color w:val="1F3864"/>
          <w:sz w:val="32"/>
          <w:szCs w:val="32"/>
        </w:rPr>
        <w:t xml:space="preserve">6. La decisión, en una línea</w:t>
      </w:r>
    </w:p>
    <w:p>
      <w:pPr>
        <w:spacing w:after="140" w:line="276"/>
      </w:pPr>
      <w:r>
        <w:rPr>
          <w:b/>
          <w:bCs/>
          <w:sz w:val="21"/>
          <w:szCs w:val="21"/>
        </w:rPr>
        <w:t xml:space="preserve">Escalar el volumen —con el ajuste de estatus como producto principal— para financiar una boutique construida sobre habeas y detención, acotando deliberadamente la defensa en corte a un número declarado de casos al año.</w:t>
      </w:r>
    </w:p>
    <w:p>
      <w:pPr>
        <w:spacing w:after="80"/>
      </w:pPr>
    </w:p>
    <w:p>
      <w:pPr>
        <w:spacing w:after="140" w:line="276"/>
      </w:pPr>
      <w:r>
        <w:rPr>
          <w:sz w:val="21"/>
          <w:szCs w:val="21"/>
        </w:rPr>
        <w:t xml:space="preserve">Y medir el resultado con un solo número: el </w:t>
      </w:r>
      <w:r>
        <w:rPr>
          <w:b/>
          <w:bCs/>
          <w:sz w:val="21"/>
          <w:szCs w:val="21"/>
        </w:rPr>
        <w:t xml:space="preserve">margen por hora de abogado</w:t>
      </w:r>
      <w:r>
        <w:rPr>
          <w:sz w:val="21"/>
          <w:szCs w:val="21"/>
        </w:rPr>
        <w:t xml:space="preserve">, hoy en $497 con supuestos ilustrativos, con objetivo de superar $700 en veinticuatro meses.</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C" w:sz="4" w:space="8"/>
      </w:pBdr>
      <w:jc w:val="center"/>
    </w:pPr>
    <w:r>
      <w:rPr>
        <w:color w:val="8A94A6"/>
        <w:sz w:val="15"/>
        <w:szCs w:val="15"/>
      </w:rPr>
      <w:t xml:space="preserve">Law Offices of Jose R. Santiago, PLLC  ·  Memorando de decisión  ·  Documento interno  ·  </w:t>
    </w:r>
    <w:r>
      <w:rPr>
        <w:color w:val="8A94A6"/>
        <w:sz w:val="15"/>
        <w:szCs w:val="15"/>
      </w:rPr>
      <w:fldChar w:fldCharType="begin"/>
      <w:instrText xml:space="preserve">PAGE</w:instrText>
      <w:fldChar w:fldCharType="separate"/>
      <w:fldChar w:fldCharType="end"/>
    </w:r>
    <w:r>
      <w:rPr>
        <w:color w:val="8A94A6"/>
        <w:sz w:val="15"/>
        <w:szCs w:val="15"/>
      </w:rPr>
      <w:t xml:space="preserve"> / </w:t>
    </w:r>
    <w:r>
      <w:rPr>
        <w:color w:val="8A94A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780" w:hanging="240"/>
      </w:pPr>
    </w:lvl>
  </w:abstractNum>
  <w:abstractNum w:abstractNumId="3" w15:restartNumberingAfterBreak="0">
    <w:multiLevelType w:val="hybridMultilevel"/>
    <w:lvl w:ilvl="0" w15:tentative="1">
      <w:start w:val="1"/>
      <w:numFmt w:val="bullet"/>
      <w:lvlText w:val="❑"/>
      <w:lvlJc w:val="left"/>
      <w:pPr>
        <w:ind w:left="40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9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5"/>
      <w:szCs w:val="25"/>
    </w:rPr>
  </w:style>
  <w:style w:type="paragraph" w:styleId="Heading3">
    <w:name w:val="Heading 3"/>
    <w:basedOn w:val="Normal"/>
    <w:next w:val="Normal"/>
    <w:qFormat/>
    <w:rPr>
      <w:rFonts w:ascii="Calibri" w:cs="Calibri" w:eastAsia="Calibri" w:hAnsi="Calibri"/>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 de decisión — Camino A o Camino B</dc:title>
  <dc:creator>Law Offices of Jose R. Santiago, PLLC</dc:creator>
  <dc:description>Memorando de decisión — Law Offices of Jose R. Santiago, PLLC</dc:description>
  <cp:lastModifiedBy>Un-named</cp:lastModifiedBy>
  <cp:revision>1</cp:revision>
  <dcterms:created xsi:type="dcterms:W3CDTF">2026-07-29T15:41:06.902Z</dcterms:created>
  <dcterms:modified xsi:type="dcterms:W3CDTF">2026-07-29T15:41:06.902Z</dcterms:modified>
</cp:coreProperties>
</file>

<file path=docProps/custom.xml><?xml version="1.0" encoding="utf-8"?>
<Properties xmlns="http://schemas.openxmlformats.org/officeDocument/2006/custom-properties" xmlns:vt="http://schemas.openxmlformats.org/officeDocument/2006/docPropsVTypes"/>
</file>