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20"/>
        <w:jc w:val="center"/>
      </w:pPr>
      <w:r>
        <w:rPr>
          <w:b/>
          <w:bCs/>
          <w:color w:val="8C6B2F"/>
          <w:spacing w:val="40"/>
          <w:sz w:val="19"/>
          <w:szCs w:val="19"/>
        </w:rPr>
        <w:t xml:space="preserve">DOCUMENTO DE ESTUDIO Y PLANIFICACIÓN ESTRATÉGICA</w:t>
      </w:r>
    </w:p>
    <w:p>
      <w:pPr>
        <w:pBdr>
          <w:top w:val="single" w:color="1F3864" w:sz="8" w:space="14"/>
        </w:pBdr>
        <w:spacing w:after="100"/>
        <w:jc w:val="center"/>
      </w:pPr>
    </w:p>
    <w:p>
      <w:pPr>
        <w:spacing w:after="60"/>
        <w:jc w:val="center"/>
      </w:pPr>
      <w:r>
        <w:rPr>
          <w:b/>
          <w:bCs/>
          <w:color w:val="1F3864"/>
          <w:sz w:val="44"/>
          <w:szCs w:val="44"/>
        </w:rPr>
        <w:t xml:space="preserve">Modelo de Negocio de una</w:t>
      </w:r>
    </w:p>
    <w:p>
      <w:pPr>
        <w:spacing w:after="200"/>
        <w:jc w:val="center"/>
      </w:pPr>
      <w:r>
        <w:rPr>
          <w:b/>
          <w:bCs/>
          <w:color w:val="1F3864"/>
          <w:sz w:val="44"/>
          <w:szCs w:val="44"/>
        </w:rPr>
        <w:t xml:space="preserve">Firma Legal en Estados Unidos</w:t>
      </w:r>
    </w:p>
    <w:p>
      <w:pPr>
        <w:pBdr>
          <w:bottom w:val="single" w:color="1F3864" w:sz="8" w:space="14"/>
        </w:pBdr>
        <w:spacing w:after="400"/>
        <w:jc w:val="center"/>
      </w:pPr>
      <w:r>
        <w:rPr>
          <w:i/>
          <w:iCs/>
          <w:color w:val="44546A"/>
          <w:sz w:val="22"/>
          <w:szCs w:val="22"/>
        </w:rPr>
        <w:t xml:space="preserve">Estructura corporativa · jerarquía · economía · escalamiento</w:t>
      </w:r>
    </w:p>
    <w:p>
      <w:pPr>
        <w:spacing w:after="80"/>
        <w:jc w:val="center"/>
      </w:pPr>
      <w:r>
        <w:rPr>
          <w:caps/>
          <w:color w:val="44546A"/>
          <w:spacing w:val="30"/>
          <w:sz w:val="20"/>
          <w:szCs w:val="20"/>
        </w:rPr>
        <w:t xml:space="preserve">Aplicado a</w:t>
      </w:r>
    </w:p>
    <w:p>
      <w:pPr>
        <w:spacing w:after="700"/>
        <w:jc w:val="center"/>
      </w:pPr>
      <w:r>
        <w:rPr>
          <w:b/>
          <w:bCs/>
          <w:color w:val="8C6B2F"/>
          <w:sz w:val="30"/>
          <w:szCs w:val="30"/>
        </w:rPr>
        <w:t xml:space="preserve">Law Offices of Jose R. Santiago, PLLC</w:t>
      </w:r>
    </w:p>
    <w:p>
      <w:pPr>
        <w:spacing w:after="40"/>
        <w:jc w:val="center"/>
      </w:pPr>
      <w:r>
        <w:rPr>
          <w:color w:val="44546A"/>
          <w:sz w:val="20"/>
          <w:szCs w:val="20"/>
        </w:rPr>
        <w:t xml:space="preserve">Katy, Texas  ·  Práctica de inmigración y habeas corpus federal</w:t>
      </w:r>
    </w:p>
    <w:p>
      <w:pPr>
        <w:spacing w:after="40"/>
        <w:jc w:val="center"/>
      </w:pPr>
      <w:r>
        <w:rPr>
          <w:color w:val="44546A"/>
          <w:sz w:val="20"/>
          <w:szCs w:val="20"/>
        </w:rPr>
        <w:t xml:space="preserve">29 de julio de 2026  ·  Versión 1.0</w:t>
      </w:r>
    </w:p>
    <w:p>
      <w:pPr>
        <w:jc w:val="center"/>
      </w:pPr>
      <w:r>
        <w:rPr>
          <w:i/>
          <w:iCs/>
          <w:color w:val="999999"/>
          <w:sz w:val="18"/>
          <w:szCs w:val="18"/>
        </w:rPr>
        <w:t xml:space="preserve">Documento interno — no distribuir fuera de la firma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Nota preliminar</w:t>
      </w:r>
    </w:p>
    <w:p>
      <w:pPr>
        <w:spacing w:after="140" w:line="276"/>
      </w:pPr>
      <w:r>
        <w:rPr>
          <w:sz w:val="21"/>
          <w:szCs w:val="21"/>
        </w:rPr>
        <w:t xml:space="preserve">Este documento toma la descripción estructural de una firma legal estadounidense —figura jurídica, jerarquía interna y tipologías de firma— y la convierte en un </w:t>
      </w:r>
      <w:r>
        <w:rPr>
          <w:b/>
          <w:bCs/>
          <w:sz w:val="21"/>
          <w:szCs w:val="21"/>
        </w:rPr>
        <w:t xml:space="preserve">modelo de negocio operable</w:t>
      </w:r>
      <w:r>
        <w:rPr>
          <w:sz w:val="21"/>
          <w:szCs w:val="21"/>
        </w:rPr>
        <w:t xml:space="preserve">: qué vendemos, cómo se genera el margen, dónde está la restricción y qué hay que medir para saber si el modelo funciona.</w:t>
      </w:r>
    </w:p>
    <w:p>
      <w:pPr>
        <w:spacing w:after="140" w:line="276"/>
      </w:pPr>
      <w:r>
        <w:rPr>
          <w:sz w:val="21"/>
          <w:szCs w:val="21"/>
        </w:rPr>
        <w:t xml:space="preserve">Está escrito con Law Offices of Jose R. Santiago, PLLC como firma protagonista. Cada sección tiene dos capas: la </w:t>
      </w:r>
      <w:r>
        <w:rPr>
          <w:b/>
          <w:bCs/>
          <w:sz w:val="21"/>
          <w:szCs w:val="21"/>
        </w:rPr>
        <w:t xml:space="preserve">teoría general</w:t>
      </w:r>
      <w:r>
        <w:rPr>
          <w:sz w:val="21"/>
          <w:szCs w:val="21"/>
        </w:rPr>
        <w:t xml:space="preserve"> —cómo funciona el modelo estadounidense, incluida la BigLaw que nunca seremos, porque entender su mecánica explica la nuestra— y una </w:t>
      </w:r>
      <w:r>
        <w:rPr>
          <w:b/>
          <w:bCs/>
          <w:sz w:val="21"/>
          <w:szCs w:val="21"/>
        </w:rPr>
        <w:t xml:space="preserve">aplicación concreta a nuestra firma</w:t>
      </w:r>
      <w:r>
        <w:rPr>
          <w:sz w:val="21"/>
          <w:szCs w:val="21"/>
        </w:rPr>
        <w:t xml:space="preserve">, marcada en recuadros.</w:t>
      </w:r>
    </w:p>
    <w:p>
      <w:pPr>
        <w:spacing w:after="8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Cómo leer las cifras de este documento</w:t>
            </w:r>
          </w:p>
          <w:p>
            <w:pPr>
              <w:spacing w:after="90" w:line="264"/>
            </w:pPr>
            <w:r>
              <w:rPr>
                <w:sz w:val="21"/>
                <w:szCs w:val="21"/>
              </w:rPr>
              <w:t xml:space="preserve">Todos los números son </w:t>
            </w:r>
            <w:r>
              <w:rPr>
                <w:b/>
                <w:bCs/>
                <w:sz w:val="21"/>
                <w:szCs w:val="21"/>
              </w:rPr>
              <w:t xml:space="preserve">ilustrativos</w:t>
            </w:r>
            <w:r>
              <w:rPr>
                <w:sz w:val="21"/>
                <w:szCs w:val="21"/>
              </w:rPr>
              <w:t xml:space="preserve">. Existen para mostrar la mecánica del modelo —cómo se mueve el margen cuando mueves una palanca—, no para reportar datos de mercado ni para describir la situación financiera real de la firma.</w:t>
            </w:r>
          </w:p>
          <w:p>
            <w:pPr>
              <w:spacing w:after="90" w:line="264"/>
            </w:pPr>
            <w:r>
              <w:rPr>
                <w:sz w:val="21"/>
                <w:szCs w:val="21"/>
              </w:rPr>
              <w:t xml:space="preserve">Donde aparece </w:t>
            </w:r>
            <w:r>
              <w:rPr>
                <w:b/>
                <w:bCs/>
                <w:sz w:val="21"/>
                <w:szCs w:val="21"/>
              </w:rPr>
              <w:t xml:space="preserve">[DATO A COMPLETAR]</w:t>
            </w:r>
            <w:r>
              <w:rPr>
                <w:sz w:val="21"/>
                <w:szCs w:val="21"/>
              </w:rPr>
              <w:t xml:space="preserve">, es información que la firma tiene y este documento no. El Anexo A lista exactamente qué números hay que levantar para sustituir los supuestos por realidad.</w:t>
            </w:r>
          </w:p>
          <w:p>
            <w:pPr>
              <w:spacing w:after="90" w:line="264"/>
            </w:pPr>
            <w:r>
              <w:rPr>
                <w:sz w:val="21"/>
                <w:szCs w:val="21"/>
              </w:rPr>
              <w:t xml:space="preserve">Este documento no constituye asesoría legal, fiscal, contable ni de inversión. Las referencias a reglas de conducta profesional son orientativas: la fuente que gobierna es el texto vigente de las Texas Disciplinary Rules of Professional Conduct y de la normativa federal aplicable (EOIR / USCIS / reglas locales de cada distrito).</w:t>
            </w:r>
          </w:p>
        </w:tc>
      </w:tr>
    </w:tbl>
    <w:p>
      <w:pPr>
        <w:spacing w:after="200"/>
      </w:pP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Contenido</w:t>
      </w:r>
    </w:p>
    <w:p>
      <w:pPr>
        <w:spacing w:after="20" w:before="130"/>
      </w:pPr>
      <w:r>
        <w:rPr>
          <w:b/>
          <w:bCs/>
          <w:color w:val="8C6B2F"/>
          <w:sz w:val="21"/>
          <w:szCs w:val="21"/>
        </w:rPr>
        <w:t xml:space="preserve">Parte 0.  </w:t>
      </w:r>
      <w:r>
        <w:rPr>
          <w:b/>
          <w:bCs/>
          <w:color w:val="1F3864"/>
          <w:sz w:val="21"/>
          <w:szCs w:val="21"/>
        </w:rPr>
        <w:t xml:space="preserve">Punto de partida: dónde estamos</w:t>
      </w:r>
    </w:p>
    <w:p>
      <w:pPr>
        <w:spacing w:after="60" w:line="240"/>
        <w:ind w:left="620"/>
      </w:pPr>
      <w:r>
        <w:rPr>
          <w:color w:val="44546A"/>
          <w:sz w:val="18"/>
          <w:szCs w:val="18"/>
        </w:rPr>
        <w:t xml:space="preserve">Perfil de la firma · Los tres hechos que definen nuestro modelo</w:t>
      </w:r>
    </w:p>
    <w:p>
      <w:pPr>
        <w:spacing w:after="20" w:before="130"/>
      </w:pPr>
      <w:r>
        <w:rPr>
          <w:b/>
          <w:bCs/>
          <w:color w:val="8C6B2F"/>
          <w:sz w:val="21"/>
          <w:szCs w:val="21"/>
        </w:rPr>
        <w:t xml:space="preserve">Parte 1.  </w:t>
      </w:r>
      <w:r>
        <w:rPr>
          <w:b/>
          <w:bCs/>
          <w:color w:val="1F3864"/>
          <w:sz w:val="21"/>
          <w:szCs w:val="21"/>
        </w:rPr>
        <w:t xml:space="preserve">Marco jurídico y de gobierno</w:t>
      </w:r>
    </w:p>
    <w:p>
      <w:pPr>
        <w:spacing w:after="60" w:line="240"/>
        <w:ind w:left="620"/>
      </w:pPr>
      <w:r>
        <w:rPr>
          <w:color w:val="44546A"/>
          <w:sz w:val="18"/>
          <w:szCs w:val="18"/>
        </w:rPr>
        <w:t xml:space="preserve">LLP · PLLC · PC · Qué significa ser PLLC · Quién decide qué</w:t>
      </w:r>
    </w:p>
    <w:p>
      <w:pPr>
        <w:spacing w:after="20" w:before="130"/>
      </w:pPr>
      <w:r>
        <w:rPr>
          <w:b/>
          <w:bCs/>
          <w:color w:val="8C6B2F"/>
          <w:sz w:val="21"/>
          <w:szCs w:val="21"/>
        </w:rPr>
        <w:t xml:space="preserve">Parte 2.  </w:t>
      </w:r>
      <w:r>
        <w:rPr>
          <w:b/>
          <w:bCs/>
          <w:color w:val="1F3864"/>
          <w:sz w:val="21"/>
          <w:szCs w:val="21"/>
        </w:rPr>
        <w:t xml:space="preserve">La jerarquía de una firma estadounidense</w:t>
      </w:r>
    </w:p>
    <w:p>
      <w:pPr>
        <w:spacing w:after="60" w:line="240"/>
        <w:ind w:left="620"/>
      </w:pPr>
      <w:r>
        <w:rPr>
          <w:color w:val="44546A"/>
          <w:sz w:val="18"/>
          <w:szCs w:val="18"/>
        </w:rPr>
        <w:t xml:space="preserve">Socios equity y non-equity · Of Counsel · Asociados · Personal de apoyo · La pirámide que sí nos toca</w:t>
      </w:r>
    </w:p>
    <w:p>
      <w:pPr>
        <w:spacing w:after="20" w:before="130"/>
      </w:pPr>
      <w:r>
        <w:rPr>
          <w:b/>
          <w:bCs/>
          <w:color w:val="8C6B2F"/>
          <w:sz w:val="21"/>
          <w:szCs w:val="21"/>
        </w:rPr>
        <w:t xml:space="preserve">Parte 3.  </w:t>
      </w:r>
      <w:r>
        <w:rPr>
          <w:b/>
          <w:bCs/>
          <w:color w:val="1F3864"/>
          <w:sz w:val="21"/>
          <w:szCs w:val="21"/>
        </w:rPr>
        <w:t xml:space="preserve">El motor económico</w:t>
      </w:r>
    </w:p>
    <w:p>
      <w:pPr>
        <w:spacing w:after="60" w:line="240"/>
        <w:ind w:left="620"/>
      </w:pPr>
      <w:r>
        <w:rPr>
          <w:color w:val="44546A"/>
          <w:sz w:val="18"/>
          <w:szCs w:val="18"/>
        </w:rPr>
        <w:t xml:space="preserve">La fórmula R-U-L-E-S · Apalancamiento · Realización · La aritmética de la hora facturable</w:t>
      </w:r>
    </w:p>
    <w:p>
      <w:pPr>
        <w:spacing w:after="20" w:before="130"/>
      </w:pPr>
      <w:r>
        <w:rPr>
          <w:b/>
          <w:bCs/>
          <w:color w:val="8C6B2F"/>
          <w:sz w:val="21"/>
          <w:szCs w:val="21"/>
        </w:rPr>
        <w:t xml:space="preserve">Parte 4.  </w:t>
      </w:r>
      <w:r>
        <w:rPr>
          <w:b/>
          <w:bCs/>
          <w:color w:val="1F3864"/>
          <w:sz w:val="21"/>
          <w:szCs w:val="21"/>
        </w:rPr>
        <w:t xml:space="preserve">Modelos de ingreso</w:t>
      </w:r>
    </w:p>
    <w:p>
      <w:pPr>
        <w:spacing w:after="60" w:line="240"/>
        <w:ind w:left="620"/>
      </w:pPr>
      <w:r>
        <w:rPr>
          <w:color w:val="44546A"/>
          <w:sz w:val="18"/>
          <w:szCs w:val="18"/>
        </w:rPr>
        <w:t xml:space="preserve">Hora facturable · Precio cerrado · Alcance limitado · Contingencia · Retainer y suscripción</w:t>
      </w:r>
    </w:p>
    <w:p>
      <w:pPr>
        <w:spacing w:after="20" w:before="130"/>
      </w:pPr>
      <w:r>
        <w:rPr>
          <w:b/>
          <w:bCs/>
          <w:color w:val="8C6B2F"/>
          <w:sz w:val="21"/>
          <w:szCs w:val="21"/>
        </w:rPr>
        <w:t xml:space="preserve">Parte 5.  </w:t>
      </w:r>
      <w:r>
        <w:rPr>
          <w:b/>
          <w:bCs/>
          <w:color w:val="1F3864"/>
          <w:sz w:val="21"/>
          <w:szCs w:val="21"/>
        </w:rPr>
        <w:t xml:space="preserve">Segmentos de cliente y propuesta de valor</w:t>
      </w:r>
    </w:p>
    <w:p>
      <w:pPr>
        <w:spacing w:after="60" w:line="240"/>
        <w:ind w:left="620"/>
      </w:pPr>
      <w:r>
        <w:rPr>
          <w:color w:val="44546A"/>
          <w:sz w:val="18"/>
          <w:szCs w:val="18"/>
        </w:rPr>
        <w:t xml:space="preserve">Los seis mercados de la inmigración · La decisión de cartera</w:t>
      </w:r>
    </w:p>
    <w:p>
      <w:pPr>
        <w:spacing w:after="20" w:before="130"/>
      </w:pPr>
      <w:r>
        <w:rPr>
          <w:b/>
          <w:bCs/>
          <w:color w:val="8C6B2F"/>
          <w:sz w:val="21"/>
          <w:szCs w:val="21"/>
        </w:rPr>
        <w:t xml:space="preserve">Parte 6.  </w:t>
      </w:r>
      <w:r>
        <w:rPr>
          <w:b/>
          <w:bCs/>
          <w:color w:val="1F3864"/>
          <w:sz w:val="21"/>
          <w:szCs w:val="21"/>
        </w:rPr>
        <w:t xml:space="preserve">Canales y adquisición de clientes</w:t>
      </w:r>
    </w:p>
    <w:p>
      <w:pPr>
        <w:spacing w:after="60" w:line="240"/>
        <w:ind w:left="620"/>
      </w:pPr>
      <w:r>
        <w:rPr>
          <w:color w:val="44546A"/>
          <w:sz w:val="18"/>
          <w:szCs w:val="18"/>
        </w:rPr>
        <w:t xml:space="preserve">El mapa de canales · El embudo que hay que instalar</w:t>
      </w:r>
    </w:p>
    <w:p>
      <w:pPr>
        <w:spacing w:after="20" w:before="130"/>
      </w:pPr>
      <w:r>
        <w:rPr>
          <w:b/>
          <w:bCs/>
          <w:color w:val="8C6B2F"/>
          <w:sz w:val="21"/>
          <w:szCs w:val="21"/>
        </w:rPr>
        <w:t xml:space="preserve">Parte 7.  </w:t>
      </w:r>
      <w:r>
        <w:rPr>
          <w:b/>
          <w:bCs/>
          <w:color w:val="1F3864"/>
          <w:sz w:val="21"/>
          <w:szCs w:val="21"/>
        </w:rPr>
        <w:t xml:space="preserve">Estructura de costos</w:t>
      </w:r>
    </w:p>
    <w:p>
      <w:pPr>
        <w:spacing w:after="60" w:line="240"/>
        <w:ind w:left="620"/>
      </w:pPr>
      <w:r>
        <w:rPr>
          <w:color w:val="44546A"/>
          <w:sz w:val="18"/>
          <w:szCs w:val="18"/>
        </w:rPr>
        <w:t xml:space="preserve">Composición típica · Los costos que nadie presupuesta · Punto de equilibrio</w:t>
      </w:r>
    </w:p>
    <w:p>
      <w:pPr>
        <w:spacing w:after="20" w:before="130"/>
      </w:pPr>
      <w:r>
        <w:rPr>
          <w:b/>
          <w:bCs/>
          <w:color w:val="8C6B2F"/>
          <w:sz w:val="21"/>
          <w:szCs w:val="21"/>
        </w:rPr>
        <w:t xml:space="preserve">Parte 8.  </w:t>
      </w:r>
      <w:r>
        <w:rPr>
          <w:b/>
          <w:bCs/>
          <w:color w:val="1F3864"/>
          <w:sz w:val="21"/>
          <w:szCs w:val="21"/>
        </w:rPr>
        <w:t xml:space="preserve">Reparto entre los propietarios</w:t>
      </w:r>
    </w:p>
    <w:p>
      <w:pPr>
        <w:spacing w:after="60" w:line="240"/>
        <w:ind w:left="620"/>
      </w:pPr>
      <w:r>
        <w:rPr>
          <w:color w:val="44546A"/>
          <w:sz w:val="18"/>
          <w:szCs w:val="18"/>
        </w:rPr>
        <w:t xml:space="preserve">Lockstep · Eat What You Kill · Puntos · Lo que hay que decidir por escrito</w:t>
      </w:r>
    </w:p>
    <w:p>
      <w:pPr>
        <w:spacing w:after="20" w:before="130"/>
      </w:pPr>
      <w:r>
        <w:rPr>
          <w:b/>
          <w:bCs/>
          <w:color w:val="8C6B2F"/>
          <w:sz w:val="21"/>
          <w:szCs w:val="21"/>
        </w:rPr>
        <w:t xml:space="preserve">Parte 9.  </w:t>
      </w:r>
      <w:r>
        <w:rPr>
          <w:b/>
          <w:bCs/>
          <w:color w:val="1F3864"/>
          <w:sz w:val="21"/>
          <w:szCs w:val="21"/>
        </w:rPr>
        <w:t xml:space="preserve">Capital, flujo de caja y cuenta fiduciaria</w:t>
      </w:r>
    </w:p>
    <w:p>
      <w:pPr>
        <w:spacing w:after="60" w:line="240"/>
        <w:ind w:left="620"/>
      </w:pPr>
      <w:r>
        <w:rPr>
          <w:color w:val="44546A"/>
          <w:sz w:val="18"/>
          <w:szCs w:val="18"/>
        </w:rPr>
        <w:t xml:space="preserve">El ciclo de caja · Lockup · IOLTA y sus cuatro controles</w:t>
      </w:r>
    </w:p>
    <w:p>
      <w:pPr>
        <w:spacing w:after="20" w:before="130"/>
      </w:pPr>
      <w:r>
        <w:rPr>
          <w:b/>
          <w:bCs/>
          <w:color w:val="8C6B2F"/>
          <w:sz w:val="21"/>
          <w:szCs w:val="21"/>
        </w:rPr>
        <w:t xml:space="preserve">Parte 10.  </w:t>
      </w:r>
      <w:r>
        <w:rPr>
          <w:b/>
          <w:bCs/>
          <w:color w:val="1F3864"/>
          <w:sz w:val="21"/>
          <w:szCs w:val="21"/>
        </w:rPr>
        <w:t xml:space="preserve">Tipologías de firma como modelos de negocio</w:t>
      </w:r>
    </w:p>
    <w:p>
      <w:pPr>
        <w:spacing w:after="60" w:line="240"/>
        <w:ind w:left="620"/>
      </w:pPr>
      <w:r>
        <w:rPr>
          <w:color w:val="44546A"/>
          <w:sz w:val="18"/>
          <w:szCs w:val="18"/>
        </w:rPr>
        <w:t xml:space="preserve">BigLaw · Boutique · Mid-size · Solo · Dónde estamos y hacia dónde ir</w:t>
      </w:r>
    </w:p>
    <w:p>
      <w:pPr>
        <w:spacing w:after="20" w:before="130"/>
      </w:pPr>
      <w:r>
        <w:rPr>
          <w:b/>
          <w:bCs/>
          <w:color w:val="8C6B2F"/>
          <w:sz w:val="21"/>
          <w:szCs w:val="21"/>
        </w:rPr>
        <w:t xml:space="preserve">Parte 11.  </w:t>
      </w:r>
      <w:r>
        <w:rPr>
          <w:b/>
          <w:bCs/>
          <w:color w:val="1F3864"/>
          <w:sz w:val="21"/>
          <w:szCs w:val="21"/>
        </w:rPr>
        <w:t xml:space="preserve">Business Model Canvas de la firma</w:t>
      </w:r>
    </w:p>
    <w:p>
      <w:pPr>
        <w:spacing w:after="60" w:line="240"/>
        <w:ind w:left="620"/>
      </w:pPr>
      <w:r>
        <w:rPr>
          <w:color w:val="44546A"/>
          <w:sz w:val="18"/>
          <w:szCs w:val="18"/>
        </w:rPr>
        <w:t xml:space="preserve">Los nueve bloques aplicados</w:t>
      </w:r>
    </w:p>
    <w:p>
      <w:pPr>
        <w:spacing w:after="20" w:before="130"/>
      </w:pPr>
      <w:r>
        <w:rPr>
          <w:b/>
          <w:bCs/>
          <w:color w:val="8C6B2F"/>
          <w:sz w:val="21"/>
          <w:szCs w:val="21"/>
        </w:rPr>
        <w:t xml:space="preserve">Parte 12.  </w:t>
      </w:r>
      <w:r>
        <w:rPr>
          <w:b/>
          <w:bCs/>
          <w:color w:val="1F3864"/>
          <w:sz w:val="21"/>
          <w:szCs w:val="21"/>
        </w:rPr>
        <w:t xml:space="preserve">Unit economics: cuatro ejemplos trabajados</w:t>
      </w:r>
    </w:p>
    <w:p>
      <w:pPr>
        <w:spacing w:after="60" w:line="240"/>
        <w:ind w:left="620"/>
      </w:pPr>
      <w:r>
        <w:rPr>
          <w:color w:val="44546A"/>
          <w:sz w:val="18"/>
          <w:szCs w:val="18"/>
        </w:rPr>
        <w:t xml:space="preserve">El modelo tradicional · Caso a precio cerrado · Alcance limitado · La firma completa</w:t>
      </w:r>
    </w:p>
    <w:p>
      <w:pPr>
        <w:spacing w:after="20" w:before="130"/>
      </w:pPr>
      <w:r>
        <w:rPr>
          <w:b/>
          <w:bCs/>
          <w:color w:val="8C6B2F"/>
          <w:sz w:val="21"/>
          <w:szCs w:val="21"/>
        </w:rPr>
        <w:t xml:space="preserve">Parte 13.  </w:t>
      </w:r>
      <w:r>
        <w:rPr>
          <w:b/>
          <w:bCs/>
          <w:color w:val="1F3864"/>
          <w:sz w:val="21"/>
          <w:szCs w:val="21"/>
        </w:rPr>
        <w:t xml:space="preserve">Cuadro de mando</w:t>
      </w:r>
    </w:p>
    <w:p>
      <w:pPr>
        <w:spacing w:after="60" w:line="240"/>
        <w:ind w:left="620"/>
      </w:pPr>
      <w:r>
        <w:rPr>
          <w:color w:val="44546A"/>
          <w:sz w:val="18"/>
          <w:szCs w:val="18"/>
        </w:rPr>
        <w:t xml:space="preserve">Financieros · Operativos · Comerciales · Los cinco números del lunes</w:t>
      </w:r>
    </w:p>
    <w:p>
      <w:pPr>
        <w:spacing w:after="20" w:before="130"/>
      </w:pPr>
      <w:r>
        <w:rPr>
          <w:b/>
          <w:bCs/>
          <w:color w:val="8C6B2F"/>
          <w:sz w:val="21"/>
          <w:szCs w:val="21"/>
        </w:rPr>
        <w:t xml:space="preserve">Parte 14.  </w:t>
      </w:r>
      <w:r>
        <w:rPr>
          <w:b/>
          <w:bCs/>
          <w:color w:val="1F3864"/>
          <w:sz w:val="21"/>
          <w:szCs w:val="21"/>
        </w:rPr>
        <w:t xml:space="preserve">Riesgos y restricciones regulatorias</w:t>
      </w:r>
    </w:p>
    <w:p>
      <w:pPr>
        <w:spacing w:after="60" w:line="240"/>
        <w:ind w:left="620"/>
      </w:pPr>
      <w:r>
        <w:rPr>
          <w:color w:val="44546A"/>
          <w:sz w:val="18"/>
          <w:szCs w:val="18"/>
        </w:rPr>
        <w:t xml:space="preserve">Independencia profesional · UPL · Publicidad · Riesgos propios de inmigración</w:t>
      </w:r>
    </w:p>
    <w:p>
      <w:pPr>
        <w:spacing w:after="20" w:before="130"/>
      </w:pPr>
      <w:r>
        <w:rPr>
          <w:b/>
          <w:bCs/>
          <w:color w:val="8C6B2F"/>
          <w:sz w:val="21"/>
          <w:szCs w:val="21"/>
        </w:rPr>
        <w:t xml:space="preserve">Parte 15.  </w:t>
      </w:r>
      <w:r>
        <w:rPr>
          <w:b/>
          <w:bCs/>
          <w:color w:val="1F3864"/>
          <w:sz w:val="21"/>
          <w:szCs w:val="21"/>
        </w:rPr>
        <w:t xml:space="preserve">Palancas de crecimiento y automatización</w:t>
      </w:r>
    </w:p>
    <w:p>
      <w:pPr>
        <w:spacing w:after="60" w:line="240"/>
        <w:ind w:left="620"/>
      </w:pPr>
      <w:r>
        <w:rPr>
          <w:color w:val="44546A"/>
          <w:sz w:val="18"/>
          <w:szCs w:val="18"/>
        </w:rPr>
        <w:t xml:space="preserve">Las cinco palancas · La ruptura del vínculo horas-valor · Las tres condiciones</w:t>
      </w:r>
    </w:p>
    <w:p>
      <w:pPr>
        <w:spacing w:after="20" w:before="130"/>
      </w:pPr>
      <w:r>
        <w:rPr>
          <w:b/>
          <w:bCs/>
          <w:color w:val="8C6B2F"/>
          <w:sz w:val="21"/>
          <w:szCs w:val="21"/>
        </w:rPr>
        <w:t xml:space="preserve">Parte 16.  </w:t>
      </w:r>
      <w:r>
        <w:rPr>
          <w:b/>
          <w:bCs/>
          <w:color w:val="1F3864"/>
          <w:sz w:val="21"/>
          <w:szCs w:val="21"/>
        </w:rPr>
        <w:t xml:space="preserve">Hoja de ruta 0–24 meses</w:t>
      </w:r>
    </w:p>
    <w:p>
      <w:pPr>
        <w:spacing w:after="60" w:line="240"/>
        <w:ind w:left="620"/>
      </w:pPr>
      <w:r>
        <w:rPr>
          <w:color w:val="44546A"/>
          <w:sz w:val="18"/>
          <w:szCs w:val="18"/>
        </w:rPr>
        <w:t xml:space="preserve">Instrumentación · Higiene · Productización · Ingresos · Escala</w:t>
      </w:r>
    </w:p>
    <w:p>
      <w:pPr>
        <w:spacing w:after="60" w:before="130"/>
      </w:pPr>
      <w:r>
        <w:rPr>
          <w:b/>
          <w:bCs/>
          <w:color w:val="8C6B2F"/>
          <w:sz w:val="21"/>
          <w:szCs w:val="21"/>
        </w:rPr>
        <w:t xml:space="preserve">—.  </w:t>
      </w:r>
      <w:r>
        <w:rPr>
          <w:b/>
          <w:bCs/>
          <w:color w:val="1F3864"/>
          <w:sz w:val="21"/>
          <w:szCs w:val="21"/>
        </w:rPr>
        <w:t xml:space="preserve">Resumen ejecutivo</w:t>
      </w:r>
    </w:p>
    <w:p>
      <w:pPr>
        <w:spacing w:after="20" w:before="130"/>
      </w:pPr>
      <w:r>
        <w:rPr>
          <w:b/>
          <w:bCs/>
          <w:color w:val="8C6B2F"/>
          <w:sz w:val="21"/>
          <w:szCs w:val="21"/>
        </w:rPr>
        <w:t xml:space="preserve">Anexo A.  </w:t>
      </w:r>
      <w:r>
        <w:rPr>
          <w:b/>
          <w:bCs/>
          <w:color w:val="1F3864"/>
          <w:sz w:val="21"/>
          <w:szCs w:val="21"/>
        </w:rPr>
        <w:t xml:space="preserve">Datos a levantar</w:t>
      </w:r>
    </w:p>
    <w:p>
      <w:pPr>
        <w:spacing w:after="60" w:line="240"/>
        <w:ind w:left="620"/>
      </w:pPr>
      <w:r>
        <w:rPr>
          <w:color w:val="44546A"/>
          <w:sz w:val="18"/>
          <w:szCs w:val="18"/>
        </w:rPr>
        <w:t xml:space="preserve">Volumen y precio · Costo de entrega · Adquisición · Finanzas</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0. Punto de partida: dónde estamos</w:t>
      </w:r>
    </w:p>
    <w:p>
      <w:pPr>
        <w:spacing w:after="140" w:line="276"/>
      </w:pPr>
      <w:r>
        <w:rPr>
          <w:sz w:val="21"/>
          <w:szCs w:val="21"/>
        </w:rPr>
        <w:t xml:space="preserve">Un modelo de negocio no se diseña en abstracto. Antes de la teoría, el retrato de la firma tal como es hoy.</w:t>
      </w:r>
    </w:p>
    <w:p>
      <w:pPr>
        <w:pStyle w:val="Heading2"/>
        <w:spacing w:after="140" w:before="320"/>
      </w:pPr>
      <w:r>
        <w:rPr>
          <w:rFonts w:ascii="Calibri" w:cs="Calibri" w:eastAsia="Calibri" w:hAnsi="Calibri"/>
          <w:b/>
          <w:bCs/>
          <w:color w:val="1F3864"/>
          <w:sz w:val="25"/>
          <w:szCs w:val="25"/>
        </w:rPr>
        <w:t xml:space="preserve">0.1 Perfil de la firma</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200"/>
        <w:gridCol w:w="7160"/>
      </w:tblGrid>
      <w:tr>
        <w:trPr>
          <w:tblHeader/>
        </w:trPr>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Dimensión</w:t>
            </w:r>
          </w:p>
        </w:tc>
        <w:tc>
          <w:tcPr>
            <w:tcW w:type="dxa" w:w="7160"/>
            <w:shd w:fill="1F3864" w:val="clear"/>
            <w:tcMar>
              <w:top w:type="dxa" w:w="90"/>
              <w:left w:type="dxa" w:w="110"/>
              <w:bottom w:type="dxa" w:w="90"/>
              <w:right w:type="dxa" w:w="110"/>
            </w:tcMar>
          </w:tcPr>
          <w:p>
            <w:pPr>
              <w:spacing w:after="0" w:line="250"/>
            </w:pPr>
            <w:r>
              <w:rPr>
                <w:b/>
                <w:bCs/>
                <w:color w:val="FFFFFF"/>
                <w:sz w:val="19"/>
                <w:szCs w:val="19"/>
              </w:rPr>
              <w:t xml:space="preserve">Situación actual</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Razón social</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Law Offices of Jose R. Santiago, PLLC</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Figura jurídica</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PLLC de Texas (Professional Limited Liability Company)</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Sede</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Katy, Texas</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Áreas de práctica</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Inmigración (familiar, asilo, defensa en corte, naturalización)</w:t>
            </w:r>
          </w:p>
          <w:p>
            <w:pPr>
              <w:spacing w:after="0" w:line="250"/>
            </w:pPr>
            <w:r>
              <w:rPr>
                <w:sz w:val="19"/>
                <w:szCs w:val="19"/>
              </w:rPr>
              <w:t xml:space="preserve">Habeas corpus federal relacionado con detención migratoria</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Principales / propietarios</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Jose R. Santiago (abogado titular)</w:t>
            </w:r>
          </w:p>
          <w:p>
            <w:pPr>
              <w:spacing w:after="0" w:line="250"/>
            </w:pPr>
            <w:r>
              <w:rPr>
                <w:sz w:val="19"/>
                <w:szCs w:val="19"/>
              </w:rPr>
              <w:t xml:space="preserve">Equipo directivo: COO y abogado no litigante (operaciones, asesoría, trabajo no contencioso)</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Personal</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Paralegal de habeas federal: Roberth Suarez</w:t>
            </w:r>
          </w:p>
          <w:p>
            <w:pPr>
              <w:spacing w:after="0" w:line="250"/>
            </w:pPr>
            <w:r>
              <w:rPr>
                <w:sz w:val="19"/>
                <w:szCs w:val="19"/>
              </w:rPr>
              <w:t xml:space="preserve">Resto del equipo: [DATO A COMPLETAR]</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Modelos de ingreso en uso</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Precio cerrado (flat fee) al consumidor</w:t>
            </w:r>
          </w:p>
          <w:p>
            <w:pPr>
              <w:spacing w:after="0" w:line="250"/>
            </w:pPr>
            <w:r>
              <w:rPr>
                <w:sz w:val="19"/>
                <w:szCs w:val="19"/>
              </w:rPr>
              <w:t xml:space="preserve">Modelo de preparación de habeas presentado </w:t>
            </w:r>
            <w:r>
              <w:rPr>
                <w:i/>
                <w:iCs/>
                <w:sz w:val="19"/>
                <w:szCs w:val="19"/>
              </w:rPr>
              <w:t xml:space="preserve">pro se</w:t>
            </w:r>
            <w:r>
              <w:rPr>
                <w:sz w:val="19"/>
                <w:szCs w:val="19"/>
              </w:rPr>
              <w:t xml:space="preserve"> en nombre del cliente</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Volumen mensual de casos nuevos</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[DATO A COMPLETAR]</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Ticket promedio por caso</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[DATO A COMPLETAR]</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Ingreso anual</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[DATO A COMPLETAR]</w:t>
            </w:r>
          </w:p>
        </w:tc>
      </w:tr>
    </w:tbl>
    <w:p>
      <w:pPr>
        <w:spacing w:after="160"/>
      </w:pPr>
    </w:p>
    <w:p>
      <w:pPr>
        <w:pStyle w:val="Heading2"/>
        <w:spacing w:after="140" w:before="320"/>
      </w:pPr>
      <w:r>
        <w:rPr>
          <w:rFonts w:ascii="Calibri" w:cs="Calibri" w:eastAsia="Calibri" w:hAnsi="Calibri"/>
          <w:b/>
          <w:bCs/>
          <w:color w:val="1F3864"/>
          <w:sz w:val="25"/>
          <w:szCs w:val="25"/>
        </w:rPr>
        <w:t xml:space="preserve">0.2 Tres hechos que definen nuestro modelo antes que cualquier otra cosa</w:t>
      </w:r>
    </w:p>
    <w:p>
      <w:pPr>
        <w:pStyle w:val="Heading3"/>
        <w:spacing w:after="100" w:before="240"/>
      </w:pPr>
      <w:r>
        <w:rPr>
          <w:rFonts w:ascii="Calibri" w:cs="Calibri" w:eastAsia="Calibri" w:hAnsi="Calibri"/>
          <w:b/>
          <w:bCs/>
          <w:color w:val="44546A"/>
          <w:sz w:val="22"/>
          <w:szCs w:val="22"/>
        </w:rPr>
        <w:t xml:space="preserve">Hecho 1 — La inmigración es práctica federal, y eso rompe la geografía</w:t>
      </w:r>
    </w:p>
    <w:p>
      <w:pPr>
        <w:spacing w:after="140" w:line="276"/>
      </w:pPr>
      <w:r>
        <w:rPr>
          <w:sz w:val="21"/>
          <w:szCs w:val="21"/>
        </w:rPr>
        <w:t xml:space="preserve">La mayoría de las firmas estadounidenses tienen un mercado limitado por su licencia estatal. Nosotros no, o no del todo: la representación ante USCIS y ante los tribunales de inmigración (EOIR) está abierta a cualquier abogado admitido y en buen estado en </w:t>
      </w:r>
      <w:r>
        <w:rPr>
          <w:b/>
          <w:bCs/>
          <w:sz w:val="21"/>
          <w:szCs w:val="21"/>
        </w:rPr>
        <w:t xml:space="preserve">cualquier</w:t>
      </w:r>
      <w:r>
        <w:rPr>
          <w:sz w:val="21"/>
          <w:szCs w:val="21"/>
        </w:rPr>
        <w:t xml:space="preserve"> jurisdicción de EE. UU. Eso significa que nuestro mercado natural no es Katy, ni el condado de Harris, ni Texas.</w:t>
      </w:r>
    </w:p>
    <w:p>
      <w:pPr>
        <w:spacing w:after="140" w:line="276"/>
      </w:pPr>
      <w:r>
        <w:rPr>
          <w:b/>
          <w:bCs/>
          <w:sz w:val="21"/>
          <w:szCs w:val="21"/>
        </w:rPr>
        <w:t xml:space="preserve">Consecuencia de negocio:</w:t>
      </w:r>
      <w:r>
        <w:rPr>
          <w:sz w:val="21"/>
          <w:szCs w:val="21"/>
        </w:rPr>
        <w:t xml:space="preserve"> el techo de crecimiento no es demográfico, es operativo. No nos limita cuántos inmigrantes viven cerca de la oficina; nos limita cuántos casos podemos captar y entregar bien. Eso cambia por completo la sección de canales (Parte 6) y la de escalamiento (Parte 16).</w:t>
      </w:r>
    </w:p>
    <w:p>
      <w:pPr>
        <w:spacing w:after="140" w:line="276"/>
      </w:pPr>
      <w:r>
        <w:rPr>
          <w:b/>
          <w:bCs/>
          <w:sz w:val="21"/>
          <w:szCs w:val="21"/>
        </w:rPr>
        <w:t xml:space="preserve">Con una excepción importante:</w:t>
      </w:r>
      <w:r>
        <w:rPr>
          <w:sz w:val="21"/>
          <w:szCs w:val="21"/>
        </w:rPr>
        <w:t xml:space="preserve"> el trabajo de habeas corpus y cualquier litigio en corte federal de distrito sí requiere admisión ante ese tribunal específico. La regla 5.05 de Texas (práctica no autorizada) y las reglas locales de cada distrito son el límite real. La geografía vuelve a aparecer en cuanto salimos de la práctica ante agencias federales.</w:t>
      </w:r>
    </w:p>
    <w:p>
      <w:pPr>
        <w:pStyle w:val="Heading3"/>
        <w:spacing w:after="100" w:before="240"/>
      </w:pPr>
      <w:r>
        <w:rPr>
          <w:rFonts w:ascii="Calibri" w:cs="Calibri" w:eastAsia="Calibri" w:hAnsi="Calibri"/>
          <w:b/>
          <w:bCs/>
          <w:color w:val="44546A"/>
          <w:sz w:val="22"/>
          <w:szCs w:val="22"/>
        </w:rPr>
        <w:t xml:space="preserve">Hecho 2 — Cobramos por entregable, no por hora</w:t>
      </w:r>
    </w:p>
    <w:p>
      <w:pPr>
        <w:spacing w:after="140" w:line="276"/>
      </w:pPr>
      <w:r>
        <w:rPr>
          <w:sz w:val="21"/>
          <w:szCs w:val="21"/>
        </w:rPr>
        <w:t xml:space="preserve">El modelo clásico de firma estadounidense —el que produce los organigramas de la Parte 2 y las cifras de PEP de la Parte 3— descansa sobre la hora facturable. Nosotros operamos casi todo a precio cerrado.</w:t>
      </w:r>
    </w:p>
    <w:p>
      <w:pPr>
        <w:spacing w:after="140" w:line="276"/>
      </w:pPr>
      <w:r>
        <w:rPr>
          <w:sz w:val="21"/>
          <w:szCs w:val="21"/>
        </w:rPr>
        <w:t xml:space="preserve">Eso no es una versión inferior del modelo. Es un modelo </w:t>
      </w:r>
      <w:r>
        <w:rPr>
          <w:b/>
          <w:bCs/>
          <w:sz w:val="21"/>
          <w:szCs w:val="21"/>
        </w:rPr>
        <w:t xml:space="preserve">distinto</w:t>
      </w:r>
      <w:r>
        <w:rPr>
          <w:sz w:val="21"/>
          <w:szCs w:val="21"/>
        </w:rPr>
        <w:t xml:space="preserve">, con una matemática distinta: en la hora facturable el margen viene de vender más horas; en el precio cerrado el margen viene de </w:t>
      </w:r>
      <w:r>
        <w:rPr>
          <w:b/>
          <w:bCs/>
          <w:sz w:val="21"/>
          <w:szCs w:val="21"/>
        </w:rPr>
        <w:t xml:space="preserve">necesitar menos horas para el mismo entregable</w:t>
      </w:r>
      <w:r>
        <w:rPr>
          <w:sz w:val="21"/>
          <w:szCs w:val="21"/>
        </w:rPr>
        <w:t xml:space="preserve">. La eficiencia deja de ser una virtud abstracta y se convierte en la fuente literal de la utilidad. Esta es la idea central del documento y reaparece en las Partes 3, 12 y 15.</w:t>
      </w:r>
    </w:p>
    <w:p>
      <w:pPr>
        <w:pStyle w:val="Heading3"/>
        <w:spacing w:after="100" w:before="240"/>
      </w:pPr>
      <w:r>
        <w:rPr>
          <w:rFonts w:ascii="Calibri" w:cs="Calibri" w:eastAsia="Calibri" w:hAnsi="Calibri"/>
          <w:b/>
          <w:bCs/>
          <w:color w:val="44546A"/>
          <w:sz w:val="22"/>
          <w:szCs w:val="22"/>
        </w:rPr>
        <w:t xml:space="preserve">Hecho 3 — Somos una PLLC, no una partnership</w:t>
      </w:r>
    </w:p>
    <w:p>
      <w:pPr>
        <w:spacing w:after="140" w:line="276"/>
      </w:pPr>
      <w:r>
        <w:rPr>
          <w:sz w:val="21"/>
          <w:szCs w:val="21"/>
        </w:rPr>
        <w:t xml:space="preserve">Los términos que estructuran el sector —equity partner, non-equity partner, partner track, PEP— nacen del modelo de asociación. Una PLLC tiene </w:t>
      </w:r>
      <w:r>
        <w:rPr>
          <w:b/>
          <w:bCs/>
          <w:sz w:val="21"/>
          <w:szCs w:val="21"/>
        </w:rPr>
        <w:t xml:space="preserve">members</w:t>
      </w:r>
      <w:r>
        <w:rPr>
          <w:sz w:val="21"/>
          <w:szCs w:val="21"/>
        </w:rPr>
        <w:t xml:space="preserve"> (miembros) y opcionalmente </w:t>
      </w:r>
      <w:r>
        <w:rPr>
          <w:b/>
          <w:bCs/>
          <w:sz w:val="21"/>
          <w:szCs w:val="21"/>
        </w:rPr>
        <w:t xml:space="preserve">managers</w:t>
      </w:r>
      <w:r>
        <w:rPr>
          <w:sz w:val="21"/>
          <w:szCs w:val="21"/>
        </w:rPr>
        <w:t xml:space="preserve">, no socios en sentido estricto. La lógica económica subyacente es la misma, pero el vocabulario, los documentos y la mecánica de admisión son otros. La Parte 1 traduce un mundo al otro.</w:t>
      </w:r>
    </w:p>
    <w:p>
      <w:pPr>
        <w:spacing w:after="12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Lo que este documento intenta responder</w:t>
            </w:r>
          </w:p>
          <w:p>
            <w:pPr>
              <w:spacing w:after="90" w:line="264"/>
            </w:pPr>
            <w:r>
              <w:rPr>
                <w:b/>
                <w:bCs/>
                <w:sz w:val="21"/>
                <w:szCs w:val="21"/>
              </w:rPr>
              <w:t xml:space="preserve">1.</w:t>
            </w:r>
            <w:r>
              <w:rPr>
                <w:sz w:val="21"/>
                <w:szCs w:val="21"/>
              </w:rPr>
              <w:t xml:space="preserve"> ¿Cuál es exactamente el motor que genera nuestra utilidad, y qué palanca la mueve más?</w:t>
            </w:r>
          </w:p>
          <w:p>
            <w:pPr>
              <w:spacing w:after="90" w:line="264"/>
            </w:pPr>
            <w:r>
              <w:rPr>
                <w:b/>
                <w:bCs/>
                <w:sz w:val="21"/>
                <w:szCs w:val="21"/>
              </w:rPr>
              <w:t xml:space="preserve">2.</w:t>
            </w:r>
            <w:r>
              <w:rPr>
                <w:sz w:val="21"/>
                <w:szCs w:val="21"/>
              </w:rPr>
              <w:t xml:space="preserve"> ¿A quién contratamos primero cuando podamos contratar, y por qué a ese rol y no a otro?</w:t>
            </w:r>
          </w:p>
          <w:p>
            <w:pPr>
              <w:spacing w:after="90" w:line="264"/>
            </w:pPr>
            <w:r>
              <w:rPr>
                <w:b/>
                <w:bCs/>
                <w:sz w:val="21"/>
                <w:szCs w:val="21"/>
              </w:rPr>
              <w:t xml:space="preserve">3.</w:t>
            </w:r>
            <w:r>
              <w:rPr>
                <w:sz w:val="21"/>
                <w:szCs w:val="21"/>
              </w:rPr>
              <w:t xml:space="preserve"> ¿Cómo pasamos de vender casos sueltos a tener ingreso predecible?</w:t>
            </w:r>
          </w:p>
          <w:p>
            <w:pPr>
              <w:spacing w:after="90" w:line="264"/>
            </w:pPr>
            <w:r>
              <w:rPr>
                <w:b/>
                <w:bCs/>
                <w:sz w:val="21"/>
                <w:szCs w:val="21"/>
              </w:rPr>
              <w:t xml:space="preserve">4.</w:t>
            </w:r>
            <w:r>
              <w:rPr>
                <w:sz w:val="21"/>
                <w:szCs w:val="21"/>
              </w:rPr>
              <w:t xml:space="preserve"> ¿Qué cinco números hay que mirar cada mes para saber si el negocio está sano?</w:t>
            </w:r>
          </w:p>
          <w:p>
            <w:pPr>
              <w:spacing w:after="90" w:line="264"/>
            </w:pPr>
            <w:r>
              <w:rPr>
                <w:b/>
                <w:bCs/>
                <w:sz w:val="21"/>
                <w:szCs w:val="21"/>
              </w:rPr>
              <w:t xml:space="preserve">5.</w:t>
            </w:r>
            <w:r>
              <w:rPr>
                <w:sz w:val="21"/>
                <w:szCs w:val="21"/>
              </w:rPr>
              <w:t xml:space="preserve"> ¿Qué hace la automatización con nuestro margen, y qué tenemos que cambiar para capturarlo en vez de regalarlo?</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 Marco jurídico y de gobierno</w:t>
      </w:r>
    </w:p>
    <w:p>
      <w:pPr>
        <w:spacing w:after="140" w:line="276"/>
      </w:pPr>
      <w:r>
        <w:rPr>
          <w:sz w:val="21"/>
          <w:szCs w:val="21"/>
        </w:rPr>
        <w:t xml:space="preserve">En español decimos «bufete»; en el ámbito estadounidense el término formal es </w:t>
      </w:r>
      <w:r>
        <w:rPr>
          <w:b/>
          <w:bCs/>
          <w:sz w:val="21"/>
          <w:szCs w:val="21"/>
        </w:rPr>
        <w:t xml:space="preserve">law firm</w:t>
      </w:r>
      <w:r>
        <w:rPr>
          <w:sz w:val="21"/>
          <w:szCs w:val="21"/>
        </w:rPr>
        <w:t xml:space="preserve">. La firma no es una empresa cualquiera: la práctica del derecho es una profesión regulada por cada estado, y eso condiciona qué vehículo societario se puede usar y quién puede ser dueño.</w:t>
      </w:r>
    </w:p>
    <w:p>
      <w:pPr>
        <w:pStyle w:val="Heading2"/>
        <w:spacing w:after="140" w:before="320"/>
      </w:pPr>
      <w:r>
        <w:rPr>
          <w:rFonts w:ascii="Calibri" w:cs="Calibri" w:eastAsia="Calibri" w:hAnsi="Calibri"/>
          <w:b/>
          <w:bCs/>
          <w:color w:val="1F3864"/>
          <w:sz w:val="25"/>
          <w:szCs w:val="25"/>
        </w:rPr>
        <w:t xml:space="preserve">1.1 Las figuras jurídicas disponibles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900"/>
        <w:gridCol w:w="2100"/>
        <w:gridCol w:w="2500"/>
        <w:gridCol w:w="1760"/>
        <w:gridCol w:w="2100"/>
      </w:tblGrid>
      <w:tr>
        <w:trPr>
          <w:tblHeader/>
        </w:trPr>
        <w:tc>
          <w:tcPr>
            <w:tcW w:type="dxa" w:w="900"/>
            <w:shd w:fill="1F3864" w:val="clear"/>
            <w:tcMar>
              <w:top w:type="dxa" w:w="90"/>
              <w:left w:type="dxa" w:w="110"/>
              <w:bottom w:type="dxa" w:w="90"/>
              <w:right w:type="dxa" w:w="110"/>
            </w:tcMar>
          </w:tcPr>
          <w:p>
            <w:pPr>
              <w:spacing w:after="0" w:line="250"/>
            </w:pPr>
            <w:r>
              <w:rPr>
                <w:b/>
                <w:bCs/>
                <w:color w:val="FFFFFF"/>
                <w:sz w:val="19"/>
                <w:szCs w:val="19"/>
              </w:rPr>
              <w:t xml:space="preserve">Figura</w:t>
            </w:r>
          </w:p>
        </w:tc>
        <w:tc>
          <w:tcPr>
            <w:tcW w:type="dxa" w:w="2100"/>
            <w:shd w:fill="1F3864" w:val="clear"/>
            <w:tcMar>
              <w:top w:type="dxa" w:w="90"/>
              <w:left w:type="dxa" w:w="110"/>
              <w:bottom w:type="dxa" w:w="90"/>
              <w:right w:type="dxa" w:w="110"/>
            </w:tcMar>
          </w:tcPr>
          <w:p>
            <w:pPr>
              <w:spacing w:after="0" w:line="250"/>
            </w:pPr>
            <w:r>
              <w:rPr>
                <w:b/>
                <w:bCs/>
                <w:color w:val="FFFFFF"/>
                <w:sz w:val="19"/>
                <w:szCs w:val="19"/>
              </w:rPr>
              <w:t xml:space="preserve">Nombre completo</w:t>
            </w:r>
          </w:p>
        </w:tc>
        <w:tc>
          <w:tcPr>
            <w:tcW w:type="dxa" w:w="2500"/>
            <w:shd w:fill="1F3864" w:val="clear"/>
            <w:tcMar>
              <w:top w:type="dxa" w:w="90"/>
              <w:left w:type="dxa" w:w="110"/>
              <w:bottom w:type="dxa" w:w="90"/>
              <w:right w:type="dxa" w:w="110"/>
            </w:tcMar>
          </w:tcPr>
          <w:p>
            <w:pPr>
              <w:spacing w:after="0" w:line="250"/>
            </w:pPr>
            <w:r>
              <w:rPr>
                <w:b/>
                <w:bCs/>
                <w:color w:val="FFFFFF"/>
                <w:sz w:val="19"/>
                <w:szCs w:val="19"/>
              </w:rPr>
              <w:t xml:space="preserve">Responsabilidad</w:t>
            </w:r>
          </w:p>
        </w:tc>
        <w:tc>
          <w:tcPr>
            <w:tcW w:type="dxa" w:w="1760"/>
            <w:shd w:fill="1F3864" w:val="clear"/>
            <w:tcMar>
              <w:top w:type="dxa" w:w="90"/>
              <w:left w:type="dxa" w:w="110"/>
              <w:bottom w:type="dxa" w:w="90"/>
              <w:right w:type="dxa" w:w="110"/>
            </w:tcMar>
          </w:tcPr>
          <w:p>
            <w:pPr>
              <w:spacing w:after="0" w:line="250"/>
            </w:pPr>
            <w:r>
              <w:rPr>
                <w:b/>
                <w:bCs/>
                <w:color w:val="FFFFFF"/>
                <w:sz w:val="19"/>
                <w:szCs w:val="19"/>
              </w:rPr>
              <w:t xml:space="preserve">Fiscalidad típica</w:t>
            </w:r>
          </w:p>
        </w:tc>
        <w:tc>
          <w:tcPr>
            <w:tcW w:type="dxa" w:w="2100"/>
            <w:shd w:fill="1F3864" w:val="clear"/>
            <w:tcMar>
              <w:top w:type="dxa" w:w="90"/>
              <w:left w:type="dxa" w:w="110"/>
              <w:bottom w:type="dxa" w:w="90"/>
              <w:right w:type="dxa" w:w="110"/>
            </w:tcMar>
          </w:tcPr>
          <w:p>
            <w:pPr>
              <w:spacing w:after="0" w:line="250"/>
            </w:pPr>
            <w:r>
              <w:rPr>
                <w:b/>
                <w:bCs/>
                <w:color w:val="FFFFFF"/>
                <w:sz w:val="19"/>
                <w:szCs w:val="19"/>
              </w:rPr>
              <w:t xml:space="preserve">Uso habitual</w:t>
            </w:r>
          </w:p>
        </w:tc>
      </w:tr>
      <w:tr>
        <w:tc>
          <w:tcPr>
            <w:tcW w:type="dxa" w:w="900"/>
            <w:shd w:fill="FFFFFF" w:val="clear"/>
            <w:tcMar>
              <w:top w:type="dxa" w:w="80"/>
              <w:left w:type="dxa" w:w="110"/>
              <w:bottom w:type="dxa" w:w="80"/>
              <w:right w:type="dxa" w:w="110"/>
            </w:tcMar>
            <w:vAlign w:val="center"/>
          </w:tcPr>
          <w:p>
            <w:pPr>
              <w:spacing w:after="0" w:line="250"/>
            </w:pPr>
            <w:r>
              <w:rPr>
                <w:sz w:val="19"/>
                <w:szCs w:val="19"/>
              </w:rPr>
              <w:t xml:space="preserve">LLP</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Limited Liability Partnership</w:t>
            </w:r>
          </w:p>
        </w:tc>
        <w:tc>
          <w:tcPr>
            <w:tcW w:type="dxa" w:w="2500"/>
            <w:shd w:fill="FFFFFF" w:val="clear"/>
            <w:tcMar>
              <w:top w:type="dxa" w:w="80"/>
              <w:left w:type="dxa" w:w="110"/>
              <w:bottom w:type="dxa" w:w="80"/>
              <w:right w:type="dxa" w:w="110"/>
            </w:tcMar>
            <w:vAlign w:val="center"/>
          </w:tcPr>
          <w:p>
            <w:pPr>
              <w:spacing w:after="0" w:line="250"/>
            </w:pPr>
            <w:r>
              <w:rPr>
                <w:sz w:val="19"/>
                <w:szCs w:val="19"/>
              </w:rPr>
              <w:t xml:space="preserve">Cada socio responde por su propia negligencia, no por la de los demás</w:t>
            </w:r>
          </w:p>
        </w:tc>
        <w:tc>
          <w:tcPr>
            <w:tcW w:type="dxa" w:w="1760"/>
            <w:shd w:fill="FFFFFF" w:val="clear"/>
            <w:tcMar>
              <w:top w:type="dxa" w:w="80"/>
              <w:left w:type="dxa" w:w="110"/>
              <w:bottom w:type="dxa" w:w="80"/>
              <w:right w:type="dxa" w:w="110"/>
            </w:tcMar>
            <w:vAlign w:val="center"/>
          </w:tcPr>
          <w:p>
            <w:pPr>
              <w:spacing w:after="0" w:line="250"/>
            </w:pPr>
            <w:r>
              <w:rPr>
                <w:sz w:val="19"/>
                <w:szCs w:val="19"/>
              </w:rPr>
              <w:t xml:space="preserve">Pass-through (K-1)</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Estándar en firmas medianas y grandes</w:t>
            </w:r>
          </w:p>
        </w:tc>
      </w:tr>
      <w:tr>
        <w:tc>
          <w:tcPr>
            <w:tcW w:type="dxa" w:w="900"/>
            <w:shd w:fill="F5F7FA" w:val="clear"/>
            <w:tcMar>
              <w:top w:type="dxa" w:w="80"/>
              <w:left w:type="dxa" w:w="110"/>
              <w:bottom w:type="dxa" w:w="80"/>
              <w:right w:type="dxa" w:w="110"/>
            </w:tcMar>
            <w:vAlign w:val="center"/>
          </w:tcPr>
          <w:p>
            <w:pPr>
              <w:spacing w:after="0" w:line="250"/>
            </w:pPr>
            <w:r>
              <w:rPr>
                <w:sz w:val="19"/>
                <w:szCs w:val="19"/>
              </w:rPr>
              <w:t xml:space="preserve">PLLC</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Professional Limited Liability Company</w:t>
            </w:r>
          </w:p>
        </w:tc>
        <w:tc>
          <w:tcPr>
            <w:tcW w:type="dxa" w:w="2500"/>
            <w:shd w:fill="F5F7FA" w:val="clear"/>
            <w:tcMar>
              <w:top w:type="dxa" w:w="80"/>
              <w:left w:type="dxa" w:w="110"/>
              <w:bottom w:type="dxa" w:w="80"/>
              <w:right w:type="dxa" w:w="110"/>
            </w:tcMar>
            <w:vAlign w:val="center"/>
          </w:tcPr>
          <w:p>
            <w:pPr>
              <w:spacing w:after="0" w:line="250"/>
            </w:pPr>
            <w:r>
              <w:rPr>
                <w:sz w:val="19"/>
                <w:szCs w:val="19"/>
              </w:rPr>
              <w:t xml:space="preserve">Escudo de responsabilidad salvo negligencia propia</w:t>
            </w:r>
          </w:p>
        </w:tc>
        <w:tc>
          <w:tcPr>
            <w:tcW w:type="dxa" w:w="1760"/>
            <w:shd w:fill="F5F7FA" w:val="clear"/>
            <w:tcMar>
              <w:top w:type="dxa" w:w="80"/>
              <w:left w:type="dxa" w:w="110"/>
              <w:bottom w:type="dxa" w:w="80"/>
              <w:right w:type="dxa" w:w="110"/>
            </w:tcMar>
            <w:vAlign w:val="center"/>
          </w:tcPr>
          <w:p>
            <w:pPr>
              <w:spacing w:after="0" w:line="250"/>
            </w:pPr>
            <w:r>
              <w:rPr>
                <w:sz w:val="19"/>
                <w:szCs w:val="19"/>
              </w:rPr>
              <w:t xml:space="preserve">Pass-through; posible elección S-Corp</w:t>
            </w:r>
          </w:p>
        </w:tc>
        <w:tc>
          <w:tcPr>
            <w:tcW w:type="dxa" w:w="2100"/>
            <w:shd w:fill="F5F7FA" w:val="clear"/>
            <w:tcMar>
              <w:top w:type="dxa" w:w="80"/>
              <w:left w:type="dxa" w:w="110"/>
              <w:bottom w:type="dxa" w:w="80"/>
              <w:right w:type="dxa" w:w="110"/>
            </w:tcMar>
            <w:vAlign w:val="center"/>
          </w:tcPr>
          <w:p>
            <w:pPr>
              <w:spacing w:after="0" w:line="250"/>
            </w:pPr>
            <w:r>
              <w:rPr>
                <w:b/>
                <w:bCs/>
                <w:sz w:val="19"/>
                <w:szCs w:val="19"/>
              </w:rPr>
              <w:t xml:space="preserve">Nuestra figura.</w:t>
            </w:r>
            <w:r>
              <w:rPr>
                <w:sz w:val="19"/>
                <w:szCs w:val="19"/>
              </w:rPr>
              <w:t xml:space="preserve"> Firmas pequeñas y medianas</w:t>
            </w:r>
          </w:p>
        </w:tc>
      </w:tr>
      <w:tr>
        <w:tc>
          <w:tcPr>
            <w:tcW w:type="dxa" w:w="900"/>
            <w:shd w:fill="FFFFFF" w:val="clear"/>
            <w:tcMar>
              <w:top w:type="dxa" w:w="80"/>
              <w:left w:type="dxa" w:w="110"/>
              <w:bottom w:type="dxa" w:w="80"/>
              <w:right w:type="dxa" w:w="110"/>
            </w:tcMar>
            <w:vAlign w:val="center"/>
          </w:tcPr>
          <w:p>
            <w:pPr>
              <w:spacing w:after="0" w:line="250"/>
            </w:pPr>
            <w:r>
              <w:rPr>
                <w:sz w:val="19"/>
                <w:szCs w:val="19"/>
              </w:rPr>
              <w:t xml:space="preserve">PC / PA</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Professional Corporation / Association</w:t>
            </w:r>
          </w:p>
        </w:tc>
        <w:tc>
          <w:tcPr>
            <w:tcW w:type="dxa" w:w="2500"/>
            <w:shd w:fill="FFFFFF" w:val="clear"/>
            <w:tcMar>
              <w:top w:type="dxa" w:w="80"/>
              <w:left w:type="dxa" w:w="110"/>
              <w:bottom w:type="dxa" w:w="80"/>
              <w:right w:type="dxa" w:w="110"/>
            </w:tcMar>
            <w:vAlign w:val="center"/>
          </w:tcPr>
          <w:p>
            <w:pPr>
              <w:spacing w:after="0" w:line="250"/>
            </w:pPr>
            <w:r>
              <w:rPr>
                <w:sz w:val="19"/>
                <w:szCs w:val="19"/>
              </w:rPr>
              <w:t xml:space="preserve">Corporativa, con excepción por mala praxis propia</w:t>
            </w:r>
          </w:p>
        </w:tc>
        <w:tc>
          <w:tcPr>
            <w:tcW w:type="dxa" w:w="1760"/>
            <w:shd w:fill="FFFFFF" w:val="clear"/>
            <w:tcMar>
              <w:top w:type="dxa" w:w="80"/>
              <w:left w:type="dxa" w:w="110"/>
              <w:bottom w:type="dxa" w:w="80"/>
              <w:right w:type="dxa" w:w="110"/>
            </w:tcMar>
            <w:vAlign w:val="center"/>
          </w:tcPr>
          <w:p>
            <w:pPr>
              <w:spacing w:after="0" w:line="250"/>
            </w:pPr>
            <w:r>
              <w:rPr>
                <w:sz w:val="19"/>
                <w:szCs w:val="19"/>
              </w:rPr>
              <w:t xml:space="preserve">C-Corp o elección S-Corp</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Común en CA, TX, FL</w:t>
            </w:r>
          </w:p>
        </w:tc>
      </w:tr>
      <w:tr>
        <w:tc>
          <w:tcPr>
            <w:tcW w:type="dxa" w:w="900"/>
            <w:shd w:fill="F5F7FA" w:val="clear"/>
            <w:tcMar>
              <w:top w:type="dxa" w:w="80"/>
              <w:left w:type="dxa" w:w="110"/>
              <w:bottom w:type="dxa" w:w="80"/>
              <w:right w:type="dxa" w:w="110"/>
            </w:tcMar>
            <w:vAlign w:val="center"/>
          </w:tcPr>
          <w:p>
            <w:pPr>
              <w:spacing w:after="0" w:line="250"/>
            </w:pPr>
            <w:r>
              <w:rPr>
                <w:sz w:val="19"/>
                <w:szCs w:val="19"/>
              </w:rPr>
              <w:t xml:space="preserve">GP</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General Partnership</w:t>
            </w:r>
          </w:p>
        </w:tc>
        <w:tc>
          <w:tcPr>
            <w:tcW w:type="dxa" w:w="2500"/>
            <w:shd w:fill="F5F7FA" w:val="clear"/>
            <w:tcMar>
              <w:top w:type="dxa" w:w="80"/>
              <w:left w:type="dxa" w:w="110"/>
              <w:bottom w:type="dxa" w:w="80"/>
              <w:right w:type="dxa" w:w="110"/>
            </w:tcMar>
            <w:vAlign w:val="center"/>
          </w:tcPr>
          <w:p>
            <w:pPr>
              <w:spacing w:after="0" w:line="250"/>
            </w:pPr>
            <w:r>
              <w:rPr>
                <w:sz w:val="19"/>
                <w:szCs w:val="19"/>
              </w:rPr>
              <w:t xml:space="preserve">Ilimitada y solidaria</w:t>
            </w:r>
          </w:p>
        </w:tc>
        <w:tc>
          <w:tcPr>
            <w:tcW w:type="dxa" w:w="1760"/>
            <w:shd w:fill="F5F7FA" w:val="clear"/>
            <w:tcMar>
              <w:top w:type="dxa" w:w="80"/>
              <w:left w:type="dxa" w:w="110"/>
              <w:bottom w:type="dxa" w:w="80"/>
              <w:right w:type="dxa" w:w="110"/>
            </w:tcMar>
            <w:vAlign w:val="center"/>
          </w:tcPr>
          <w:p>
            <w:pPr>
              <w:spacing w:after="0" w:line="250"/>
            </w:pPr>
            <w:r>
              <w:rPr>
                <w:sz w:val="19"/>
                <w:szCs w:val="19"/>
              </w:rPr>
              <w:t xml:space="preserve">Pass-through</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Residual; casi extinta por el riesgo</w:t>
            </w:r>
          </w:p>
        </w:tc>
      </w:tr>
      <w:tr>
        <w:tc>
          <w:tcPr>
            <w:tcW w:type="dxa" w:w="900"/>
            <w:shd w:fill="FFFFFF" w:val="clear"/>
            <w:tcMar>
              <w:top w:type="dxa" w:w="80"/>
              <w:left w:type="dxa" w:w="110"/>
              <w:bottom w:type="dxa" w:w="80"/>
              <w:right w:type="dxa" w:w="110"/>
            </w:tcMar>
            <w:vAlign w:val="center"/>
          </w:tcPr>
          <w:p>
            <w:pPr>
              <w:spacing w:after="0" w:line="250"/>
            </w:pPr>
            <w:r>
              <w:rPr>
                <w:sz w:val="19"/>
                <w:szCs w:val="19"/>
              </w:rPr>
              <w:t xml:space="preserve">Sole Prop.</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Sole Proprietorship</w:t>
            </w:r>
          </w:p>
        </w:tc>
        <w:tc>
          <w:tcPr>
            <w:tcW w:type="dxa" w:w="2500"/>
            <w:shd w:fill="FFFFFF" w:val="clear"/>
            <w:tcMar>
              <w:top w:type="dxa" w:w="80"/>
              <w:left w:type="dxa" w:w="110"/>
              <w:bottom w:type="dxa" w:w="80"/>
              <w:right w:type="dxa" w:w="110"/>
            </w:tcMar>
            <w:vAlign w:val="center"/>
          </w:tcPr>
          <w:p>
            <w:pPr>
              <w:spacing w:after="0" w:line="250"/>
            </w:pPr>
            <w:r>
              <w:rPr>
                <w:sz w:val="19"/>
                <w:szCs w:val="19"/>
              </w:rPr>
              <w:t xml:space="preserve">Ilimitada</w:t>
            </w:r>
          </w:p>
        </w:tc>
        <w:tc>
          <w:tcPr>
            <w:tcW w:type="dxa" w:w="1760"/>
            <w:shd w:fill="FFFFFF" w:val="clear"/>
            <w:tcMar>
              <w:top w:type="dxa" w:w="80"/>
              <w:left w:type="dxa" w:w="110"/>
              <w:bottom w:type="dxa" w:w="80"/>
              <w:right w:type="dxa" w:w="110"/>
            </w:tcMar>
            <w:vAlign w:val="center"/>
          </w:tcPr>
          <w:p>
            <w:pPr>
              <w:spacing w:after="0" w:line="250"/>
            </w:pPr>
            <w:r>
              <w:rPr>
                <w:sz w:val="19"/>
                <w:szCs w:val="19"/>
              </w:rPr>
              <w:t xml:space="preserve">Schedule C</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Abogado solo sin entidad</w:t>
            </w:r>
          </w:p>
        </w:tc>
      </w:tr>
    </w:tbl>
    <w:p>
      <w:pPr>
        <w:spacing w:after="160"/>
      </w:pPr>
    </w:p>
    <w:p>
      <w:pPr>
        <w:pStyle w:val="Heading3"/>
        <w:spacing w:after="100" w:before="240"/>
      </w:pPr>
      <w:r>
        <w:rPr>
          <w:rFonts w:ascii="Calibri" w:cs="Calibri" w:eastAsia="Calibri" w:hAnsi="Calibri"/>
          <w:b/>
          <w:bCs/>
          <w:color w:val="44546A"/>
          <w:sz w:val="22"/>
          <w:szCs w:val="22"/>
        </w:rPr>
        <w:t xml:space="preserve">Tres consecuencias que sí son de negocio, no de papeleo</w:t>
      </w:r>
    </w:p>
    <w:p>
      <w:pPr>
        <w:pStyle w:val="ListParagraph"/>
        <w:numPr>
          <w:ilvl w:val="0"/>
          <w:numId w:val="2"/>
        </w:numPr>
        <w:spacing w:after="70" w:line="264"/>
      </w:pPr>
      <w:r>
        <w:rPr>
          <w:b/>
          <w:bCs/>
          <w:sz w:val="21"/>
          <w:szCs w:val="21"/>
        </w:rPr>
        <w:t xml:space="preserve">El escudo nunca cubre la mala praxis propia.</w:t>
      </w:r>
      <w:r>
        <w:rPr>
          <w:sz w:val="21"/>
          <w:szCs w:val="21"/>
        </w:rPr>
        <w:t xml:space="preserve"> Ninguna figura protege al abogado que cometió el error. Por eso el seguro de responsabilidad profesional (</w:t>
      </w:r>
      <w:r>
        <w:rPr>
          <w:b/>
          <w:bCs/>
          <w:sz w:val="21"/>
          <w:szCs w:val="21"/>
        </w:rPr>
        <w:t xml:space="preserve">LPL — Lawyers Professional Liability</w:t>
      </w:r>
      <w:r>
        <w:rPr>
          <w:sz w:val="21"/>
          <w:szCs w:val="21"/>
        </w:rPr>
        <w:t xml:space="preserve">) no es opcional: es una línea de costo estructural, no un gasto discrecional.</w:t>
      </w:r>
    </w:p>
    <w:p>
      <w:pPr>
        <w:pStyle w:val="ListParagraph"/>
        <w:numPr>
          <w:ilvl w:val="0"/>
          <w:numId w:val="2"/>
        </w:numPr>
        <w:spacing w:after="70" w:line="264"/>
      </w:pPr>
      <w:r>
        <w:rPr>
          <w:b/>
          <w:bCs/>
          <w:sz w:val="21"/>
          <w:szCs w:val="21"/>
        </w:rPr>
        <w:t xml:space="preserve">Pass-through significa que la firma no acumula utilidades retenidas.</w:t>
      </w:r>
      <w:r>
        <w:rPr>
          <w:sz w:val="21"/>
          <w:szCs w:val="21"/>
        </w:rPr>
        <w:t xml:space="preserve"> Casi todo el beneficio se distribuye cada año y tributa en la declaración personal de los miembros. Consecuencia directa: </w:t>
      </w:r>
      <w:r>
        <w:rPr>
          <w:b/>
          <w:bCs/>
          <w:sz w:val="21"/>
          <w:szCs w:val="21"/>
        </w:rPr>
        <w:t xml:space="preserve">la firma no capitaliza como una empresa normal.</w:t>
      </w:r>
      <w:r>
        <w:rPr>
          <w:sz w:val="21"/>
          <w:szCs w:val="21"/>
        </w:rPr>
        <w:t xml:space="preserve"> El crecimiento se financia con aportes de los miembros y deuda, no con reinversión de utilidades. Esta es una restricción estructural del sector completo, no un defecto de gestión.</w:t>
      </w:r>
    </w:p>
    <w:p>
      <w:pPr>
        <w:pStyle w:val="ListParagraph"/>
        <w:numPr>
          <w:ilvl w:val="0"/>
          <w:numId w:val="2"/>
        </w:numPr>
        <w:spacing w:after="70" w:line="264"/>
      </w:pPr>
      <w:r>
        <w:rPr>
          <w:b/>
          <w:bCs/>
          <w:sz w:val="21"/>
          <w:szCs w:val="21"/>
        </w:rPr>
        <w:t xml:space="preserve">Doble registro.</w:t>
      </w:r>
      <w:r>
        <w:rPr>
          <w:sz w:val="21"/>
          <w:szCs w:val="21"/>
        </w:rPr>
        <w:t xml:space="preserve"> La entidad se registra ante el Secretario de Estado </w:t>
      </w:r>
      <w:r>
        <w:rPr>
          <w:i/>
          <w:iCs/>
          <w:sz w:val="21"/>
          <w:szCs w:val="21"/>
        </w:rPr>
        <w:t xml:space="preserve">y</w:t>
      </w:r>
      <w:r>
        <w:rPr>
          <w:sz w:val="21"/>
          <w:szCs w:val="21"/>
        </w:rPr>
        <w:t xml:space="preserve"> debe cumplir los requisitos del colegio estatal. En Texas, los propietarios de una PLLC de práctica jurídica deben ser abogados licenciados.</w:t>
      </w:r>
    </w:p>
    <w:p>
      <w:pPr>
        <w:spacing w:after="12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qué significa ser PLLC</w:t>
            </w:r>
          </w:p>
          <w:p>
            <w:pPr>
              <w:spacing w:after="90" w:line="264"/>
            </w:pPr>
            <w:r>
              <w:rPr>
                <w:b/>
                <w:bCs/>
                <w:sz w:val="21"/>
                <w:szCs w:val="21"/>
              </w:rPr>
              <w:t xml:space="preserve">Vocabulario correcto.</w:t>
            </w:r>
            <w:r>
              <w:rPr>
                <w:sz w:val="21"/>
                <w:szCs w:val="21"/>
              </w:rPr>
              <w:t xml:space="preserve"> No tenemos «socios»: tenemos </w:t>
            </w:r>
            <w:r>
              <w:rPr>
                <w:b/>
                <w:bCs/>
                <w:sz w:val="21"/>
                <w:szCs w:val="21"/>
              </w:rPr>
              <w:t xml:space="preserve">members</w:t>
            </w:r>
            <w:r>
              <w:rPr>
                <w:sz w:val="21"/>
                <w:szCs w:val="21"/>
              </w:rPr>
              <w:t xml:space="preserve">. No tenemos un </w:t>
            </w:r>
            <w:r>
              <w:rPr>
                <w:i/>
                <w:iCs/>
                <w:sz w:val="21"/>
                <w:szCs w:val="21"/>
              </w:rPr>
              <w:t xml:space="preserve">partnership agreement</w:t>
            </w:r>
            <w:r>
              <w:rPr>
                <w:sz w:val="21"/>
                <w:szCs w:val="21"/>
              </w:rPr>
              <w:t xml:space="preserve">: tenemos un </w:t>
            </w:r>
            <w:r>
              <w:rPr>
                <w:b/>
                <w:bCs/>
                <w:sz w:val="21"/>
                <w:szCs w:val="21"/>
              </w:rPr>
              <w:t xml:space="preserve">Company Agreement</w:t>
            </w:r>
            <w:r>
              <w:rPr>
                <w:sz w:val="21"/>
                <w:szCs w:val="21"/>
              </w:rPr>
              <w:t xml:space="preserve"> (el nombre que usa el Texas Business Organizations Code para el operating agreement). Cuando la Parte 8 hable de reparto entre socios, léase «distribuciones entre members».</w:t>
            </w:r>
          </w:p>
          <w:p>
            <w:pPr>
              <w:spacing w:after="90" w:line="264"/>
            </w:pPr>
            <w:r>
              <w:rPr>
                <w:b/>
                <w:bCs/>
                <w:sz w:val="21"/>
                <w:szCs w:val="21"/>
              </w:rPr>
              <w:t xml:space="preserve">El documento que más rendimiento da por hora invertida.</w:t>
            </w:r>
            <w:r>
              <w:rPr>
                <w:sz w:val="21"/>
                <w:szCs w:val="21"/>
              </w:rPr>
              <w:t xml:space="preserve"> En una firma de pocas personas la tentación es no formalizar nada porque «ya nos entendemos». El Company Agreement es donde se define, </w:t>
            </w:r>
            <w:r>
              <w:rPr>
                <w:i/>
                <w:iCs/>
                <w:sz w:val="21"/>
                <w:szCs w:val="21"/>
              </w:rPr>
              <w:t xml:space="preserve">antes</w:t>
            </w:r>
            <w:r>
              <w:rPr>
                <w:sz w:val="21"/>
                <w:szCs w:val="21"/>
              </w:rPr>
              <w:t xml:space="preserve"> de que haya dinero o conflicto en juego: cómo se admite un miembro nuevo, cómo se valora su participación, qué pasa si uno se va o fallece, cómo se reparten las distribuciones, y quién decide qué. Sin él, la ley supletoria de Texas decide por nosotros, y decide mal para nuestro caso.</w:t>
            </w:r>
          </w:p>
          <w:p>
            <w:pPr>
              <w:spacing w:after="90" w:line="264"/>
            </w:pPr>
            <w:r>
              <w:rPr>
                <w:b/>
                <w:bCs/>
                <w:sz w:val="21"/>
                <w:szCs w:val="21"/>
              </w:rPr>
              <w:t xml:space="preserve">Elección fiscal.</w:t>
            </w:r>
            <w:r>
              <w:rPr>
                <w:sz w:val="21"/>
                <w:szCs w:val="21"/>
              </w:rPr>
              <w:t xml:space="preserve"> Una PLLC puede tributar como sociedad de personas o elegir tratamiento S-Corp, lo que cambia la mezcla entre salario razonable y distribución. Es una decisión de CPA, no de este documento, pero tiene efecto directo sobre el flujo de caja personal de los miembros. Marcarla como pendiente de revisión anual.</w:t>
            </w:r>
          </w:p>
          <w:p>
            <w:pPr>
              <w:spacing w:after="90" w:line="264"/>
            </w:pPr>
            <w:r>
              <w:rPr>
                <w:b/>
                <w:bCs/>
                <w:sz w:val="21"/>
                <w:szCs w:val="21"/>
              </w:rPr>
              <w:t xml:space="preserve">Seguro LPL.</w:t>
            </w:r>
            <w:r>
              <w:rPr>
                <w:sz w:val="21"/>
                <w:szCs w:val="21"/>
              </w:rPr>
              <w:t xml:space="preserve"> Verificar que la cobertura corresponde al perfil de riesgo real: inmigración de alto volumen, plazos perentorios y trabajo de habeas tienen exposiciones distintas. Un límite pensado para una práctica transaccional pequeña puede quedarse corto.</w:t>
            </w:r>
          </w:p>
        </w:tc>
      </w:tr>
    </w:tbl>
    <w:p>
      <w:pPr>
        <w:spacing w:after="160"/>
      </w:pPr>
    </w:p>
    <w:p>
      <w:pPr>
        <w:pStyle w:val="Heading2"/>
        <w:spacing w:after="140" w:before="320"/>
      </w:pPr>
      <w:r>
        <w:rPr>
          <w:rFonts w:ascii="Calibri" w:cs="Calibri" w:eastAsia="Calibri" w:hAnsi="Calibri"/>
          <w:b/>
          <w:bCs/>
          <w:color w:val="1F3864"/>
          <w:sz w:val="25"/>
          <w:szCs w:val="25"/>
        </w:rPr>
        <w:t xml:space="preserve">1.2 Gobierno: quién decide qué</w:t>
      </w:r>
    </w:p>
    <w:p>
      <w:pPr>
        <w:spacing w:after="140" w:line="276"/>
      </w:pPr>
      <w:r>
        <w:rPr>
          <w:sz w:val="21"/>
          <w:szCs w:val="21"/>
        </w:rPr>
        <w:t xml:space="preserve">En una firma grande, el gobierno se ve así:</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                    [ Partnership / Company Agreement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Managing Partner ]              [ Executive Committee ]</w:t>
            </w:r>
          </w:p>
          <w:p>
            <w:pPr>
              <w:spacing w:after="0" w:line="216"/>
            </w:pPr>
            <w:r>
              <w:rPr>
                <w:rFonts w:ascii="Consolas" w:cs="Consolas" w:eastAsia="Consolas" w:hAnsi="Consolas"/>
                <w:sz w:val="15"/>
                <w:szCs w:val="15"/>
              </w:rPr>
              <w:t xml:space="preserve">                    |                                 |</w:t>
            </w:r>
          </w:p>
          <w:p>
            <w:pPr>
              <w:spacing w:after="0" w:line="216"/>
            </w:pPr>
            <w:r>
              <w:rPr>
                <w:rFonts w:ascii="Consolas" w:cs="Consolas" w:eastAsia="Consolas" w:hAnsi="Consolas"/>
                <w:sz w:val="15"/>
                <w:szCs w:val="15"/>
              </w:rPr>
              <w:t xml:space="preserve">    +---------------+---------------+     +-----------+---------------+</w:t>
            </w:r>
          </w:p>
          <w:p>
            <w:pPr>
              <w:spacing w:after="0" w:line="216"/>
            </w:pPr>
            <w:r>
              <w:rPr>
                <w:rFonts w:ascii="Consolas" w:cs="Consolas" w:eastAsia="Consolas" w:hAnsi="Consolas"/>
                <w:sz w:val="15"/>
                <w:szCs w:val="15"/>
              </w:rPr>
              <w:t xml:space="preserve">[ Practice Group  ] |  [ Office     ]   [ Compensation ] [ Conflicts /  ]</w:t>
            </w:r>
          </w:p>
          <w:p>
            <w:pPr>
              <w:spacing w:after="0" w:line="216"/>
            </w:pPr>
            <w:r>
              <w:rPr>
                <w:rFonts w:ascii="Consolas" w:cs="Consolas" w:eastAsia="Consolas" w:hAnsi="Consolas"/>
                <w:sz w:val="15"/>
                <w:szCs w:val="15"/>
              </w:rPr>
              <w:t xml:space="preserve">[ Leaders (PGL)   ] |  [ Managing   ]   [ Committee    ] [ Ethics Cmte. ]</w:t>
            </w:r>
          </w:p>
          <w:p>
            <w:pPr>
              <w:spacing w:after="0" w:line="216"/>
            </w:pPr>
            <w:r>
              <w:rPr>
                <w:rFonts w:ascii="Consolas" w:cs="Consolas" w:eastAsia="Consolas" w:hAnsi="Consolas"/>
                <w:sz w:val="15"/>
                <w:szCs w:val="15"/>
              </w:rPr>
              <w:t xml:space="preserve">                    |  [ Partners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C-Suite:  COO · CFO · CMO/CBDO · CIO · CHRO · GC de la firma ]</w:t>
            </w:r>
          </w:p>
        </w:tc>
      </w:tr>
    </w:tbl>
    <w:p>
      <w:pPr>
        <w:spacing w:after="140"/>
      </w:pPr>
    </w:p>
    <w:p>
      <w:pPr>
        <w:pStyle w:val="ListParagraph"/>
        <w:numPr>
          <w:ilvl w:val="0"/>
          <w:numId w:val="2"/>
        </w:numPr>
        <w:spacing w:after="70" w:line="264"/>
      </w:pPr>
      <w:r>
        <w:rPr>
          <w:b/>
          <w:bCs/>
          <w:sz w:val="21"/>
          <w:szCs w:val="21"/>
        </w:rPr>
        <w:t xml:space="preserve">Company / Partnership Agreement</w:t>
      </w:r>
      <w:r>
        <w:rPr>
          <w:sz w:val="21"/>
          <w:szCs w:val="21"/>
        </w:rPr>
        <w:t xml:space="preserve"> — el documento constitucional. Admisión y salida de miembros, fórmula de reparto, aportes de capital, retiro, disolución. Es el contrato que gobierna todo el reparto del valor.</w:t>
      </w:r>
    </w:p>
    <w:p>
      <w:pPr>
        <w:pStyle w:val="ListParagraph"/>
        <w:numPr>
          <w:ilvl w:val="0"/>
          <w:numId w:val="2"/>
        </w:numPr>
        <w:spacing w:after="70" w:line="264"/>
      </w:pPr>
      <w:r>
        <w:rPr>
          <w:b/>
          <w:bCs/>
          <w:sz w:val="21"/>
          <w:szCs w:val="21"/>
        </w:rPr>
        <w:t xml:space="preserve">Managing Partner</w:t>
      </w:r>
      <w:r>
        <w:rPr>
          <w:sz w:val="21"/>
          <w:szCs w:val="21"/>
        </w:rPr>
        <w:t xml:space="preserve"> — equivalente funcional al CEO: estrategia, finanzas, expansión, gestión diaria. En firmas grandes puede no facturar horas.</w:t>
      </w:r>
    </w:p>
    <w:p>
      <w:pPr>
        <w:pStyle w:val="ListParagraph"/>
        <w:numPr>
          <w:ilvl w:val="0"/>
          <w:numId w:val="2"/>
        </w:numPr>
        <w:spacing w:after="70" w:line="264"/>
      </w:pPr>
      <w:r>
        <w:rPr>
          <w:b/>
          <w:bCs/>
          <w:sz w:val="21"/>
          <w:szCs w:val="21"/>
        </w:rPr>
        <w:t xml:space="preserve">Executive Committee</w:t>
      </w:r>
      <w:r>
        <w:rPr>
          <w:sz w:val="21"/>
          <w:szCs w:val="21"/>
        </w:rPr>
        <w:t xml:space="preserve"> — el consejo. Se elige por votación de los miembros con participación, con mandatos de 2 a 4 años.</w:t>
      </w:r>
    </w:p>
    <w:p>
      <w:pPr>
        <w:pStyle w:val="ListParagraph"/>
        <w:numPr>
          <w:ilvl w:val="0"/>
          <w:numId w:val="2"/>
        </w:numPr>
        <w:spacing w:after="70" w:line="264"/>
      </w:pPr>
      <w:r>
        <w:rPr>
          <w:b/>
          <w:bCs/>
          <w:sz w:val="21"/>
          <w:szCs w:val="21"/>
        </w:rPr>
        <w:t xml:space="preserve">Practice Group Leaders</w:t>
      </w:r>
      <w:r>
        <w:rPr>
          <w:sz w:val="21"/>
          <w:szCs w:val="21"/>
        </w:rPr>
        <w:t xml:space="preserve"> — responsables de P&amp;L por área. Es la unidad de negocio real de la firma.</w:t>
      </w:r>
    </w:p>
    <w:p>
      <w:pPr>
        <w:pStyle w:val="ListParagraph"/>
        <w:numPr>
          <w:ilvl w:val="0"/>
          <w:numId w:val="2"/>
        </w:numPr>
        <w:spacing w:after="70" w:line="264"/>
      </w:pPr>
      <w:r>
        <w:rPr>
          <w:b/>
          <w:bCs/>
          <w:sz w:val="21"/>
          <w:szCs w:val="21"/>
        </w:rPr>
        <w:t xml:space="preserve">Compensation Committee</w:t>
      </w:r>
      <w:r>
        <w:rPr>
          <w:sz w:val="21"/>
          <w:szCs w:val="21"/>
        </w:rPr>
        <w:t xml:space="preserve"> — el órgano con más poder político, porque decide el reparto de utilidades.</w:t>
      </w:r>
    </w:p>
    <w:p>
      <w:pPr>
        <w:pStyle w:val="ListParagraph"/>
        <w:numPr>
          <w:ilvl w:val="0"/>
          <w:numId w:val="2"/>
        </w:numPr>
        <w:spacing w:after="70" w:line="264"/>
      </w:pPr>
      <w:r>
        <w:rPr>
          <w:b/>
          <w:bCs/>
          <w:sz w:val="21"/>
          <w:szCs w:val="21"/>
        </w:rPr>
        <w:t xml:space="preserve">Conflicts / Ethics Committee</w:t>
      </w:r>
      <w:r>
        <w:rPr>
          <w:sz w:val="21"/>
          <w:szCs w:val="21"/>
        </w:rPr>
        <w:t xml:space="preserve"> — revisa conflictos antes de abrir un asunto. Es control de negocio, no solo de cumplimiento: un conflicto no detectado puede costar el caso y la relación con el cliente.</w:t>
      </w:r>
    </w:p>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el gobierno de una firma pequeña</w:t>
            </w:r>
          </w:p>
          <w:p>
            <w:pPr>
              <w:spacing w:after="90" w:line="264"/>
            </w:pPr>
            <w:r>
              <w:rPr>
                <w:sz w:val="21"/>
                <w:szCs w:val="21"/>
              </w:rPr>
              <w:t xml:space="preserve">Ese organigrama es una firma de 400 abogados. En una firma de nuestro tamaño </w:t>
            </w:r>
            <w:r>
              <w:rPr>
                <w:b/>
                <w:bCs/>
                <w:sz w:val="21"/>
                <w:szCs w:val="21"/>
              </w:rPr>
              <w:t xml:space="preserve">las mismas funciones existen, solo que concentradas en pocas personas</w:t>
            </w:r>
            <w:r>
              <w:rPr>
                <w:sz w:val="21"/>
                <w:szCs w:val="21"/>
              </w:rPr>
              <w:t xml:space="preserve">. El error no es tener pocos órganos; el error es no saber quién ejerce cada función y descubrirlo el día que hay un desacuerdo.</w:t>
            </w:r>
          </w:p>
          <w:p>
            <w:pPr>
              <w:spacing w:after="90" w:line="264"/>
            </w:pPr>
            <w:r>
              <w:rPr>
                <w:b/>
                <w:bCs/>
                <w:sz w:val="21"/>
                <w:szCs w:val="21"/>
              </w:rPr>
              <w:t xml:space="preserve">Traducción a nuestra escala:</w:t>
            </w:r>
          </w:p>
          <w:p>
            <w:pPr>
              <w:spacing w:after="90" w:line="264"/>
            </w:pPr>
            <w:r>
              <w:rPr>
                <w:sz w:val="21"/>
                <w:szCs w:val="21"/>
              </w:rPr>
              <w:t xml:space="preserve">· </w:t>
            </w:r>
            <w:r>
              <w:rPr>
                <w:i/>
                <w:iCs/>
                <w:sz w:val="21"/>
                <w:szCs w:val="21"/>
              </w:rPr>
              <w:t xml:space="preserve">Managing Partner</w:t>
            </w:r>
            <w:r>
              <w:rPr>
                <w:sz w:val="21"/>
                <w:szCs w:val="21"/>
              </w:rPr>
              <w:t xml:space="preserve"> → Jose R. Santiago como abogado titular, en lo que toca a criterio jurídico y responsabilidad profesional.</w:t>
            </w:r>
          </w:p>
          <w:p>
            <w:pPr>
              <w:spacing w:after="90" w:line="264"/>
            </w:pPr>
            <w:r>
              <w:rPr>
                <w:sz w:val="21"/>
                <w:szCs w:val="21"/>
              </w:rPr>
              <w:t xml:space="preserve">· </w:t>
            </w:r>
            <w:r>
              <w:rPr>
                <w:i/>
                <w:iCs/>
                <w:sz w:val="21"/>
                <w:szCs w:val="21"/>
              </w:rPr>
              <w:t xml:space="preserve">COO / operaciones</w:t>
            </w:r>
            <w:r>
              <w:rPr>
                <w:sz w:val="21"/>
                <w:szCs w:val="21"/>
              </w:rPr>
              <w:t xml:space="preserve"> → función ya existente y ya diferenciada. Esta es una ventaja poco común en firmas pequeñas: la mayoría no separa la gestión de la práctica hasta que es demasiado tarde.</w:t>
            </w:r>
          </w:p>
          <w:p>
            <w:pPr>
              <w:spacing w:after="90" w:line="264"/>
            </w:pPr>
            <w:r>
              <w:rPr>
                <w:sz w:val="21"/>
                <w:szCs w:val="21"/>
              </w:rPr>
              <w:t xml:space="preserve">· </w:t>
            </w:r>
            <w:r>
              <w:rPr>
                <w:i/>
                <w:iCs/>
                <w:sz w:val="21"/>
                <w:szCs w:val="21"/>
              </w:rPr>
              <w:t xml:space="preserve">Compensation Committee</w:t>
            </w:r>
            <w:r>
              <w:rPr>
                <w:sz w:val="21"/>
                <w:szCs w:val="21"/>
              </w:rPr>
              <w:t xml:space="preserve"> → hoy es una conversación; debería ser una fórmula escrita en el Company Agreement.</w:t>
            </w:r>
          </w:p>
          <w:p>
            <w:pPr>
              <w:spacing w:after="90" w:line="264"/>
            </w:pPr>
            <w:r>
              <w:rPr>
                <w:sz w:val="21"/>
                <w:szCs w:val="21"/>
              </w:rPr>
              <w:t xml:space="preserve">· </w:t>
            </w:r>
            <w:r>
              <w:rPr>
                <w:i/>
                <w:iCs/>
                <w:sz w:val="21"/>
                <w:szCs w:val="21"/>
              </w:rPr>
              <w:t xml:space="preserve">Conflicts / Ethics</w:t>
            </w:r>
            <w:r>
              <w:rPr>
                <w:sz w:val="21"/>
                <w:szCs w:val="21"/>
              </w:rPr>
              <w:t xml:space="preserve"> → debe ser un </w:t>
            </w:r>
            <w:r>
              <w:rPr>
                <w:b/>
                <w:bCs/>
                <w:sz w:val="21"/>
                <w:szCs w:val="21"/>
              </w:rPr>
              <w:t xml:space="preserve">paso de proceso obligatorio en la apertura de cada caso</w:t>
            </w:r>
            <w:r>
              <w:rPr>
                <w:sz w:val="21"/>
                <w:szCs w:val="21"/>
              </w:rPr>
              <w:t xml:space="preserve">, no una revisión mental. Un registro simple de partes contrarias y de casos rechazados basta y evita el problema antes de que exista.</w:t>
            </w:r>
          </w:p>
          <w:p>
            <w:pPr>
              <w:spacing w:after="90" w:line="264"/>
            </w:pPr>
            <w:r>
              <w:rPr>
                <w:b/>
                <w:bCs/>
                <w:sz w:val="21"/>
                <w:szCs w:val="21"/>
              </w:rPr>
              <w:t xml:space="preserve">Acción concreta:</w:t>
            </w:r>
            <w:r>
              <w:rPr>
                <w:sz w:val="21"/>
                <w:szCs w:val="21"/>
              </w:rPr>
              <w:t xml:space="preserve"> escribir en una página quién decide sobre (a) aceptar o rechazar un caso, (b) fijar precio y descuentos, (c) gasto por encima de un umbral, (d) contratación, (e) criterio jurídico en un asunto. Cinco líneas. Es la mitad del gobierno de una firma pequeña.</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2. La jerarquía de una firma estadounidense</w:t>
      </w:r>
    </w:p>
    <w:p>
      <w:pPr>
        <w:spacing w:after="140" w:line="276"/>
      </w:pPr>
      <w:r>
        <w:rPr>
          <w:sz w:val="21"/>
          <w:szCs w:val="21"/>
        </w:rPr>
        <w:t xml:space="preserve">La trayectoria clásica se rige por el esquema </w:t>
      </w:r>
      <w:r>
        <w:rPr>
          <w:b/>
          <w:bCs/>
          <w:sz w:val="21"/>
          <w:szCs w:val="21"/>
        </w:rPr>
        <w:t xml:space="preserve">«Up or Out»</w:t>
      </w:r>
      <w:r>
        <w:rPr>
          <w:sz w:val="21"/>
          <w:szCs w:val="21"/>
        </w:rPr>
        <w:t xml:space="preserve">: asciendes a socio o sales de la firma. En las últimas tres décadas han aparecido carriles intermedios que rompen ese binario y que hoy son parte central del modelo de negocio, porque permiten retener talento sin diluir la propiedad.</w:t>
      </w:r>
    </w:p>
    <w:p>
      <w:pPr>
        <w:pStyle w:val="Heading2"/>
        <w:spacing w:after="140" w:before="320"/>
      </w:pPr>
      <w:r>
        <w:rPr>
          <w:rFonts w:ascii="Calibri" w:cs="Calibri" w:eastAsia="Calibri" w:hAnsi="Calibri"/>
          <w:b/>
          <w:bCs/>
          <w:color w:val="1F3864"/>
          <w:sz w:val="25"/>
          <w:szCs w:val="25"/>
        </w:rPr>
        <w:t xml:space="preserve">2.1 El organigrama completo</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              [ Managing Partner / Executive Committee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Equity Partners ]                          [ Non-Equity Partners ]</w:t>
            </w:r>
          </w:p>
          <w:p>
            <w:pPr>
              <w:spacing w:after="0" w:line="216"/>
            </w:pPr>
            <w:r>
              <w:rPr>
                <w:rFonts w:ascii="Consolas" w:cs="Consolas" w:eastAsia="Consolas" w:hAnsi="Consolas"/>
                <w:sz w:val="15"/>
                <w:szCs w:val="15"/>
              </w:rPr>
              <w:t xml:space="preserve">    (senior / junior equity)                     (Income Partners)</w:t>
            </w:r>
          </w:p>
          <w:p>
            <w:pPr>
              <w:spacing w:after="0" w:line="216"/>
            </w:pPr>
            <w:r>
              <w:rPr>
                <w:rFonts w:ascii="Consolas" w:cs="Consolas" w:eastAsia="Consolas" w:hAnsi="Consolas"/>
                <w:sz w:val="15"/>
                <w:szCs w:val="15"/>
              </w:rPr>
              <w:t xml:space="preserve">         |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Of Counsel / Special Counsel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Senior Associates    (5-8+ anos)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Mid-Level Associates (3-5 anos)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Junior Associates    (1-3 anos)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Staff / Contract  ]   [ Summer Associates ]   [ Paralegals · Law Clerks ]</w:t>
            </w:r>
          </w:p>
          <w:p>
            <w:pPr>
              <w:spacing w:after="0" w:line="216"/>
            </w:pPr>
            <w:r>
              <w:rPr>
                <w:rFonts w:ascii="Consolas" w:cs="Consolas" w:eastAsia="Consolas" w:hAnsi="Consolas"/>
                <w:sz w:val="15"/>
                <w:szCs w:val="15"/>
              </w:rPr>
              <w:t xml:space="preserve">[ Attorneys         ]   [ canal de recluta-  ]   [ Legal Assistants        ]</w:t>
            </w:r>
          </w:p>
          <w:p>
            <w:pPr>
              <w:spacing w:after="0" w:line="216"/>
            </w:pPr>
            <w:r>
              <w:rPr>
                <w:rFonts w:ascii="Consolas" w:cs="Consolas" w:eastAsia="Consolas" w:hAnsi="Consolas"/>
                <w:sz w:val="15"/>
                <w:szCs w:val="15"/>
              </w:rPr>
              <w:t xml:space="preserve">                        [ miento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 Business Operations:  COO · CFO · CMO · CIO · CHRO · Legal Ops · KM ]</w:t>
            </w:r>
          </w:p>
        </w:tc>
      </w:tr>
    </w:tbl>
    <w:p>
      <w:pPr>
        <w:spacing w:after="160"/>
      </w:pPr>
    </w:p>
    <w:p>
      <w:pPr>
        <w:pStyle w:val="Heading2"/>
        <w:spacing w:after="140" w:before="320"/>
      </w:pPr>
      <w:r>
        <w:rPr>
          <w:rFonts w:ascii="Calibri" w:cs="Calibri" w:eastAsia="Calibri" w:hAnsi="Calibri"/>
          <w:b/>
          <w:bCs/>
          <w:color w:val="1F3864"/>
          <w:sz w:val="25"/>
          <w:szCs w:val="25"/>
        </w:rPr>
        <w:t xml:space="preserve">2.2 Los socios (Partners / Members)</w:t>
      </w:r>
    </w:p>
    <w:p>
      <w:pPr>
        <w:pStyle w:val="Heading3"/>
        <w:spacing w:after="100" w:before="240"/>
      </w:pPr>
      <w:r>
        <w:rPr>
          <w:rFonts w:ascii="Calibri" w:cs="Calibri" w:eastAsia="Calibri" w:hAnsi="Calibri"/>
          <w:b/>
          <w:bCs/>
          <w:color w:val="44546A"/>
          <w:sz w:val="22"/>
          <w:szCs w:val="22"/>
        </w:rPr>
        <w:t xml:space="preserve">Managing Partner (socio director)</w:t>
      </w:r>
    </w:p>
    <w:p>
      <w:pPr>
        <w:spacing w:after="140" w:line="276"/>
      </w:pPr>
      <w:r>
        <w:rPr>
          <w:sz w:val="21"/>
          <w:szCs w:val="21"/>
        </w:rPr>
        <w:t xml:space="preserve">El CEO de la firma. Preside el Executive Committee y responde por estrategia global, finanzas, expansión y gestión diaria.</w:t>
      </w:r>
    </w:p>
    <w:p>
      <w:pPr>
        <w:pStyle w:val="Heading3"/>
        <w:spacing w:after="100" w:before="240"/>
      </w:pPr>
      <w:r>
        <w:rPr>
          <w:rFonts w:ascii="Calibri" w:cs="Calibri" w:eastAsia="Calibri" w:hAnsi="Calibri"/>
          <w:b/>
          <w:bCs/>
          <w:color w:val="44546A"/>
          <w:sz w:val="22"/>
          <w:szCs w:val="22"/>
        </w:rPr>
        <w:t xml:space="preserve">Equity Partner (socio propietario o capitalista)</w:t>
      </w:r>
    </w:p>
    <w:p>
      <w:pPr>
        <w:pStyle w:val="ListParagraph"/>
        <w:numPr>
          <w:ilvl w:val="0"/>
          <w:numId w:val="2"/>
        </w:numPr>
        <w:spacing w:after="70" w:line="264"/>
      </w:pPr>
      <w:r>
        <w:rPr>
          <w:b/>
          <w:bCs/>
          <w:sz w:val="21"/>
          <w:szCs w:val="21"/>
        </w:rPr>
        <w:t xml:space="preserve">Quién es:</w:t>
      </w:r>
      <w:r>
        <w:rPr>
          <w:sz w:val="21"/>
          <w:szCs w:val="21"/>
        </w:rPr>
        <w:t xml:space="preserve"> abogado con trayectoria amplia y cartera propia. Los que generan volumen de negocio se llaman </w:t>
      </w:r>
      <w:r>
        <w:rPr>
          <w:b/>
          <w:bCs/>
          <w:sz w:val="21"/>
          <w:szCs w:val="21"/>
        </w:rPr>
        <w:t xml:space="preserve">rainmakers</w:t>
      </w:r>
      <w:r>
        <w:rPr>
          <w:sz w:val="21"/>
          <w:szCs w:val="21"/>
        </w:rPr>
        <w:t xml:space="preserve">.</w:t>
      </w:r>
    </w:p>
    <w:p>
      <w:pPr>
        <w:pStyle w:val="ListParagraph"/>
        <w:numPr>
          <w:ilvl w:val="0"/>
          <w:numId w:val="2"/>
        </w:numPr>
        <w:spacing w:after="70" w:line="264"/>
      </w:pPr>
      <w:r>
        <w:rPr>
          <w:b/>
          <w:bCs/>
          <w:sz w:val="21"/>
          <w:szCs w:val="21"/>
        </w:rPr>
        <w:t xml:space="preserve">Cómo funciona:</w:t>
      </w:r>
      <w:r>
        <w:rPr>
          <w:sz w:val="21"/>
          <w:szCs w:val="21"/>
        </w:rPr>
        <w:t xml:space="preserve"> aporta capital a la firma (</w:t>
      </w:r>
      <w:r>
        <w:rPr>
          <w:i/>
          <w:iCs/>
          <w:sz w:val="21"/>
          <w:szCs w:val="21"/>
        </w:rPr>
        <w:t xml:space="preserve">capital contribution</w:t>
      </w:r>
      <w:r>
        <w:rPr>
          <w:sz w:val="21"/>
          <w:szCs w:val="21"/>
        </w:rPr>
        <w:t xml:space="preserve">, habitualmente financiado con un préstamo bancario personal). No cobra salario fijo tradicional sino una participación en las utilidades residuales — los </w:t>
      </w:r>
      <w:r>
        <w:rPr>
          <w:b/>
          <w:bCs/>
          <w:sz w:val="21"/>
          <w:szCs w:val="21"/>
        </w:rPr>
        <w:t xml:space="preserve">Profits Per Equity Partner (PEP)</w:t>
      </w:r>
      <w:r>
        <w:rPr>
          <w:sz w:val="21"/>
          <w:szCs w:val="21"/>
        </w:rPr>
        <w:t xml:space="preserve">. Vota en las decisiones de la firma.</w:t>
      </w:r>
    </w:p>
    <w:p>
      <w:pPr>
        <w:pStyle w:val="ListParagraph"/>
        <w:numPr>
          <w:ilvl w:val="0"/>
          <w:numId w:val="2"/>
        </w:numPr>
        <w:spacing w:after="70" w:line="264"/>
      </w:pPr>
      <w:r>
        <w:rPr>
          <w:b/>
          <w:bCs/>
          <w:sz w:val="21"/>
          <w:szCs w:val="21"/>
        </w:rPr>
        <w:t xml:space="preserve">Sub-escalones:</w:t>
      </w:r>
      <w:r>
        <w:rPr>
          <w:sz w:val="21"/>
          <w:szCs w:val="21"/>
        </w:rPr>
        <w:t xml:space="preserve"> muchas firmas distinguen </w:t>
      </w:r>
      <w:r>
        <w:rPr>
          <w:i/>
          <w:iCs/>
          <w:sz w:val="21"/>
          <w:szCs w:val="21"/>
        </w:rPr>
        <w:t xml:space="preserve">junior equity</w:t>
      </w:r>
      <w:r>
        <w:rPr>
          <w:sz w:val="21"/>
          <w:szCs w:val="21"/>
        </w:rPr>
        <w:t xml:space="preserve"> (pocos puntos, voto limitado) de </w:t>
      </w:r>
      <w:r>
        <w:rPr>
          <w:i/>
          <w:iCs/>
          <w:sz w:val="21"/>
          <w:szCs w:val="21"/>
        </w:rPr>
        <w:t xml:space="preserve">senior equity</w:t>
      </w:r>
      <w:r>
        <w:rPr>
          <w:sz w:val="21"/>
          <w:szCs w:val="21"/>
        </w:rPr>
        <w:t xml:space="preserve">. Subir dentro del equity puede tomar otros 5 a 8 años.</w:t>
      </w:r>
    </w:p>
    <w:p>
      <w:pPr>
        <w:pStyle w:val="Heading3"/>
        <w:spacing w:after="100" w:before="240"/>
      </w:pPr>
      <w:r>
        <w:rPr>
          <w:rFonts w:ascii="Calibri" w:cs="Calibri" w:eastAsia="Calibri" w:hAnsi="Calibri"/>
          <w:b/>
          <w:bCs/>
          <w:color w:val="44546A"/>
          <w:sz w:val="22"/>
          <w:szCs w:val="22"/>
        </w:rPr>
        <w:t xml:space="preserve">Non-Equity Partner / Income Partner (socio de cuota, sin participación en el capital)</w:t>
      </w:r>
    </w:p>
    <w:p>
      <w:pPr>
        <w:pStyle w:val="ListParagraph"/>
        <w:numPr>
          <w:ilvl w:val="0"/>
          <w:numId w:val="2"/>
        </w:numPr>
        <w:spacing w:after="70" w:line="264"/>
      </w:pPr>
      <w:r>
        <w:rPr>
          <w:b/>
          <w:bCs/>
          <w:sz w:val="21"/>
          <w:szCs w:val="21"/>
        </w:rPr>
        <w:t xml:space="preserve">Quién es:</w:t>
      </w:r>
      <w:r>
        <w:rPr>
          <w:sz w:val="21"/>
          <w:szCs w:val="21"/>
        </w:rPr>
        <w:t xml:space="preserve"> abogado ascendido al rango de «socio» que aún no ha aportado capital social.</w:t>
      </w:r>
    </w:p>
    <w:p>
      <w:pPr>
        <w:pStyle w:val="ListParagraph"/>
        <w:numPr>
          <w:ilvl w:val="0"/>
          <w:numId w:val="2"/>
        </w:numPr>
        <w:spacing w:after="70" w:line="264"/>
      </w:pPr>
      <w:r>
        <w:rPr>
          <w:b/>
          <w:bCs/>
          <w:sz w:val="21"/>
          <w:szCs w:val="21"/>
        </w:rPr>
        <w:t xml:space="preserve">Cómo funciona:</w:t>
      </w:r>
      <w:r>
        <w:rPr>
          <w:sz w:val="21"/>
          <w:szCs w:val="21"/>
        </w:rPr>
        <w:t xml:space="preserve"> salario fijo sustancial más bonos por desempeño. Tiene el título formal de </w:t>
      </w:r>
      <w:r>
        <w:rPr>
          <w:i/>
          <w:iCs/>
          <w:sz w:val="21"/>
          <w:szCs w:val="21"/>
        </w:rPr>
        <w:t xml:space="preserve">Partner</w:t>
      </w:r>
      <w:r>
        <w:rPr>
          <w:sz w:val="21"/>
          <w:szCs w:val="21"/>
        </w:rPr>
        <w:t xml:space="preserve"> frente a los clientes, pero no participa del reparto global de utilidades ni tiene voto mayoritario.</w:t>
      </w:r>
    </w:p>
    <w:p>
      <w:pPr>
        <w:pStyle w:val="ListParagraph"/>
        <w:numPr>
          <w:ilvl w:val="0"/>
          <w:numId w:val="2"/>
        </w:numPr>
        <w:spacing w:after="70" w:line="264"/>
      </w:pPr>
      <w:r>
        <w:rPr>
          <w:b/>
          <w:bCs/>
          <w:sz w:val="21"/>
          <w:szCs w:val="21"/>
        </w:rPr>
        <w:t xml:space="preserve">Por qué existe — la lógica de negocio:</w:t>
      </w:r>
      <w:r>
        <w:rPr>
          <w:sz w:val="21"/>
          <w:szCs w:val="21"/>
        </w:rPr>
        <w:t xml:space="preserve"> el escalón non-equity es una </w:t>
      </w:r>
      <w:r>
        <w:rPr>
          <w:b/>
          <w:bCs/>
          <w:sz w:val="21"/>
          <w:szCs w:val="21"/>
        </w:rPr>
        <w:t xml:space="preserve">palanca de margen</w:t>
      </w:r>
      <w:r>
        <w:rPr>
          <w:sz w:val="21"/>
          <w:szCs w:val="21"/>
        </w:rPr>
        <w:t xml:space="preserve">. Permite dar el título, que el cliente valora, sin diluir el PEP; y permite retener a un abogado muy productivo que no genera cartera propia. En muchas firmas es hoy el escalón más numeroso.</w:t>
      </w:r>
    </w:p>
    <w:p>
      <w:pPr>
        <w:pStyle w:val="Heading2"/>
        <w:spacing w:after="140" w:before="320"/>
      </w:pPr>
      <w:r>
        <w:rPr>
          <w:rFonts w:ascii="Calibri" w:cs="Calibri" w:eastAsia="Calibri" w:hAnsi="Calibri"/>
          <w:b/>
          <w:bCs/>
          <w:color w:val="1F3864"/>
          <w:sz w:val="25"/>
          <w:szCs w:val="25"/>
        </w:rPr>
        <w:t xml:space="preserve">2.3 Consejeros (Of Counsel / Special Counsel / Senior Counsel)</w:t>
      </w:r>
    </w:p>
    <w:p>
      <w:pPr>
        <w:spacing w:after="140" w:line="276"/>
      </w:pPr>
      <w:r>
        <w:rPr>
          <w:sz w:val="21"/>
          <w:szCs w:val="21"/>
        </w:rPr>
        <w:t xml:space="preserve">Abogado sénior que no encaja en la categoría de socio ni en la de asociado. Perfiles habituales:</w:t>
      </w:r>
    </w:p>
    <w:p>
      <w:pPr>
        <w:pStyle w:val="ListParagraph"/>
        <w:numPr>
          <w:ilvl w:val="0"/>
          <w:numId w:val="2"/>
        </w:numPr>
        <w:spacing w:after="70" w:line="264"/>
      </w:pPr>
      <w:r>
        <w:rPr>
          <w:sz w:val="21"/>
          <w:szCs w:val="21"/>
        </w:rPr>
        <w:t xml:space="preserve">Exsocios que reducen horas sin retirarse del todo.</w:t>
      </w:r>
    </w:p>
    <w:p>
      <w:pPr>
        <w:pStyle w:val="ListParagraph"/>
        <w:numPr>
          <w:ilvl w:val="0"/>
          <w:numId w:val="2"/>
        </w:numPr>
        <w:spacing w:after="70" w:line="264"/>
      </w:pPr>
      <w:r>
        <w:rPr>
          <w:sz w:val="21"/>
          <w:szCs w:val="21"/>
        </w:rPr>
        <w:t xml:space="preserve">Exjueces o exfiscales de alto nivel, contratados por prestigio y acceso.</w:t>
      </w:r>
    </w:p>
    <w:p>
      <w:pPr>
        <w:pStyle w:val="ListParagraph"/>
        <w:numPr>
          <w:ilvl w:val="0"/>
          <w:numId w:val="2"/>
        </w:numPr>
        <w:spacing w:after="70" w:line="264"/>
      </w:pPr>
      <w:r>
        <w:rPr>
          <w:sz w:val="21"/>
          <w:szCs w:val="21"/>
        </w:rPr>
        <w:t xml:space="preserve">Especialistas técnicos en nichos concretos: regulatorio sectorial, marcas, fiscal internacional, apelaciones.</w:t>
      </w:r>
    </w:p>
    <w:p>
      <w:pPr>
        <w:pStyle w:val="ListParagraph"/>
        <w:numPr>
          <w:ilvl w:val="0"/>
          <w:numId w:val="2"/>
        </w:numPr>
        <w:spacing w:after="70" w:line="264"/>
      </w:pPr>
      <w:r>
        <w:rPr>
          <w:sz w:val="21"/>
          <w:szCs w:val="21"/>
        </w:rPr>
        <w:t xml:space="preserve">Abogados en régimen flexible o remoto que cambiaron carrera por calidad de vida.</w:t>
      </w:r>
    </w:p>
    <w:p>
      <w:pPr>
        <w:spacing w:after="140" w:line="276"/>
      </w:pPr>
      <w:r>
        <w:rPr>
          <w:sz w:val="21"/>
          <w:szCs w:val="21"/>
        </w:rPr>
        <w:t xml:space="preserve">Trabajan a comisión, salario fijo o por horas. </w:t>
      </w:r>
      <w:r>
        <w:rPr>
          <w:b/>
          <w:bCs/>
          <w:sz w:val="21"/>
          <w:szCs w:val="21"/>
        </w:rPr>
        <w:t xml:space="preserve">No están en el partner track.</w:t>
      </w:r>
      <w:r>
        <w:rPr>
          <w:sz w:val="21"/>
          <w:szCs w:val="21"/>
        </w:rPr>
        <w:t xml:space="preserve"> Su función de negocio: capacidad experta bajo demanda, sin el coste fijo de una estructura de socio. Es el equivalente al contratista sénior.</w:t>
      </w:r>
    </w:p>
    <w:p>
      <w:pPr>
        <w:pStyle w:val="Heading2"/>
        <w:spacing w:after="140" w:before="320"/>
      </w:pPr>
      <w:r>
        <w:rPr>
          <w:rFonts w:ascii="Calibri" w:cs="Calibri" w:eastAsia="Calibri" w:hAnsi="Calibri"/>
          <w:b/>
          <w:bCs/>
          <w:color w:val="1F3864"/>
          <w:sz w:val="25"/>
          <w:szCs w:val="25"/>
        </w:rPr>
        <w:t xml:space="preserve">2.4 Los asociados (Associates)</w:t>
      </w:r>
    </w:p>
    <w:p>
      <w:pPr>
        <w:spacing w:after="140" w:line="276"/>
      </w:pPr>
      <w:r>
        <w:rPr>
          <w:sz w:val="21"/>
          <w:szCs w:val="21"/>
        </w:rPr>
        <w:t xml:space="preserve">Abogados a tiempo completo que en su mayoría aspiran a socio. Se clasifican por años desde la graduación de la </w:t>
      </w:r>
      <w:r>
        <w:rPr>
          <w:i/>
          <w:iCs/>
          <w:sz w:val="21"/>
          <w:szCs w:val="21"/>
        </w:rPr>
        <w:t xml:space="preserve">law school</w:t>
      </w:r>
      <w:r>
        <w:rPr>
          <w:sz w:val="21"/>
          <w:szCs w:val="21"/>
        </w:rPr>
        <w:t xml:space="preserve"> (</w:t>
      </w:r>
      <w:r>
        <w:rPr>
          <w:b/>
          <w:bCs/>
          <w:sz w:val="21"/>
          <w:szCs w:val="21"/>
        </w:rPr>
        <w:t xml:space="preserve">class year</w:t>
      </w:r>
      <w:r>
        <w:rPr>
          <w:sz w:val="21"/>
          <w:szCs w:val="21"/>
        </w:rPr>
        <w:t xml:space="preserve">).</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500"/>
        <w:gridCol w:w="1180"/>
        <w:gridCol w:w="3900"/>
        <w:gridCol w:w="2780"/>
      </w:tblGrid>
      <w:tr>
        <w:trPr>
          <w:tblHeader/>
        </w:trPr>
        <w:tc>
          <w:tcPr>
            <w:tcW w:type="dxa" w:w="1500"/>
            <w:shd w:fill="1F3864" w:val="clear"/>
            <w:tcMar>
              <w:top w:type="dxa" w:w="90"/>
              <w:left w:type="dxa" w:w="110"/>
              <w:bottom w:type="dxa" w:w="90"/>
              <w:right w:type="dxa" w:w="110"/>
            </w:tcMar>
          </w:tcPr>
          <w:p>
            <w:pPr>
              <w:spacing w:after="0" w:line="250"/>
            </w:pPr>
            <w:r>
              <w:rPr>
                <w:b/>
                <w:bCs/>
                <w:color w:val="FFFFFF"/>
                <w:sz w:val="19"/>
                <w:szCs w:val="19"/>
              </w:rPr>
              <w:t xml:space="preserve">Nivel</w:t>
            </w:r>
          </w:p>
        </w:tc>
        <w:tc>
          <w:tcPr>
            <w:tcW w:type="dxa" w:w="1180"/>
            <w:shd w:fill="1F3864" w:val="clear"/>
            <w:tcMar>
              <w:top w:type="dxa" w:w="90"/>
              <w:left w:type="dxa" w:w="110"/>
              <w:bottom w:type="dxa" w:w="90"/>
              <w:right w:type="dxa" w:w="110"/>
            </w:tcMar>
          </w:tcPr>
          <w:p>
            <w:pPr>
              <w:spacing w:after="0" w:line="250"/>
            </w:pPr>
            <w:r>
              <w:rPr>
                <w:b/>
                <w:bCs/>
                <w:color w:val="FFFFFF"/>
                <w:sz w:val="19"/>
                <w:szCs w:val="19"/>
              </w:rPr>
              <w:t xml:space="preserve">Experiencia</w:t>
            </w:r>
          </w:p>
        </w:tc>
        <w:tc>
          <w:tcPr>
            <w:tcW w:type="dxa" w:w="3900"/>
            <w:shd w:fill="1F3864" w:val="clear"/>
            <w:tcMar>
              <w:top w:type="dxa" w:w="90"/>
              <w:left w:type="dxa" w:w="110"/>
              <w:bottom w:type="dxa" w:w="90"/>
              <w:right w:type="dxa" w:w="110"/>
            </w:tcMar>
          </w:tcPr>
          <w:p>
            <w:pPr>
              <w:spacing w:after="0" w:line="250"/>
            </w:pPr>
            <w:r>
              <w:rPr>
                <w:b/>
                <w:bCs/>
                <w:color w:val="FFFFFF"/>
                <w:sz w:val="19"/>
                <w:szCs w:val="19"/>
              </w:rPr>
              <w:t xml:space="preserve">Qué hace</w:t>
            </w:r>
          </w:p>
        </w:tc>
        <w:tc>
          <w:tcPr>
            <w:tcW w:type="dxa" w:w="2780"/>
            <w:shd w:fill="1F3864" w:val="clear"/>
            <w:tcMar>
              <w:top w:type="dxa" w:w="90"/>
              <w:left w:type="dxa" w:w="110"/>
              <w:bottom w:type="dxa" w:w="90"/>
              <w:right w:type="dxa" w:w="110"/>
            </w:tcMar>
          </w:tcPr>
          <w:p>
            <w:pPr>
              <w:spacing w:after="0" w:line="250"/>
            </w:pPr>
            <w:r>
              <w:rPr>
                <w:b/>
                <w:bCs/>
                <w:color w:val="FFFFFF"/>
                <w:sz w:val="19"/>
                <w:szCs w:val="19"/>
              </w:rPr>
              <w:t xml:space="preserve">Rol económico</w:t>
            </w:r>
          </w:p>
        </w:tc>
      </w:tr>
      <w:tr>
        <w:tc>
          <w:tcPr>
            <w:tcW w:type="dxa" w:w="1500"/>
            <w:shd w:fill="FFFFFF" w:val="clear"/>
            <w:tcMar>
              <w:top w:type="dxa" w:w="80"/>
              <w:left w:type="dxa" w:w="110"/>
              <w:bottom w:type="dxa" w:w="80"/>
              <w:right w:type="dxa" w:w="110"/>
            </w:tcMar>
            <w:vAlign w:val="center"/>
          </w:tcPr>
          <w:p>
            <w:pPr>
              <w:spacing w:after="0" w:line="250"/>
            </w:pPr>
            <w:r>
              <w:rPr>
                <w:sz w:val="19"/>
                <w:szCs w:val="19"/>
              </w:rPr>
              <w:t xml:space="preserve">Senior Associate</w:t>
            </w:r>
          </w:p>
        </w:tc>
        <w:tc>
          <w:tcPr>
            <w:tcW w:type="dxa" w:w="1180"/>
            <w:shd w:fill="FFFFFF" w:val="clear"/>
            <w:tcMar>
              <w:top w:type="dxa" w:w="80"/>
              <w:left w:type="dxa" w:w="110"/>
              <w:bottom w:type="dxa" w:w="80"/>
              <w:right w:type="dxa" w:w="110"/>
            </w:tcMar>
            <w:vAlign w:val="center"/>
          </w:tcPr>
          <w:p>
            <w:pPr>
              <w:spacing w:after="0" w:line="250"/>
            </w:pPr>
            <w:r>
              <w:rPr>
                <w:sz w:val="19"/>
                <w:szCs w:val="19"/>
              </w:rPr>
              <w:t xml:space="preserve">5–8+ años</w:t>
            </w:r>
          </w:p>
        </w:tc>
        <w:tc>
          <w:tcPr>
            <w:tcW w:type="dxa" w:w="3900"/>
            <w:shd w:fill="FFFFFF" w:val="clear"/>
            <w:tcMar>
              <w:top w:type="dxa" w:w="80"/>
              <w:left w:type="dxa" w:w="110"/>
              <w:bottom w:type="dxa" w:w="80"/>
              <w:right w:type="dxa" w:w="110"/>
            </w:tcMar>
            <w:vAlign w:val="center"/>
          </w:tcPr>
          <w:p>
            <w:pPr>
              <w:spacing w:after="0" w:line="250"/>
            </w:pPr>
            <w:r>
              <w:rPr>
                <w:sz w:val="19"/>
                <w:szCs w:val="19"/>
              </w:rPr>
              <w:t xml:space="preserve">Maneja asuntos complejos con supervisión mínima; redacta los escritos principales, lidera deposiciones, gestiona la relación directa con el cliente; supervisa a los júniors</w:t>
            </w:r>
          </w:p>
        </w:tc>
        <w:tc>
          <w:tcPr>
            <w:tcW w:type="dxa" w:w="2780"/>
            <w:shd w:fill="FFFFFF" w:val="clear"/>
            <w:tcMar>
              <w:top w:type="dxa" w:w="80"/>
              <w:left w:type="dxa" w:w="110"/>
              <w:bottom w:type="dxa" w:w="80"/>
              <w:right w:type="dxa" w:w="110"/>
            </w:tcMar>
            <w:vAlign w:val="center"/>
          </w:tcPr>
          <w:p>
            <w:pPr>
              <w:spacing w:after="0" w:line="250"/>
            </w:pPr>
            <w:r>
              <w:rPr>
                <w:sz w:val="19"/>
                <w:szCs w:val="19"/>
              </w:rPr>
              <w:t xml:space="preserve">Margen alto. Bajo evaluación continua para entrar al partner track</w:t>
            </w:r>
          </w:p>
        </w:tc>
      </w:tr>
      <w:tr>
        <w:tc>
          <w:tcPr>
            <w:tcW w:type="dxa" w:w="1500"/>
            <w:shd w:fill="F5F7FA" w:val="clear"/>
            <w:tcMar>
              <w:top w:type="dxa" w:w="80"/>
              <w:left w:type="dxa" w:w="110"/>
              <w:bottom w:type="dxa" w:w="80"/>
              <w:right w:type="dxa" w:w="110"/>
            </w:tcMar>
            <w:vAlign w:val="center"/>
          </w:tcPr>
          <w:p>
            <w:pPr>
              <w:spacing w:after="0" w:line="250"/>
            </w:pPr>
            <w:r>
              <w:rPr>
                <w:sz w:val="19"/>
                <w:szCs w:val="19"/>
              </w:rPr>
              <w:t xml:space="preserve">Mid-Level Associate</w:t>
            </w:r>
          </w:p>
        </w:tc>
        <w:tc>
          <w:tcPr>
            <w:tcW w:type="dxa" w:w="1180"/>
            <w:shd w:fill="F5F7FA" w:val="clear"/>
            <w:tcMar>
              <w:top w:type="dxa" w:w="80"/>
              <w:left w:type="dxa" w:w="110"/>
              <w:bottom w:type="dxa" w:w="80"/>
              <w:right w:type="dxa" w:w="110"/>
            </w:tcMar>
            <w:vAlign w:val="center"/>
          </w:tcPr>
          <w:p>
            <w:pPr>
              <w:spacing w:after="0" w:line="250"/>
            </w:pPr>
            <w:r>
              <w:rPr>
                <w:sz w:val="19"/>
                <w:szCs w:val="19"/>
              </w:rPr>
              <w:t xml:space="preserve">3–5 años</w:t>
            </w:r>
          </w:p>
        </w:tc>
        <w:tc>
          <w:tcPr>
            <w:tcW w:type="dxa" w:w="3900"/>
            <w:shd w:fill="F5F7FA" w:val="clear"/>
            <w:tcMar>
              <w:top w:type="dxa" w:w="80"/>
              <w:left w:type="dxa" w:w="110"/>
              <w:bottom w:type="dxa" w:w="80"/>
              <w:right w:type="dxa" w:w="110"/>
            </w:tcMar>
            <w:vAlign w:val="center"/>
          </w:tcPr>
          <w:p>
            <w:pPr>
              <w:spacing w:after="0" w:line="250"/>
            </w:pPr>
            <w:r>
              <w:rPr>
                <w:sz w:val="19"/>
                <w:szCs w:val="19"/>
              </w:rPr>
              <w:t xml:space="preserve">Supervisa borradores, conduce negociaciones menores, gestiona la táctica del litigio o de la transacción</w:t>
            </w:r>
          </w:p>
        </w:tc>
        <w:tc>
          <w:tcPr>
            <w:tcW w:type="dxa" w:w="2780"/>
            <w:shd w:fill="F5F7FA" w:val="clear"/>
            <w:tcMar>
              <w:top w:type="dxa" w:w="80"/>
              <w:left w:type="dxa" w:w="110"/>
              <w:bottom w:type="dxa" w:w="80"/>
              <w:right w:type="dxa" w:w="110"/>
            </w:tcMar>
            <w:vAlign w:val="center"/>
          </w:tcPr>
          <w:p>
            <w:pPr>
              <w:spacing w:after="0" w:line="250"/>
            </w:pPr>
            <w:r>
              <w:rPr>
                <w:sz w:val="19"/>
                <w:szCs w:val="19"/>
              </w:rPr>
              <w:t xml:space="preserve">El caballo de batalla: alta utilización y tarifa ya respetable</w:t>
            </w:r>
          </w:p>
        </w:tc>
      </w:tr>
      <w:tr>
        <w:tc>
          <w:tcPr>
            <w:tcW w:type="dxa" w:w="1500"/>
            <w:shd w:fill="FFFFFF" w:val="clear"/>
            <w:tcMar>
              <w:top w:type="dxa" w:w="80"/>
              <w:left w:type="dxa" w:w="110"/>
              <w:bottom w:type="dxa" w:w="80"/>
              <w:right w:type="dxa" w:w="110"/>
            </w:tcMar>
            <w:vAlign w:val="center"/>
          </w:tcPr>
          <w:p>
            <w:pPr>
              <w:spacing w:after="0" w:line="250"/>
            </w:pPr>
            <w:r>
              <w:rPr>
                <w:sz w:val="19"/>
                <w:szCs w:val="19"/>
              </w:rPr>
              <w:t xml:space="preserve">Junior Associate</w:t>
            </w:r>
          </w:p>
        </w:tc>
        <w:tc>
          <w:tcPr>
            <w:tcW w:type="dxa" w:w="1180"/>
            <w:shd w:fill="FFFFFF" w:val="clear"/>
            <w:tcMar>
              <w:top w:type="dxa" w:w="80"/>
              <w:left w:type="dxa" w:w="110"/>
              <w:bottom w:type="dxa" w:w="80"/>
              <w:right w:type="dxa" w:w="110"/>
            </w:tcMar>
            <w:vAlign w:val="center"/>
          </w:tcPr>
          <w:p>
            <w:pPr>
              <w:spacing w:after="0" w:line="250"/>
            </w:pPr>
            <w:r>
              <w:rPr>
                <w:sz w:val="19"/>
                <w:szCs w:val="19"/>
              </w:rPr>
              <w:t xml:space="preserve">1–3 años</w:t>
            </w:r>
          </w:p>
        </w:tc>
        <w:tc>
          <w:tcPr>
            <w:tcW w:type="dxa" w:w="3900"/>
            <w:shd w:fill="FFFFFF" w:val="clear"/>
            <w:tcMar>
              <w:top w:type="dxa" w:w="80"/>
              <w:left w:type="dxa" w:w="110"/>
              <w:bottom w:type="dxa" w:w="80"/>
              <w:right w:type="dxa" w:w="110"/>
            </w:tcMar>
            <w:vAlign w:val="center"/>
          </w:tcPr>
          <w:p>
            <w:pPr>
              <w:spacing w:after="0" w:line="250"/>
            </w:pPr>
            <w:r>
              <w:rPr>
                <w:sz w:val="19"/>
                <w:szCs w:val="19"/>
              </w:rPr>
              <w:t xml:space="preserve">Recién graduados que aprobaron el </w:t>
            </w:r>
            <w:r>
              <w:rPr>
                <w:b/>
                <w:bCs/>
                <w:sz w:val="19"/>
                <w:szCs w:val="19"/>
              </w:rPr>
              <w:t xml:space="preserve">Bar Exam</w:t>
            </w:r>
            <w:r>
              <w:rPr>
                <w:sz w:val="19"/>
                <w:szCs w:val="19"/>
              </w:rPr>
              <w:t xml:space="preserve">. Investigación jurídica, revisión masiva de documentos (</w:t>
            </w:r>
            <w:r>
              <w:rPr>
                <w:i/>
                <w:iCs/>
                <w:sz w:val="19"/>
                <w:szCs w:val="19"/>
              </w:rPr>
              <w:t xml:space="preserve">due diligence</w:t>
            </w:r>
            <w:r>
              <w:rPr>
                <w:sz w:val="19"/>
                <w:szCs w:val="19"/>
              </w:rPr>
              <w:t xml:space="preserve"> / </w:t>
            </w:r>
            <w:r>
              <w:rPr>
                <w:i/>
                <w:iCs/>
                <w:sz w:val="19"/>
                <w:szCs w:val="19"/>
              </w:rPr>
              <w:t xml:space="preserve">discovery</w:t>
            </w:r>
            <w:r>
              <w:rPr>
                <w:sz w:val="19"/>
                <w:szCs w:val="19"/>
              </w:rPr>
              <w:t xml:space="preserve">), borradores iniciales</w:t>
            </w:r>
          </w:p>
        </w:tc>
        <w:tc>
          <w:tcPr>
            <w:tcW w:type="dxa" w:w="2780"/>
            <w:shd w:fill="FFFFFF" w:val="clear"/>
            <w:tcMar>
              <w:top w:type="dxa" w:w="80"/>
              <w:left w:type="dxa" w:w="110"/>
              <w:bottom w:type="dxa" w:w="80"/>
              <w:right w:type="dxa" w:w="110"/>
            </w:tcMar>
            <w:vAlign w:val="center"/>
          </w:tcPr>
          <w:p>
            <w:pPr>
              <w:spacing w:after="0" w:line="250"/>
            </w:pPr>
            <w:r>
              <w:rPr>
                <w:sz w:val="19"/>
                <w:szCs w:val="19"/>
              </w:rPr>
              <w:t xml:space="preserve">Deficitario los primeros 12–18 meses; rentable cuando sube su realización</w:t>
            </w:r>
          </w:p>
        </w:tc>
      </w:tr>
    </w:tbl>
    <w:p>
      <w:pPr>
        <w:spacing w:after="140"/>
      </w:pPr>
    </w:p>
    <w:p>
      <w:pPr>
        <w:spacing w:after="140" w:line="276"/>
      </w:pPr>
      <w:r>
        <w:rPr>
          <w:b/>
          <w:bCs/>
          <w:sz w:val="21"/>
          <w:szCs w:val="21"/>
        </w:rPr>
        <w:t xml:space="preserve">Summer Associates:</w:t>
      </w:r>
      <w:r>
        <w:rPr>
          <w:sz w:val="21"/>
          <w:szCs w:val="21"/>
        </w:rPr>
        <w:t xml:space="preserve"> programa de verano de 8 a 12 semanas para estudiantes de segundo año. Es el canal principal de reclutamiento de BigLaw y funciona a la vez como proceso de selección largo y como marketing hacia las escuelas de derecho.</w:t>
      </w:r>
    </w:p>
    <w:p>
      <w:pPr>
        <w:pStyle w:val="Heading2"/>
        <w:spacing w:after="140" w:before="320"/>
      </w:pPr>
      <w:r>
        <w:rPr>
          <w:rFonts w:ascii="Calibri" w:cs="Calibri" w:eastAsia="Calibri" w:hAnsi="Calibri"/>
          <w:b/>
          <w:bCs/>
          <w:color w:val="1F3864"/>
          <w:sz w:val="25"/>
          <w:szCs w:val="25"/>
        </w:rPr>
        <w:t xml:space="preserve">2.5 Abogados de apoyo y personal no abogado</w:t>
      </w:r>
    </w:p>
    <w:p>
      <w:pPr>
        <w:pStyle w:val="ListParagraph"/>
        <w:numPr>
          <w:ilvl w:val="0"/>
          <w:numId w:val="2"/>
        </w:numPr>
        <w:spacing w:after="70" w:line="264"/>
      </w:pPr>
      <w:r>
        <w:rPr>
          <w:b/>
          <w:bCs/>
          <w:sz w:val="21"/>
          <w:szCs w:val="21"/>
        </w:rPr>
        <w:t xml:space="preserve">Staff Attorneys / Contract Attorneys</w:t>
      </w:r>
      <w:r>
        <w:rPr>
          <w:sz w:val="21"/>
          <w:szCs w:val="21"/>
        </w:rPr>
        <w:t xml:space="preserve"> — contratados por horas o por proyecto (por ejemplo, revisión de miles de contratos). Salario base, tarifa de facturación menor, </w:t>
      </w:r>
      <w:r>
        <w:rPr>
          <w:b/>
          <w:bCs/>
          <w:sz w:val="21"/>
          <w:szCs w:val="21"/>
        </w:rPr>
        <w:t xml:space="preserve">fuera de la ruta a socio</w:t>
      </w:r>
      <w:r>
        <w:rPr>
          <w:sz w:val="21"/>
          <w:szCs w:val="21"/>
        </w:rPr>
        <w:t xml:space="preserve">. Existen precisamente para abaratar la capa baja de la pirámide.</w:t>
      </w:r>
    </w:p>
    <w:p>
      <w:pPr>
        <w:pStyle w:val="ListParagraph"/>
        <w:numPr>
          <w:ilvl w:val="0"/>
          <w:numId w:val="2"/>
        </w:numPr>
        <w:spacing w:after="70" w:line="264"/>
      </w:pPr>
      <w:r>
        <w:rPr>
          <w:b/>
          <w:bCs/>
          <w:sz w:val="21"/>
          <w:szCs w:val="21"/>
        </w:rPr>
        <w:t xml:space="preserve">Paralegals / Legal Assistants</w:t>
      </w:r>
      <w:r>
        <w:rPr>
          <w:sz w:val="21"/>
          <w:szCs w:val="21"/>
        </w:rPr>
        <w:t xml:space="preserve"> — profesionales no abogados que preparan expedientes, organizan pruebas, controlan plazos y ejecutan tareas legales clave bajo supervisión. En muchas firmas </w:t>
      </w:r>
      <w:r>
        <w:rPr>
          <w:b/>
          <w:bCs/>
          <w:sz w:val="21"/>
          <w:szCs w:val="21"/>
        </w:rPr>
        <w:t xml:space="preserve">su tiempo se factura</w:t>
      </w:r>
      <w:r>
        <w:rPr>
          <w:sz w:val="21"/>
          <w:szCs w:val="21"/>
        </w:rPr>
        <w:t xml:space="preserve">, con margen excelente.</w:t>
      </w:r>
    </w:p>
    <w:p>
      <w:pPr>
        <w:pStyle w:val="ListParagraph"/>
        <w:numPr>
          <w:ilvl w:val="0"/>
          <w:numId w:val="2"/>
        </w:numPr>
        <w:spacing w:after="70" w:line="264"/>
      </w:pPr>
      <w:r>
        <w:rPr>
          <w:b/>
          <w:bCs/>
          <w:sz w:val="21"/>
          <w:szCs w:val="21"/>
        </w:rPr>
        <w:t xml:space="preserve">Legal Ops / Knowledge Management / PSL</w:t>
      </w:r>
      <w:r>
        <w:rPr>
          <w:sz w:val="21"/>
          <w:szCs w:val="21"/>
        </w:rPr>
        <w:t xml:space="preserve"> — plantillas, precedentes, playbooks, automatización. Es la función que convierte trabajo artesanal en producto repetible: el habilitador silencioso del margen.</w:t>
      </w:r>
    </w:p>
    <w:p>
      <w:pPr>
        <w:pStyle w:val="ListParagraph"/>
        <w:numPr>
          <w:ilvl w:val="0"/>
          <w:numId w:val="2"/>
        </w:numPr>
        <w:spacing w:after="70" w:line="264"/>
      </w:pPr>
      <w:r>
        <w:rPr>
          <w:b/>
          <w:bCs/>
          <w:sz w:val="21"/>
          <w:szCs w:val="21"/>
        </w:rPr>
        <w:t xml:space="preserve">e-Discovery / Litigation Support</w:t>
      </w:r>
      <w:r>
        <w:rPr>
          <w:sz w:val="21"/>
          <w:szCs w:val="21"/>
        </w:rPr>
        <w:t xml:space="preserve"> — gestión de datos y plataformas de revisión documental.</w:t>
      </w:r>
    </w:p>
    <w:p>
      <w:pPr>
        <w:pStyle w:val="ListParagraph"/>
        <w:numPr>
          <w:ilvl w:val="0"/>
          <w:numId w:val="2"/>
        </w:numPr>
        <w:spacing w:after="70" w:line="264"/>
      </w:pPr>
      <w:r>
        <w:rPr>
          <w:b/>
          <w:bCs/>
          <w:sz w:val="21"/>
          <w:szCs w:val="21"/>
        </w:rPr>
        <w:t xml:space="preserve">C-Suite y Business Operations</w:t>
      </w:r>
      <w:r>
        <w:rPr>
          <w:sz w:val="21"/>
          <w:szCs w:val="21"/>
        </w:rPr>
        <w:t xml:space="preserve"> — COO, CFO, CMO/CBDO, CIO, CHRO. No son abogados. Es la capa que separa una firma administrada de un grupo de abogados compartiendo alquiler.</w:t>
      </w:r>
    </w:p>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la pirámide que sí nos toca</w:t>
            </w:r>
          </w:p>
          <w:p>
            <w:pPr>
              <w:spacing w:after="90" w:line="264"/>
            </w:pPr>
            <w:r>
              <w:rPr>
                <w:sz w:val="21"/>
                <w:szCs w:val="21"/>
              </w:rPr>
              <w:t xml:space="preserve">Nuestra estructura no es esa pirámide, y no debe intentar serlo. Pero </w:t>
            </w:r>
            <w:r>
              <w:rPr>
                <w:b/>
                <w:bCs/>
                <w:sz w:val="21"/>
                <w:szCs w:val="21"/>
              </w:rPr>
              <w:t xml:space="preserve">los roles funcionales son los mismos</w:t>
            </w:r>
            <w:r>
              <w:rPr>
                <w:sz w:val="21"/>
                <w:szCs w:val="21"/>
              </w:rPr>
              <w:t xml:space="preserve">, y saber cuál falta es lo que ordena las contrataciones.</w:t>
            </w:r>
          </w:p>
          <w:p>
            <w:pPr>
              <w:spacing w:after="90" w:line="264"/>
            </w:pPr>
            <w:r>
              <w:rPr>
                <w:sz w:val="21"/>
                <w:szCs w:val="21"/>
              </w:rPr>
              <w:t xml:space="preserve">Hoy tenemos, en términos funcionales: el </w:t>
            </w:r>
            <w:r>
              <w:rPr>
                <w:b/>
                <w:bCs/>
                <w:sz w:val="21"/>
                <w:szCs w:val="21"/>
              </w:rPr>
              <w:t xml:space="preserve">abogado titular</w:t>
            </w:r>
            <w:r>
              <w:rPr>
                <w:sz w:val="21"/>
                <w:szCs w:val="21"/>
              </w:rPr>
              <w:t xml:space="preserve"> (criterio, firma, responsabilidad), un </w:t>
            </w:r>
            <w:r>
              <w:rPr>
                <w:b/>
                <w:bCs/>
                <w:sz w:val="21"/>
                <w:szCs w:val="21"/>
              </w:rPr>
              <w:t xml:space="preserve">abogado de operaciones y trabajo no contencioso</w:t>
            </w:r>
            <w:r>
              <w:rPr>
                <w:sz w:val="21"/>
                <w:szCs w:val="21"/>
              </w:rPr>
              <w:t xml:space="preserve">, y un </w:t>
            </w:r>
            <w:r>
              <w:rPr>
                <w:b/>
                <w:bCs/>
                <w:sz w:val="21"/>
                <w:szCs w:val="21"/>
              </w:rPr>
              <w:t xml:space="preserve">paralegal especializado</w:t>
            </w:r>
            <w:r>
              <w:rPr>
                <w:sz w:val="21"/>
                <w:szCs w:val="21"/>
              </w:rPr>
              <w:t xml:space="preserve"> en redacción de habeas federal. Falta explícitamente la capa de captación y la de entrega en volumen.</w:t>
            </w:r>
          </w:p>
          <w:p>
            <w:pPr>
              <w:spacing w:after="90" w:line="264"/>
            </w:pPr>
            <w:r>
              <w:rPr>
                <w:b/>
                <w:bCs/>
                <w:sz w:val="21"/>
                <w:szCs w:val="21"/>
              </w:rPr>
              <w:t xml:space="preserve">El orden de contratación que la economía sugiere</w:t>
            </w:r>
            <w:r>
              <w:rPr>
                <w:sz w:val="21"/>
                <w:szCs w:val="21"/>
              </w:rPr>
              <w:t xml:space="preserve"> (no el que sugiere la urgencia):</w:t>
            </w:r>
          </w:p>
          <w:p>
            <w:pPr>
              <w:spacing w:after="90" w:line="264"/>
            </w:pPr>
            <w:r>
              <w:rPr>
                <w:b/>
                <w:bCs/>
                <w:sz w:val="21"/>
                <w:szCs w:val="21"/>
              </w:rPr>
              <w:t xml:space="preserve">1.º — Un segundo paralegal o case manager, no un abogado.</w:t>
            </w:r>
            <w:r>
              <w:rPr>
                <w:sz w:val="21"/>
                <w:szCs w:val="21"/>
              </w:rPr>
              <w:t xml:space="preserve"> En una firma de precio cerrado, el margen por caso sube cuando baja el número de horas de abogado por caso. La forma más barata de conseguirlo es mover trabajo hacia abajo, no contratar más arriba. Un paralegal que absorbe intake, recopilación de documentos y seguimiento libera horas de abogado que valen tres o cuatro veces más.</w:t>
            </w:r>
          </w:p>
          <w:p>
            <w:pPr>
              <w:spacing w:after="90" w:line="264"/>
            </w:pPr>
            <w:r>
              <w:rPr>
                <w:b/>
                <w:bCs/>
                <w:sz w:val="21"/>
                <w:szCs w:val="21"/>
              </w:rPr>
              <w:t xml:space="preserve">2.º — Intake / recepción dedicada.</w:t>
            </w:r>
            <w:r>
              <w:rPr>
                <w:sz w:val="21"/>
                <w:szCs w:val="21"/>
              </w:rPr>
              <w:t xml:space="preserve"> La tasa de conversión de consulta a caso firmado es, casi siempre, la palanca de mayor retorno en una firma de consumidor (ver Parte 12, Ejemplo D). Pasa de 35 % a 45 % y facturas 29 % más sin gastar un dólar más en marketing. Nadie convierte bien atendiendo el teléfono entre dos audiencias.</w:t>
            </w:r>
          </w:p>
          <w:p>
            <w:pPr>
              <w:spacing w:after="90" w:line="264"/>
            </w:pPr>
            <w:r>
              <w:rPr>
                <w:b/>
                <w:bCs/>
                <w:sz w:val="21"/>
                <w:szCs w:val="21"/>
              </w:rPr>
              <w:t xml:space="preserve">3.º — Abogado asociado.</w:t>
            </w:r>
            <w:r>
              <w:rPr>
                <w:sz w:val="21"/>
                <w:szCs w:val="21"/>
              </w:rPr>
              <w:t xml:space="preserve"> Solo cuando el flujo de casos exceda de forma sostenida la capacidad, y con un plan explícito de qué tipo de asuntos se le delegan íntegros.</w:t>
            </w:r>
          </w:p>
          <w:p>
            <w:pPr>
              <w:spacing w:after="90" w:line="264"/>
            </w:pPr>
            <w:r>
              <w:rPr>
                <w:b/>
                <w:bCs/>
                <w:sz w:val="21"/>
                <w:szCs w:val="21"/>
              </w:rPr>
              <w:t xml:space="preserve">Sobre el «Of Counsel»:</w:t>
            </w:r>
            <w:r>
              <w:rPr>
                <w:sz w:val="21"/>
                <w:szCs w:val="21"/>
              </w:rPr>
              <w:t xml:space="preserve"> es la figura más infrautilizada por firmas pequeñas. Permite incorporar a un litigante federal con admisión en el distrito que necesitemos, o a un especialista en un tipo de alivio migratorio, </w:t>
            </w:r>
            <w:r>
              <w:rPr>
                <w:b/>
                <w:bCs/>
                <w:sz w:val="21"/>
                <w:szCs w:val="21"/>
              </w:rPr>
              <w:t xml:space="preserve">sin coste fijo y sin darle propiedad</w:t>
            </w:r>
            <w:r>
              <w:rPr>
                <w:sz w:val="21"/>
                <w:szCs w:val="21"/>
              </w:rPr>
              <w:t xml:space="preserve">. Para nuestra restricción de admisión en corte federal (Hecho 1, Parte 0), es la respuesta natural.</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3. El motor económico</w:t>
      </w:r>
    </w:p>
    <w:p>
      <w:pPr>
        <w:spacing w:after="140" w:line="276"/>
      </w:pPr>
      <w:r>
        <w:rPr>
          <w:sz w:val="21"/>
          <w:szCs w:val="21"/>
        </w:rPr>
        <w:t xml:space="preserve">Todo lo anterior existe para hacer funcionar una sola ecuación. Esta es la parte que convierte «estructura» en «modelo de negocio».</w:t>
      </w:r>
    </w:p>
    <w:p>
      <w:pPr>
        <w:pStyle w:val="Heading2"/>
        <w:spacing w:after="140" w:before="320"/>
      </w:pPr>
      <w:r>
        <w:rPr>
          <w:rFonts w:ascii="Calibri" w:cs="Calibri" w:eastAsia="Calibri" w:hAnsi="Calibri"/>
          <w:b/>
          <w:bCs/>
          <w:color w:val="1F3864"/>
          <w:sz w:val="25"/>
          <w:szCs w:val="25"/>
        </w:rPr>
        <w:t xml:space="preserve">3.1 La ecuación base</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Ingreso   =  Horas facturables x Tarifa x Realizacion x N.o de timekeepers</w:t>
            </w:r>
          </w:p>
          <w:p>
            <w:pPr>
              <w:spacing w:after="0" w:line="216"/>
            </w:pPr>
            <w:r>
              <w:rPr>
                <w:rFonts w:ascii="Consolas" w:cs="Consolas" w:eastAsia="Consolas" w:hAnsi="Consolas"/>
                <w:sz w:val="15"/>
                <w:szCs w:val="15"/>
              </w:rPr>
              <w:t xml:space="preserve">Utilidad  =  Ingreso - Gastos (incluida la compensacion de no-socios)</w:t>
            </w:r>
          </w:p>
          <w:p>
            <w:pPr>
              <w:spacing w:after="0" w:line="216"/>
            </w:pPr>
            <w:r>
              <w:rPr>
                <w:rFonts w:ascii="Consolas" w:cs="Consolas" w:eastAsia="Consolas" w:hAnsi="Consolas"/>
                <w:sz w:val="15"/>
                <w:szCs w:val="15"/>
              </w:rPr>
              <w:t xml:space="preserve">PEP       =  Utilidad / N.o de socios equity</w:t>
            </w:r>
          </w:p>
        </w:tc>
      </w:tr>
    </w:tbl>
    <w:p>
      <w:pPr>
        <w:spacing w:after="140"/>
      </w:pPr>
    </w:p>
    <w:p>
      <w:pPr>
        <w:spacing w:after="140" w:line="276"/>
      </w:pPr>
      <w:r>
        <w:rPr>
          <w:sz w:val="21"/>
          <w:szCs w:val="21"/>
        </w:rPr>
        <w:t xml:space="preserve">Desglosada en sus cinco palancas — la regla mnemotécnica </w:t>
      </w:r>
      <w:r>
        <w:rPr>
          <w:b/>
          <w:bCs/>
          <w:sz w:val="21"/>
          <w:szCs w:val="21"/>
        </w:rPr>
        <w:t xml:space="preserve">R-U-L-E-S</w:t>
      </w:r>
      <w:r>
        <w:rPr>
          <w:sz w:val="21"/>
          <w:szCs w:val="21"/>
        </w:rPr>
        <w:t xml:space="preserve">:</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900"/>
        <w:gridCol w:w="3100"/>
        <w:gridCol w:w="4360"/>
      </w:tblGrid>
      <w:tr>
        <w:trPr>
          <w:tblHeader/>
        </w:trPr>
        <w:tc>
          <w:tcPr>
            <w:tcW w:type="dxa" w:w="1900"/>
            <w:shd w:fill="1F3864" w:val="clear"/>
            <w:tcMar>
              <w:top w:type="dxa" w:w="90"/>
              <w:left w:type="dxa" w:w="110"/>
              <w:bottom w:type="dxa" w:w="90"/>
              <w:right w:type="dxa" w:w="110"/>
            </w:tcMar>
          </w:tcPr>
          <w:p>
            <w:pPr>
              <w:spacing w:after="0" w:line="250"/>
            </w:pPr>
            <w:r>
              <w:rPr>
                <w:b/>
                <w:bCs/>
                <w:color w:val="FFFFFF"/>
                <w:sz w:val="19"/>
                <w:szCs w:val="19"/>
              </w:rPr>
              <w:t xml:space="preserve">Palanca</w:t>
            </w:r>
          </w:p>
        </w:tc>
        <w:tc>
          <w:tcPr>
            <w:tcW w:type="dxa" w:w="3100"/>
            <w:shd w:fill="1F3864" w:val="clear"/>
            <w:tcMar>
              <w:top w:type="dxa" w:w="90"/>
              <w:left w:type="dxa" w:w="110"/>
              <w:bottom w:type="dxa" w:w="90"/>
              <w:right w:type="dxa" w:w="110"/>
            </w:tcMar>
          </w:tcPr>
          <w:p>
            <w:pPr>
              <w:spacing w:after="0" w:line="250"/>
            </w:pPr>
            <w:r>
              <w:rPr>
                <w:b/>
                <w:bCs/>
                <w:color w:val="FFFFFF"/>
                <w:sz w:val="19"/>
                <w:szCs w:val="19"/>
              </w:rPr>
              <w:t xml:space="preserve">Qué es</w:t>
            </w:r>
          </w:p>
        </w:tc>
        <w:tc>
          <w:tcPr>
            <w:tcW w:type="dxa" w:w="4360"/>
            <w:shd w:fill="1F3864" w:val="clear"/>
            <w:tcMar>
              <w:top w:type="dxa" w:w="90"/>
              <w:left w:type="dxa" w:w="110"/>
              <w:bottom w:type="dxa" w:w="90"/>
              <w:right w:type="dxa" w:w="110"/>
            </w:tcMar>
          </w:tcPr>
          <w:p>
            <w:pPr>
              <w:spacing w:after="0" w:line="250"/>
            </w:pPr>
            <w:r>
              <w:rPr>
                <w:b/>
                <w:bCs/>
                <w:color w:val="FFFFFF"/>
                <w:sz w:val="19"/>
                <w:szCs w:val="19"/>
              </w:rPr>
              <w:t xml:space="preserve">Cómo se mueve</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R</w:t>
            </w:r>
            <w:r>
              <w:rPr>
                <w:sz w:val="19"/>
                <w:szCs w:val="19"/>
              </w:rPr>
              <w:t xml:space="preserve"> — Rate</w:t>
            </w:r>
          </w:p>
          <w:p>
            <w:pPr>
              <w:spacing w:after="0" w:line="250"/>
            </w:pPr>
            <w:r>
              <w:rPr>
                <w:sz w:val="19"/>
                <w:szCs w:val="19"/>
              </w:rPr>
              <w:t xml:space="preserve">(tarifa)</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Precio por hora o valor del encargo</w:t>
            </w:r>
          </w:p>
        </w:tc>
        <w:tc>
          <w:tcPr>
            <w:tcW w:type="dxa" w:w="4360"/>
            <w:shd w:fill="FFFFFF" w:val="clear"/>
            <w:tcMar>
              <w:top w:type="dxa" w:w="80"/>
              <w:left w:type="dxa" w:w="110"/>
              <w:bottom w:type="dxa" w:w="80"/>
              <w:right w:type="dxa" w:w="110"/>
            </w:tcMar>
            <w:vAlign w:val="center"/>
          </w:tcPr>
          <w:p>
            <w:pPr>
              <w:spacing w:after="0" w:line="250"/>
            </w:pPr>
            <w:r>
              <w:rPr>
                <w:sz w:val="19"/>
                <w:szCs w:val="19"/>
              </w:rPr>
              <w:t xml:space="preserve">Subida anual, mix hacia trabajo de mayor valor, precio por valor</w:t>
            </w:r>
          </w:p>
        </w:tc>
      </w:tr>
      <w:tr>
        <w:tc>
          <w:tcPr>
            <w:tcW w:type="dxa" w:w="1900"/>
            <w:shd w:fill="F5F7FA" w:val="clear"/>
            <w:tcMar>
              <w:top w:type="dxa" w:w="80"/>
              <w:left w:type="dxa" w:w="110"/>
              <w:bottom w:type="dxa" w:w="80"/>
              <w:right w:type="dxa" w:w="110"/>
            </w:tcMar>
            <w:vAlign w:val="center"/>
          </w:tcPr>
          <w:p>
            <w:pPr>
              <w:spacing w:after="0" w:line="250"/>
            </w:pPr>
            <w:r>
              <w:rPr>
                <w:b/>
                <w:bCs/>
                <w:sz w:val="19"/>
                <w:szCs w:val="19"/>
              </w:rPr>
              <w:t xml:space="preserve">U</w:t>
            </w:r>
            <w:r>
              <w:rPr>
                <w:sz w:val="19"/>
                <w:szCs w:val="19"/>
              </w:rPr>
              <w:t xml:space="preserve"> — Utilization</w:t>
            </w:r>
          </w:p>
          <w:p>
            <w:pPr>
              <w:spacing w:after="0" w:line="250"/>
            </w:pPr>
            <w:r>
              <w:rPr>
                <w:sz w:val="19"/>
                <w:szCs w:val="19"/>
              </w:rPr>
              <w:t xml:space="preserve">(utilización)</w:t>
            </w:r>
          </w:p>
        </w:tc>
        <w:tc>
          <w:tcPr>
            <w:tcW w:type="dxa" w:w="3100"/>
            <w:shd w:fill="F5F7FA" w:val="clear"/>
            <w:tcMar>
              <w:top w:type="dxa" w:w="80"/>
              <w:left w:type="dxa" w:w="110"/>
              <w:bottom w:type="dxa" w:w="80"/>
              <w:right w:type="dxa" w:w="110"/>
            </w:tcMar>
            <w:vAlign w:val="center"/>
          </w:tcPr>
          <w:p>
            <w:pPr>
              <w:spacing w:after="0" w:line="250"/>
            </w:pPr>
            <w:r>
              <w:rPr>
                <w:sz w:val="19"/>
                <w:szCs w:val="19"/>
              </w:rPr>
              <w:t xml:space="preserve">Horas facturables efectivas por persona</w:t>
            </w:r>
          </w:p>
        </w:tc>
        <w:tc>
          <w:tcPr>
            <w:tcW w:type="dxa" w:w="4360"/>
            <w:shd w:fill="F5F7FA" w:val="clear"/>
            <w:tcMar>
              <w:top w:type="dxa" w:w="80"/>
              <w:left w:type="dxa" w:w="110"/>
              <w:bottom w:type="dxa" w:w="80"/>
              <w:right w:type="dxa" w:w="110"/>
            </w:tcMar>
            <w:vAlign w:val="center"/>
          </w:tcPr>
          <w:p>
            <w:pPr>
              <w:spacing w:after="0" w:line="250"/>
            </w:pPr>
            <w:r>
              <w:rPr>
                <w:sz w:val="19"/>
                <w:szCs w:val="19"/>
              </w:rPr>
              <w:t xml:space="preserve">Flujo de trabajo estable, menos tiempo muerto, mejor asignación</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L</w:t>
            </w:r>
            <w:r>
              <w:rPr>
                <w:sz w:val="19"/>
                <w:szCs w:val="19"/>
              </w:rPr>
              <w:t xml:space="preserve"> — Leverage</w:t>
            </w:r>
          </w:p>
          <w:p>
            <w:pPr>
              <w:spacing w:after="0" w:line="250"/>
            </w:pPr>
            <w:r>
              <w:rPr>
                <w:sz w:val="19"/>
                <w:szCs w:val="19"/>
              </w:rPr>
              <w:t xml:space="preserve">(apalancamiento)</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Ratio de personal no propietario por propietario</w:t>
            </w:r>
          </w:p>
        </w:tc>
        <w:tc>
          <w:tcPr>
            <w:tcW w:type="dxa" w:w="4360"/>
            <w:shd w:fill="FFFFFF" w:val="clear"/>
            <w:tcMar>
              <w:top w:type="dxa" w:w="80"/>
              <w:left w:type="dxa" w:w="110"/>
              <w:bottom w:type="dxa" w:w="80"/>
              <w:right w:type="dxa" w:w="110"/>
            </w:tcMar>
            <w:vAlign w:val="center"/>
          </w:tcPr>
          <w:p>
            <w:pPr>
              <w:spacing w:after="0" w:line="250"/>
            </w:pPr>
            <w:r>
              <w:rPr>
                <w:sz w:val="19"/>
                <w:szCs w:val="19"/>
              </w:rPr>
              <w:t xml:space="preserve">Delegar hacia abajo; más gente ejecutando por cada dueño</w:t>
            </w:r>
          </w:p>
        </w:tc>
      </w:tr>
      <w:tr>
        <w:tc>
          <w:tcPr>
            <w:tcW w:type="dxa" w:w="1900"/>
            <w:shd w:fill="F5F7FA" w:val="clear"/>
            <w:tcMar>
              <w:top w:type="dxa" w:w="80"/>
              <w:left w:type="dxa" w:w="110"/>
              <w:bottom w:type="dxa" w:w="80"/>
              <w:right w:type="dxa" w:w="110"/>
            </w:tcMar>
            <w:vAlign w:val="center"/>
          </w:tcPr>
          <w:p>
            <w:pPr>
              <w:spacing w:after="0" w:line="250"/>
            </w:pPr>
            <w:r>
              <w:rPr>
                <w:b/>
                <w:bCs/>
                <w:sz w:val="19"/>
                <w:szCs w:val="19"/>
              </w:rPr>
              <w:t xml:space="preserve">E</w:t>
            </w:r>
            <w:r>
              <w:rPr>
                <w:sz w:val="19"/>
                <w:szCs w:val="19"/>
              </w:rPr>
              <w:t xml:space="preserve"> — Expense</w:t>
            </w:r>
          </w:p>
          <w:p>
            <w:pPr>
              <w:spacing w:after="0" w:line="250"/>
            </w:pPr>
            <w:r>
              <w:rPr>
                <w:sz w:val="19"/>
                <w:szCs w:val="19"/>
              </w:rPr>
              <w:t xml:space="preserve">(gasto)</w:t>
            </w:r>
          </w:p>
        </w:tc>
        <w:tc>
          <w:tcPr>
            <w:tcW w:type="dxa" w:w="3100"/>
            <w:shd w:fill="F5F7FA" w:val="clear"/>
            <w:tcMar>
              <w:top w:type="dxa" w:w="80"/>
              <w:left w:type="dxa" w:w="110"/>
              <w:bottom w:type="dxa" w:w="80"/>
              <w:right w:type="dxa" w:w="110"/>
            </w:tcMar>
            <w:vAlign w:val="center"/>
          </w:tcPr>
          <w:p>
            <w:pPr>
              <w:spacing w:after="0" w:line="250"/>
            </w:pPr>
            <w:r>
              <w:rPr>
                <w:sz w:val="19"/>
                <w:szCs w:val="19"/>
              </w:rPr>
              <w:t xml:space="preserve">Costo por abogado</w:t>
            </w:r>
          </w:p>
        </w:tc>
        <w:tc>
          <w:tcPr>
            <w:tcW w:type="dxa" w:w="4360"/>
            <w:shd w:fill="F5F7FA" w:val="clear"/>
            <w:tcMar>
              <w:top w:type="dxa" w:w="80"/>
              <w:left w:type="dxa" w:w="110"/>
              <w:bottom w:type="dxa" w:w="80"/>
              <w:right w:type="dxa" w:w="110"/>
            </w:tcMar>
            <w:vAlign w:val="center"/>
          </w:tcPr>
          <w:p>
            <w:pPr>
              <w:spacing w:after="0" w:line="250"/>
            </w:pPr>
            <w:r>
              <w:rPr>
                <w:sz w:val="19"/>
                <w:szCs w:val="19"/>
              </w:rPr>
              <w:t xml:space="preserve">Espacio, tecnología, personal de apoyo</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S</w:t>
            </w:r>
            <w:r>
              <w:rPr>
                <w:sz w:val="19"/>
                <w:szCs w:val="19"/>
              </w:rPr>
              <w:t xml:space="preserve"> — Speed</w:t>
            </w:r>
          </w:p>
          <w:p>
            <w:pPr>
              <w:spacing w:after="0" w:line="250"/>
            </w:pPr>
            <w:r>
              <w:rPr>
                <w:sz w:val="19"/>
                <w:szCs w:val="19"/>
              </w:rPr>
              <w:t xml:space="preserve">(velocidad de cobro)</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Días entre trabajo hecho y dinero en banco</w:t>
            </w:r>
          </w:p>
        </w:tc>
        <w:tc>
          <w:tcPr>
            <w:tcW w:type="dxa" w:w="4360"/>
            <w:shd w:fill="FFFFFF" w:val="clear"/>
            <w:tcMar>
              <w:top w:type="dxa" w:w="80"/>
              <w:left w:type="dxa" w:w="110"/>
              <w:bottom w:type="dxa" w:w="80"/>
              <w:right w:type="dxa" w:w="110"/>
            </w:tcMar>
            <w:vAlign w:val="center"/>
          </w:tcPr>
          <w:p>
            <w:pPr>
              <w:spacing w:after="0" w:line="250"/>
            </w:pPr>
            <w:r>
              <w:rPr>
                <w:sz w:val="19"/>
                <w:szCs w:val="19"/>
              </w:rPr>
              <w:t xml:space="preserve">Facturación puntual, cobranza activa, anticipos</w:t>
            </w:r>
          </w:p>
        </w:tc>
      </w:tr>
    </w:tbl>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El punto que casi todos leen mal</w:t>
            </w:r>
          </w:p>
          <w:p>
            <w:pPr>
              <w:spacing w:after="90" w:line="264"/>
            </w:pPr>
            <w:r>
              <w:rPr>
                <w:sz w:val="21"/>
                <w:szCs w:val="21"/>
              </w:rPr>
              <w:t xml:space="preserve">Estas cinco palancas </w:t>
            </w:r>
            <w:r>
              <w:rPr>
                <w:b/>
                <w:bCs/>
                <w:sz w:val="21"/>
                <w:szCs w:val="21"/>
              </w:rPr>
              <w:t xml:space="preserve">se multiplican, no se suman.</w:t>
            </w:r>
            <w:r>
              <w:rPr>
                <w:sz w:val="21"/>
                <w:szCs w:val="21"/>
              </w:rPr>
              <w:t xml:space="preserve"> Una mejora del 5 % en cada una no produce +25 %; produce aproximadamente </w:t>
            </w:r>
            <w:r>
              <w:rPr>
                <w:b/>
                <w:bCs/>
                <w:sz w:val="21"/>
                <w:szCs w:val="21"/>
              </w:rPr>
              <w:t xml:space="preserve">+28 %</w:t>
            </w:r>
            <w:r>
              <w:rPr>
                <w:sz w:val="21"/>
                <w:szCs w:val="21"/>
              </w:rPr>
              <w:t xml:space="preserve"> de utilidad.</w:t>
            </w:r>
          </w:p>
          <w:p>
            <w:pPr>
              <w:spacing w:after="90" w:line="264"/>
            </w:pPr>
            <w:r>
              <w:rPr>
                <w:sz w:val="21"/>
                <w:szCs w:val="21"/>
              </w:rPr>
              <w:t xml:space="preserve">Y funciona igual en la otra dirección: descuidar dos de ellas anula el esfuerzo puesto en las otras tres. Por eso una firma puede subir precios todos los años y no ver diferencia en el banco — está regalando por el lado de la realización y del cobro lo que gana por el lado de la tarifa.</w:t>
            </w:r>
          </w:p>
        </w:tc>
      </w:tr>
    </w:tbl>
    <w:p>
      <w:pPr>
        <w:spacing w:after="160"/>
      </w:pPr>
    </w:p>
    <w:p>
      <w:pPr>
        <w:pStyle w:val="Heading2"/>
        <w:spacing w:after="140" w:before="320"/>
      </w:pPr>
      <w:r>
        <w:rPr>
          <w:rFonts w:ascii="Calibri" w:cs="Calibri" w:eastAsia="Calibri" w:hAnsi="Calibri"/>
          <w:b/>
          <w:bCs/>
          <w:color w:val="1F3864"/>
          <w:sz w:val="25"/>
          <w:szCs w:val="25"/>
        </w:rPr>
        <w:t xml:space="preserve">3.2 El apalancamiento es el corazón del modelo tradicional</w:t>
      </w:r>
    </w:p>
    <w:p>
      <w:pPr>
        <w:spacing w:after="140" w:line="276"/>
      </w:pPr>
      <w:r>
        <w:rPr>
          <w:sz w:val="21"/>
          <w:szCs w:val="21"/>
        </w:rPr>
        <w:t xml:space="preserve">El modelo clásico de firma es una </w:t>
      </w:r>
      <w:r>
        <w:rPr>
          <w:b/>
          <w:bCs/>
          <w:sz w:val="21"/>
          <w:szCs w:val="21"/>
        </w:rPr>
        <w:t xml:space="preserve">pirámide</w:t>
      </w:r>
      <w:r>
        <w:rPr>
          <w:sz w:val="21"/>
          <w:szCs w:val="21"/>
        </w:rPr>
        <w:t xml:space="preserve">: el socio vende y supervisa, los asociados ejecutan, y la firma se queda con el diferencial entre lo que le paga al asociado y lo que factura por su tiempo. La matemática, con un asociado mid-level:</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Tarifa facturada                 $ 550 / hora</w:t>
            </w:r>
          </w:p>
          <w:p>
            <w:pPr>
              <w:spacing w:after="0" w:line="216"/>
            </w:pPr>
            <w:r>
              <w:rPr>
                <w:rFonts w:ascii="Consolas" w:cs="Consolas" w:eastAsia="Consolas" w:hAnsi="Consolas"/>
                <w:sz w:val="15"/>
                <w:szCs w:val="15"/>
              </w:rPr>
              <w:t xml:space="preserve">Horas facturables al ano             1,800</w:t>
            </w:r>
          </w:p>
          <w:p>
            <w:pPr>
              <w:spacing w:after="0" w:line="216"/>
            </w:pPr>
            <w:r>
              <w:rPr>
                <w:rFonts w:ascii="Consolas" w:cs="Consolas" w:eastAsia="Consolas" w:hAnsi="Consolas"/>
                <w:sz w:val="15"/>
                <w:szCs w:val="15"/>
              </w:rPr>
              <w:t xml:space="preserve">Facturacion bruta                $ 990,000</w:t>
            </w:r>
          </w:p>
          <w:p>
            <w:pPr>
              <w:spacing w:after="0" w:line="216"/>
            </w:pPr>
            <w:r>
              <w:rPr>
                <w:rFonts w:ascii="Consolas" w:cs="Consolas" w:eastAsia="Consolas" w:hAnsi="Consolas"/>
                <w:sz w:val="15"/>
                <w:szCs w:val="15"/>
              </w:rPr>
              <w:t xml:space="preserve">x Realizacion (88 %)             $ 871,200   &lt;- lo que de verdad se factura y cobra</w:t>
            </w:r>
          </w:p>
          <w:p>
            <w:pPr>
              <w:spacing w:after="0" w:line="216"/>
            </w:pPr>
            <w:r>
              <w:rPr>
                <w:rFonts w:ascii="Consolas" w:cs="Consolas" w:eastAsia="Consolas" w:hAnsi="Consolas"/>
                <w:sz w:val="15"/>
                <w:szCs w:val="15"/>
              </w:rPr>
              <w:t xml:space="preserve">- Salario                        $ 250,000</w:t>
            </w:r>
          </w:p>
          <w:p>
            <w:pPr>
              <w:spacing w:after="0" w:line="216"/>
            </w:pPr>
            <w:r>
              <w:rPr>
                <w:rFonts w:ascii="Consolas" w:cs="Consolas" w:eastAsia="Consolas" w:hAnsi="Consolas"/>
                <w:sz w:val="15"/>
                <w:szCs w:val="15"/>
              </w:rPr>
              <w:t xml:space="preserve">- Bono                           $  30,000</w:t>
            </w:r>
          </w:p>
          <w:p>
            <w:pPr>
              <w:spacing w:after="0" w:line="216"/>
            </w:pPr>
            <w:r>
              <w:rPr>
                <w:rFonts w:ascii="Consolas" w:cs="Consolas" w:eastAsia="Consolas" w:hAnsi="Consolas"/>
                <w:sz w:val="15"/>
                <w:szCs w:val="15"/>
              </w:rPr>
              <w:t xml:space="preserve">- Carga laboral (25 %)           $  70,000</w:t>
            </w:r>
          </w:p>
          <w:p>
            <w:pPr>
              <w:spacing w:after="0" w:line="216"/>
            </w:pPr>
            <w:r>
              <w:rPr>
                <w:rFonts w:ascii="Consolas" w:cs="Consolas" w:eastAsia="Consolas" w:hAnsi="Consolas"/>
                <w:sz w:val="15"/>
                <w:szCs w:val="15"/>
              </w:rPr>
              <w:t xml:space="preserve">- Overhead asignado              $ 160,000   &lt;- espacio, tecnologia, apoyo, seguros</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Contribucion al socio            $ 361,200   &lt;- esto es margen del dueno</w:t>
            </w:r>
          </w:p>
        </w:tc>
      </w:tr>
    </w:tbl>
    <w:p>
      <w:pPr>
        <w:spacing w:after="140"/>
      </w:pPr>
    </w:p>
    <w:p>
      <w:pPr>
        <w:spacing w:after="140" w:line="276"/>
      </w:pPr>
      <w:r>
        <w:rPr>
          <w:sz w:val="21"/>
          <w:szCs w:val="21"/>
        </w:rPr>
        <w:t xml:space="preserve">Un socio con </w:t>
      </w:r>
      <w:r>
        <w:rPr>
          <w:b/>
          <w:bCs/>
          <w:sz w:val="21"/>
          <w:szCs w:val="21"/>
        </w:rPr>
        <w:t xml:space="preserve">cuatro</w:t>
      </w:r>
      <w:r>
        <w:rPr>
          <w:sz w:val="21"/>
          <w:szCs w:val="21"/>
        </w:rPr>
        <w:t xml:space="preserve"> asociados así aporta ~$1.44 M de margen </w:t>
      </w:r>
      <w:r>
        <w:rPr>
          <w:i/>
          <w:iCs/>
          <w:sz w:val="21"/>
          <w:szCs w:val="21"/>
        </w:rPr>
        <w:t xml:space="preserve">antes</w:t>
      </w:r>
      <w:r>
        <w:rPr>
          <w:sz w:val="21"/>
          <w:szCs w:val="21"/>
        </w:rPr>
        <w:t xml:space="preserve"> de contar una sola hora propia. Ese es el motor de la pirámide, y es literalmente la razón por la que existe la jerarquía de la Parte 2.</w:t>
      </w:r>
    </w:p>
    <w:p>
      <w:pPr>
        <w:spacing w:after="80"/>
      </w:pPr>
    </w:p>
    <w:p>
      <w:pPr>
        <w:spacing w:after="140" w:line="276"/>
      </w:pPr>
      <w:r>
        <w:rPr>
          <w:b/>
          <w:bCs/>
          <w:sz w:val="21"/>
          <w:szCs w:val="21"/>
        </w:rPr>
        <w:t xml:space="preserve">La regla de los tercios</w:t>
      </w:r>
      <w:r>
        <w:rPr>
          <w:sz w:val="21"/>
          <w:szCs w:val="21"/>
        </w:rPr>
        <w:t xml:space="preserve">, heurística clásica de gestión de firmas:</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1/3 del ingreso que genera un abogado  -&gt;  su compensacion</w:t>
            </w:r>
          </w:p>
          <w:p>
            <w:pPr>
              <w:spacing w:after="0" w:line="216"/>
            </w:pPr>
            <w:r>
              <w:rPr>
                <w:rFonts w:ascii="Consolas" w:cs="Consolas" w:eastAsia="Consolas" w:hAnsi="Consolas"/>
                <w:sz w:val="15"/>
                <w:szCs w:val="15"/>
              </w:rPr>
              <w:t xml:space="preserve">1/3                                    -&gt;  overhead de la firma</w:t>
            </w:r>
          </w:p>
          <w:p>
            <w:pPr>
              <w:spacing w:after="0" w:line="216"/>
            </w:pPr>
            <w:r>
              <w:rPr>
                <w:rFonts w:ascii="Consolas" w:cs="Consolas" w:eastAsia="Consolas" w:hAnsi="Consolas"/>
                <w:sz w:val="15"/>
                <w:szCs w:val="15"/>
              </w:rPr>
              <w:t xml:space="preserve">1/3                                    -&gt;  utilidad de los duenos</w:t>
            </w:r>
          </w:p>
        </w:tc>
      </w:tr>
    </w:tbl>
    <w:p>
      <w:pPr>
        <w:spacing w:after="140"/>
      </w:pPr>
    </w:p>
    <w:p>
      <w:pPr>
        <w:spacing w:after="140" w:line="276"/>
      </w:pPr>
      <w:r>
        <w:rPr>
          <w:sz w:val="21"/>
          <w:szCs w:val="21"/>
        </w:rPr>
        <w:t xml:space="preserve">Si una firma se desvía mucho de esa proporción, ahí está el problema — y la desviación dice cuál es.</w:t>
      </w:r>
    </w:p>
    <w:p>
      <w:pPr>
        <w:pStyle w:val="Heading2"/>
        <w:spacing w:after="140" w:before="320"/>
      </w:pPr>
      <w:r>
        <w:rPr>
          <w:rFonts w:ascii="Calibri" w:cs="Calibri" w:eastAsia="Calibri" w:hAnsi="Calibri"/>
          <w:b/>
          <w:bCs/>
          <w:color w:val="1F3864"/>
          <w:sz w:val="25"/>
          <w:szCs w:val="25"/>
        </w:rPr>
        <w:t xml:space="preserve">3.3 Realización: los dos descuentos invisibles</w:t>
      </w:r>
    </w:p>
    <w:p>
      <w:pPr>
        <w:spacing w:after="140" w:line="276"/>
      </w:pPr>
      <w:r>
        <w:rPr>
          <w:b/>
          <w:bCs/>
          <w:sz w:val="21"/>
          <w:szCs w:val="21"/>
        </w:rPr>
        <w:t xml:space="preserve">La facturación bruta nunca es el ingreso.</w:t>
      </w:r>
      <w:r>
        <w:rPr>
          <w:sz w:val="21"/>
          <w:szCs w:val="21"/>
        </w:rPr>
        <w:t xml:space="preserve"> Hay dos fugas sucesivas, y la mayoría de las firmas solo mira la segunda:</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Horas registradas (worked)</w:t>
            </w:r>
          </w:p>
          <w:p>
            <w:pPr>
              <w:spacing w:after="0" w:line="216"/>
            </w:pPr>
            <w:r>
              <w:rPr>
                <w:rFonts w:ascii="Consolas" w:cs="Consolas" w:eastAsia="Consolas" w:hAnsi="Consolas"/>
                <w:sz w:val="15"/>
                <w:szCs w:val="15"/>
              </w:rPr>
              <w:t xml:space="preserve">   |  -  descuento de facturacion  (billing realization)</w:t>
            </w:r>
          </w:p>
          <w:p>
            <w:pPr>
              <w:spacing w:after="0" w:line="216"/>
            </w:pPr>
            <w:r>
              <w:rPr>
                <w:rFonts w:ascii="Consolas" w:cs="Consolas" w:eastAsia="Consolas" w:hAnsi="Consolas"/>
                <w:sz w:val="15"/>
                <w:szCs w:val="15"/>
              </w:rPr>
              <w:t xml:space="preserve">   |     horas que el abogado borra: ineficiencia, cortesia, tope pactado</w:t>
            </w:r>
          </w:p>
          <w:p>
            <w:pPr>
              <w:spacing w:after="0" w:line="216"/>
            </w:pPr>
            <w:r>
              <w:rPr>
                <w:rFonts w:ascii="Consolas" w:cs="Consolas" w:eastAsia="Consolas" w:hAnsi="Consolas"/>
                <w:sz w:val="15"/>
                <w:szCs w:val="15"/>
              </w:rPr>
              <w:t xml:space="preserve">Horas facturadas (billed)</w:t>
            </w:r>
          </w:p>
          <w:p>
            <w:pPr>
              <w:spacing w:after="0" w:line="216"/>
            </w:pPr>
            <w:r>
              <w:rPr>
                <w:rFonts w:ascii="Consolas" w:cs="Consolas" w:eastAsia="Consolas" w:hAnsi="Consolas"/>
                <w:sz w:val="15"/>
                <w:szCs w:val="15"/>
              </w:rPr>
              <w:t xml:space="preserve">   |  -  descuento de cobro  (collection realization)</w:t>
            </w:r>
          </w:p>
          <w:p>
            <w:pPr>
              <w:spacing w:after="0" w:line="216"/>
            </w:pPr>
            <w:r>
              <w:rPr>
                <w:rFonts w:ascii="Consolas" w:cs="Consolas" w:eastAsia="Consolas" w:hAnsi="Consolas"/>
                <w:sz w:val="15"/>
                <w:szCs w:val="15"/>
              </w:rPr>
              <w:t xml:space="preserve">   |     facturas que el cliente paga parcialmente o no paga nunca</w:t>
            </w:r>
          </w:p>
          <w:p>
            <w:pPr>
              <w:spacing w:after="0" w:line="216"/>
            </w:pPr>
            <w:r>
              <w:rPr>
                <w:rFonts w:ascii="Consolas" w:cs="Consolas" w:eastAsia="Consolas" w:hAnsi="Consolas"/>
                <w:sz w:val="15"/>
                <w:szCs w:val="15"/>
              </w:rPr>
              <w:t xml:space="preserve">Ingreso cobrado (collected)</w:t>
            </w:r>
          </w:p>
        </w:tc>
      </w:tr>
    </w:tbl>
    <w:p>
      <w:pPr>
        <w:spacing w:after="140"/>
      </w:pP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700"/>
        <w:gridCol w:w="2400"/>
        <w:gridCol w:w="2200"/>
        <w:gridCol w:w="2060"/>
      </w:tblGrid>
      <w:tr>
        <w:trPr>
          <w:tblHeader/>
        </w:trPr>
        <w:tc>
          <w:tcPr>
            <w:tcW w:type="dxa" w:w="2700"/>
            <w:shd w:fill="1F3864" w:val="clear"/>
            <w:tcMar>
              <w:top w:type="dxa" w:w="90"/>
              <w:left w:type="dxa" w:w="110"/>
              <w:bottom w:type="dxa" w:w="90"/>
              <w:right w:type="dxa" w:w="110"/>
            </w:tcMar>
          </w:tcPr>
          <w:p>
            <w:pPr>
              <w:spacing w:after="0" w:line="250"/>
            </w:pPr>
            <w:r>
              <w:rPr>
                <w:b/>
                <w:bCs/>
                <w:color w:val="FFFFFF"/>
                <w:sz w:val="19"/>
                <w:szCs w:val="19"/>
              </w:rPr>
              <w:t xml:space="preserve">Escenario</w:t>
            </w:r>
          </w:p>
        </w:tc>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Realización de facturación</w:t>
            </w:r>
          </w:p>
        </w:tc>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Realización de cobro</w:t>
            </w:r>
          </w:p>
        </w:tc>
        <w:tc>
          <w:tcPr>
            <w:tcW w:type="dxa" w:w="2060"/>
            <w:shd w:fill="1F3864" w:val="clear"/>
            <w:tcMar>
              <w:top w:type="dxa" w:w="90"/>
              <w:left w:type="dxa" w:w="110"/>
              <w:bottom w:type="dxa" w:w="90"/>
              <w:right w:type="dxa" w:w="110"/>
            </w:tcMar>
          </w:tcPr>
          <w:p>
            <w:pPr>
              <w:spacing w:after="0" w:line="250"/>
            </w:pPr>
            <w:r>
              <w:rPr>
                <w:b/>
                <w:bCs/>
                <w:color w:val="FFFFFF"/>
                <w:sz w:val="19"/>
                <w:szCs w:val="19"/>
              </w:rPr>
              <w:t xml:space="preserve">Realización total</w:t>
            </w:r>
          </w:p>
        </w:tc>
      </w:tr>
      <w:tr>
        <w:tc>
          <w:tcPr>
            <w:tcW w:type="dxa" w:w="2700"/>
            <w:shd w:fill="FFFFFF" w:val="clear"/>
            <w:tcMar>
              <w:top w:type="dxa" w:w="80"/>
              <w:left w:type="dxa" w:w="110"/>
              <w:bottom w:type="dxa" w:w="80"/>
              <w:right w:type="dxa" w:w="110"/>
            </w:tcMar>
            <w:vAlign w:val="center"/>
          </w:tcPr>
          <w:p>
            <w:pPr>
              <w:spacing w:after="0" w:line="250"/>
            </w:pPr>
            <w:r>
              <w:rPr>
                <w:sz w:val="19"/>
                <w:szCs w:val="19"/>
              </w:rPr>
              <w:t xml:space="preserve">Firma bien gestionada</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92 %</w:t>
            </w:r>
          </w:p>
        </w:tc>
        <w:tc>
          <w:tcPr>
            <w:tcW w:type="dxa" w:w="2200"/>
            <w:shd w:fill="FFFFFF" w:val="clear"/>
            <w:tcMar>
              <w:top w:type="dxa" w:w="80"/>
              <w:left w:type="dxa" w:w="110"/>
              <w:bottom w:type="dxa" w:w="80"/>
              <w:right w:type="dxa" w:w="110"/>
            </w:tcMar>
            <w:vAlign w:val="center"/>
          </w:tcPr>
          <w:p>
            <w:pPr>
              <w:spacing w:after="0" w:line="250"/>
              <w:jc w:val="right"/>
            </w:pPr>
            <w:r>
              <w:rPr>
                <w:sz w:val="19"/>
                <w:szCs w:val="19"/>
              </w:rPr>
              <w:t xml:space="preserve">97 %</w:t>
            </w:r>
          </w:p>
        </w:tc>
        <w:tc>
          <w:tcPr>
            <w:tcW w:type="dxa" w:w="2060"/>
            <w:shd w:fill="FFFFFF" w:val="clear"/>
            <w:tcMar>
              <w:top w:type="dxa" w:w="80"/>
              <w:left w:type="dxa" w:w="110"/>
              <w:bottom w:type="dxa" w:w="80"/>
              <w:right w:type="dxa" w:w="110"/>
            </w:tcMar>
            <w:vAlign w:val="center"/>
          </w:tcPr>
          <w:p>
            <w:pPr>
              <w:spacing w:after="0" w:line="250"/>
              <w:jc w:val="right"/>
            </w:pPr>
            <w:r>
              <w:rPr>
                <w:b/>
                <w:bCs/>
                <w:sz w:val="19"/>
                <w:szCs w:val="19"/>
              </w:rPr>
              <w:t xml:space="preserve">89 %</w:t>
            </w:r>
          </w:p>
        </w:tc>
      </w:tr>
      <w:tr>
        <w:tc>
          <w:tcPr>
            <w:tcW w:type="dxa" w:w="2700"/>
            <w:shd w:fill="F5F7FA" w:val="clear"/>
            <w:tcMar>
              <w:top w:type="dxa" w:w="80"/>
              <w:left w:type="dxa" w:w="110"/>
              <w:bottom w:type="dxa" w:w="80"/>
              <w:right w:type="dxa" w:w="110"/>
            </w:tcMar>
            <w:vAlign w:val="center"/>
          </w:tcPr>
          <w:p>
            <w:pPr>
              <w:spacing w:after="0" w:line="250"/>
            </w:pPr>
            <w:r>
              <w:rPr>
                <w:sz w:val="19"/>
                <w:szCs w:val="19"/>
              </w:rPr>
              <w:t xml:space="preserve">Firma promedio</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85 %</w:t>
            </w:r>
          </w:p>
        </w:tc>
        <w:tc>
          <w:tcPr>
            <w:tcW w:type="dxa" w:w="2200"/>
            <w:shd w:fill="F5F7FA" w:val="clear"/>
            <w:tcMar>
              <w:top w:type="dxa" w:w="80"/>
              <w:left w:type="dxa" w:w="110"/>
              <w:bottom w:type="dxa" w:w="80"/>
              <w:right w:type="dxa" w:w="110"/>
            </w:tcMar>
            <w:vAlign w:val="center"/>
          </w:tcPr>
          <w:p>
            <w:pPr>
              <w:spacing w:after="0" w:line="250"/>
              <w:jc w:val="right"/>
            </w:pPr>
            <w:r>
              <w:rPr>
                <w:sz w:val="19"/>
                <w:szCs w:val="19"/>
              </w:rPr>
              <w:t xml:space="preserve">94 %</w:t>
            </w:r>
          </w:p>
        </w:tc>
        <w:tc>
          <w:tcPr>
            <w:tcW w:type="dxa" w:w="2060"/>
            <w:shd w:fill="F5F7FA" w:val="clear"/>
            <w:tcMar>
              <w:top w:type="dxa" w:w="80"/>
              <w:left w:type="dxa" w:w="110"/>
              <w:bottom w:type="dxa" w:w="80"/>
              <w:right w:type="dxa" w:w="110"/>
            </w:tcMar>
            <w:vAlign w:val="center"/>
          </w:tcPr>
          <w:p>
            <w:pPr>
              <w:spacing w:after="0" w:line="250"/>
              <w:jc w:val="right"/>
            </w:pPr>
            <w:r>
              <w:rPr>
                <w:b/>
                <w:bCs/>
                <w:sz w:val="19"/>
                <w:szCs w:val="19"/>
              </w:rPr>
              <w:t xml:space="preserve">80 %</w:t>
            </w:r>
          </w:p>
        </w:tc>
      </w:tr>
      <w:tr>
        <w:tc>
          <w:tcPr>
            <w:tcW w:type="dxa" w:w="2700"/>
            <w:shd w:fill="FFFFFF" w:val="clear"/>
            <w:tcMar>
              <w:top w:type="dxa" w:w="80"/>
              <w:left w:type="dxa" w:w="110"/>
              <w:bottom w:type="dxa" w:w="80"/>
              <w:right w:type="dxa" w:w="110"/>
            </w:tcMar>
            <w:vAlign w:val="center"/>
          </w:tcPr>
          <w:p>
            <w:pPr>
              <w:spacing w:after="0" w:line="250"/>
            </w:pPr>
            <w:r>
              <w:rPr>
                <w:sz w:val="19"/>
                <w:szCs w:val="19"/>
              </w:rPr>
              <w:t xml:space="preserve">Firma con problemas</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75 %</w:t>
            </w:r>
          </w:p>
        </w:tc>
        <w:tc>
          <w:tcPr>
            <w:tcW w:type="dxa" w:w="2200"/>
            <w:shd w:fill="FFFFFF" w:val="clear"/>
            <w:tcMar>
              <w:top w:type="dxa" w:w="80"/>
              <w:left w:type="dxa" w:w="110"/>
              <w:bottom w:type="dxa" w:w="80"/>
              <w:right w:type="dxa" w:w="110"/>
            </w:tcMar>
            <w:vAlign w:val="center"/>
          </w:tcPr>
          <w:p>
            <w:pPr>
              <w:spacing w:after="0" w:line="250"/>
              <w:jc w:val="right"/>
            </w:pPr>
            <w:r>
              <w:rPr>
                <w:sz w:val="19"/>
                <w:szCs w:val="19"/>
              </w:rPr>
              <w:t xml:space="preserve">88 %</w:t>
            </w:r>
          </w:p>
        </w:tc>
        <w:tc>
          <w:tcPr>
            <w:tcW w:type="dxa" w:w="2060"/>
            <w:shd w:fill="FFFFFF" w:val="clear"/>
            <w:tcMar>
              <w:top w:type="dxa" w:w="80"/>
              <w:left w:type="dxa" w:w="110"/>
              <w:bottom w:type="dxa" w:w="80"/>
              <w:right w:type="dxa" w:w="110"/>
            </w:tcMar>
            <w:vAlign w:val="center"/>
          </w:tcPr>
          <w:p>
            <w:pPr>
              <w:spacing w:after="0" w:line="250"/>
              <w:jc w:val="right"/>
            </w:pPr>
            <w:r>
              <w:rPr>
                <w:b/>
                <w:bCs/>
                <w:sz w:val="19"/>
                <w:szCs w:val="19"/>
              </w:rPr>
              <w:t xml:space="preserve">66 %</w:t>
            </w:r>
          </w:p>
        </w:tc>
      </w:tr>
    </w:tbl>
    <w:p>
      <w:pPr>
        <w:spacing w:after="140"/>
      </w:pPr>
    </w:p>
    <w:p>
      <w:pPr>
        <w:spacing w:after="140" w:line="276"/>
      </w:pPr>
      <w:r>
        <w:rPr>
          <w:b/>
          <w:bCs/>
          <w:sz w:val="21"/>
          <w:szCs w:val="21"/>
        </w:rPr>
        <w:t xml:space="preserve">Diez puntos de realización valen más que diez puntos de tarifa</w:t>
      </w:r>
      <w:r>
        <w:rPr>
          <w:sz w:val="21"/>
          <w:szCs w:val="21"/>
        </w:rPr>
        <w:t xml:space="preserve">, porque no cuestan nada producirlos: no requieren más horas ni renegociar precios con nadie. Es la palanca más barata del negocio y la más ignorada.</w:t>
      </w:r>
    </w:p>
    <w:p>
      <w:pPr>
        <w:pStyle w:val="Heading2"/>
        <w:spacing w:after="140" w:before="320"/>
      </w:pPr>
      <w:r>
        <w:rPr>
          <w:rFonts w:ascii="Calibri" w:cs="Calibri" w:eastAsia="Calibri" w:hAnsi="Calibri"/>
          <w:b/>
          <w:bCs/>
          <w:color w:val="1F3864"/>
          <w:sz w:val="25"/>
          <w:szCs w:val="25"/>
        </w:rPr>
        <w:t xml:space="preserve">3.4 La aritmética de la hora facturable</w:t>
      </w:r>
    </w:p>
    <w:p>
      <w:pPr>
        <w:spacing w:after="140" w:line="276"/>
      </w:pPr>
      <w:r>
        <w:rPr>
          <w:sz w:val="21"/>
          <w:szCs w:val="21"/>
        </w:rPr>
        <w:t xml:space="preserve">Un objetivo de </w:t>
      </w:r>
      <w:r>
        <w:rPr>
          <w:b/>
          <w:bCs/>
          <w:sz w:val="21"/>
          <w:szCs w:val="21"/>
        </w:rPr>
        <w:t xml:space="preserve">2,000 horas facturables</w:t>
      </w:r>
      <w:r>
        <w:rPr>
          <w:sz w:val="21"/>
          <w:szCs w:val="21"/>
        </w:rPr>
        <w:t xml:space="preserve"> al año no significa 2,000 horas trabajadas:</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2,000 h  facturables</w:t>
            </w:r>
          </w:p>
          <w:p>
            <w:pPr>
              <w:spacing w:after="0" w:line="216"/>
            </w:pPr>
            <w:r>
              <w:rPr>
                <w:rFonts w:ascii="Consolas" w:cs="Consolas" w:eastAsia="Consolas" w:hAnsi="Consolas"/>
                <w:sz w:val="15"/>
                <w:szCs w:val="15"/>
              </w:rPr>
              <w:t xml:space="preserve">+ ~400 h  no facturables (formacion, comites, administracion, KM)</w:t>
            </w:r>
          </w:p>
          <w:p>
            <w:pPr>
              <w:spacing w:after="0" w:line="216"/>
            </w:pPr>
            <w:r>
              <w:rPr>
                <w:rFonts w:ascii="Consolas" w:cs="Consolas" w:eastAsia="Consolas" w:hAnsi="Consolas"/>
                <w:sz w:val="15"/>
                <w:szCs w:val="15"/>
              </w:rPr>
              <w:t xml:space="preserve">+ ~250 h  desarrollo de negocio y marketing</w:t>
            </w:r>
          </w:p>
          <w:p>
            <w:pPr>
              <w:spacing w:after="0" w:line="216"/>
            </w:pPr>
            <w:r>
              <w:rPr>
                <w:rFonts w:ascii="Consolas" w:cs="Consolas" w:eastAsia="Consolas" w:hAnsi="Consolas"/>
                <w:sz w:val="15"/>
                <w:szCs w:val="15"/>
              </w:rPr>
              <w:t xml:space="preserve">+ ~150 h  pro bono</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~2,800 h trabajadas al ano  ~  56 h/semana durante 50 semanas</w:t>
            </w:r>
          </w:p>
        </w:tc>
      </w:tr>
    </w:tbl>
    <w:p>
      <w:pPr>
        <w:spacing w:after="140"/>
      </w:pPr>
    </w:p>
    <w:p>
      <w:pPr>
        <w:spacing w:after="140" w:line="276"/>
      </w:pPr>
      <w:r>
        <w:rPr>
          <w:sz w:val="21"/>
          <w:szCs w:val="21"/>
        </w:rPr>
        <w:t xml:space="preserve">Ese es el costo humano real del modelo, y es la causa directa de la alta rotación de asociados — que a su vez es un costo del modelo (Parte 7).</w:t>
      </w:r>
    </w:p>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la misma física, otra ecuación</w:t>
            </w:r>
          </w:p>
          <w:p>
            <w:pPr>
              <w:spacing w:after="90" w:line="264"/>
            </w:pPr>
            <w:r>
              <w:rPr>
                <w:sz w:val="21"/>
                <w:szCs w:val="21"/>
              </w:rPr>
              <w:t xml:space="preserve">Nosotros no vendemos horas, así que la ecuación se reescribe. Pero </w:t>
            </w:r>
            <w:r>
              <w:rPr>
                <w:b/>
                <w:bCs/>
                <w:sz w:val="21"/>
                <w:szCs w:val="21"/>
              </w:rPr>
              <w:t xml:space="preserve">no desaparece</w:t>
            </w:r>
            <w:r>
              <w:rPr>
                <w:sz w:val="21"/>
                <w:szCs w:val="21"/>
              </w:rPr>
              <w:t xml:space="preserve">: se transforma.</w:t>
            </w:r>
          </w:p>
          <w:p>
            <w:pPr>
              <w:spacing w:after="90" w:line="264"/>
            </w:pPr>
          </w:p>
          <w:p>
            <w:pPr>
              <w:spacing w:after="90" w:line="264"/>
            </w:pPr>
            <w:r>
              <w:rPr>
                <w:b/>
                <w:bCs/>
                <w:sz w:val="21"/>
                <w:szCs w:val="21"/>
              </w:rPr>
              <w:t xml:space="preserve">Nuestra ecuación:</w:t>
            </w:r>
          </w:p>
          <w:p>
            <w:pPr>
              <w:spacing w:after="90"/>
            </w:pPr>
            <w:r>
              <w:rPr>
                <w:rFonts w:ascii="Consolas" w:cs="Consolas" w:eastAsia="Consolas" w:hAnsi="Consolas"/>
                <w:b/>
                <w:bCs/>
                <w:sz w:val="19"/>
                <w:szCs w:val="19"/>
              </w:rPr>
              <w:t xml:space="preserve">Utilidad  =  Casos x (Precio - Costo de entrega) - Costos fijos</w:t>
            </w:r>
          </w:p>
          <w:p>
            <w:pPr>
              <w:spacing w:after="90" w:line="264"/>
            </w:pPr>
            <w:r>
              <w:rPr>
                <w:b/>
                <w:bCs/>
                <w:sz w:val="21"/>
                <w:szCs w:val="21"/>
              </w:rPr>
              <w:t xml:space="preserve">Traducción de las cinco palancas a nuestro modelo:</w:t>
            </w:r>
          </w:p>
          <w:p>
            <w:pPr>
              <w:spacing w:after="90" w:line="264"/>
            </w:pPr>
            <w:r>
              <w:rPr>
                <w:sz w:val="21"/>
                <w:szCs w:val="21"/>
              </w:rPr>
              <w:t xml:space="preserve">· </w:t>
            </w:r>
            <w:r>
              <w:rPr>
                <w:i/>
                <w:iCs/>
                <w:sz w:val="21"/>
                <w:szCs w:val="21"/>
              </w:rPr>
              <w:t xml:space="preserve">Rate</w:t>
            </w:r>
            <w:r>
              <w:rPr>
                <w:sz w:val="21"/>
                <w:szCs w:val="21"/>
              </w:rPr>
              <w:t xml:space="preserve"> → </w:t>
            </w:r>
            <w:r>
              <w:rPr>
                <w:b/>
                <w:bCs/>
                <w:sz w:val="21"/>
                <w:szCs w:val="21"/>
              </w:rPr>
              <w:t xml:space="preserve">precio del encargo</w:t>
            </w:r>
            <w:r>
              <w:rPr>
                <w:sz w:val="21"/>
                <w:szCs w:val="21"/>
              </w:rPr>
              <w:t xml:space="preserve">, no tarifa horaria. Se mueve con posicionamiento y con el mix de tipos de caso, no con un aumento anual del rate card.</w:t>
            </w:r>
          </w:p>
          <w:p>
            <w:pPr>
              <w:spacing w:after="90" w:line="264"/>
            </w:pPr>
            <w:r>
              <w:rPr>
                <w:sz w:val="21"/>
                <w:szCs w:val="21"/>
              </w:rPr>
              <w:t xml:space="preserve">· </w:t>
            </w:r>
            <w:r>
              <w:rPr>
                <w:i/>
                <w:iCs/>
                <w:sz w:val="21"/>
                <w:szCs w:val="21"/>
              </w:rPr>
              <w:t xml:space="preserve">Utilization</w:t>
            </w:r>
            <w:r>
              <w:rPr>
                <w:sz w:val="21"/>
                <w:szCs w:val="21"/>
              </w:rPr>
              <w:t xml:space="preserve"> → </w:t>
            </w:r>
            <w:r>
              <w:rPr>
                <w:b/>
                <w:bCs/>
                <w:sz w:val="21"/>
                <w:szCs w:val="21"/>
              </w:rPr>
              <w:t xml:space="preserve">casos activos por persona</w:t>
            </w:r>
            <w:r>
              <w:rPr>
                <w:sz w:val="21"/>
                <w:szCs w:val="21"/>
              </w:rPr>
              <w:t xml:space="preserve">. Una firma de precio cerrado con gente ociosa quema margen igual que una firma de horas.</w:t>
            </w:r>
          </w:p>
          <w:p>
            <w:pPr>
              <w:spacing w:after="90" w:line="264"/>
            </w:pPr>
            <w:r>
              <w:rPr>
                <w:sz w:val="21"/>
                <w:szCs w:val="21"/>
              </w:rPr>
              <w:t xml:space="preserve">· </w:t>
            </w:r>
            <w:r>
              <w:rPr>
                <w:i/>
                <w:iCs/>
                <w:sz w:val="21"/>
                <w:szCs w:val="21"/>
              </w:rPr>
              <w:t xml:space="preserve">Leverage</w:t>
            </w:r>
            <w:r>
              <w:rPr>
                <w:sz w:val="21"/>
                <w:szCs w:val="21"/>
              </w:rPr>
              <w:t xml:space="preserve"> → </w:t>
            </w:r>
            <w:r>
              <w:rPr>
                <w:b/>
                <w:bCs/>
                <w:sz w:val="21"/>
                <w:szCs w:val="21"/>
              </w:rPr>
              <w:t xml:space="preserve">cuánto del caso hace el paralegal y cuánto el abogado</w:t>
            </w:r>
            <w:r>
              <w:rPr>
                <w:sz w:val="21"/>
                <w:szCs w:val="21"/>
              </w:rPr>
              <w:t xml:space="preserve">. Esta es nuestra palanca principal, y la única que además mejora la calidad si se hace con checklist.</w:t>
            </w:r>
          </w:p>
          <w:p>
            <w:pPr>
              <w:spacing w:after="90" w:line="264"/>
            </w:pPr>
            <w:r>
              <w:rPr>
                <w:sz w:val="21"/>
                <w:szCs w:val="21"/>
              </w:rPr>
              <w:t xml:space="preserve">· </w:t>
            </w:r>
            <w:r>
              <w:rPr>
                <w:i/>
                <w:iCs/>
                <w:sz w:val="21"/>
                <w:szCs w:val="21"/>
              </w:rPr>
              <w:t xml:space="preserve">Expense</w:t>
            </w:r>
            <w:r>
              <w:rPr>
                <w:sz w:val="21"/>
                <w:szCs w:val="21"/>
              </w:rPr>
              <w:t xml:space="preserve"> → </w:t>
            </w:r>
            <w:r>
              <w:rPr>
                <w:b/>
                <w:bCs/>
                <w:sz w:val="21"/>
                <w:szCs w:val="21"/>
              </w:rPr>
              <w:t xml:space="preserve">costo de entrega por caso</w:t>
            </w:r>
            <w:r>
              <w:rPr>
                <w:sz w:val="21"/>
                <w:szCs w:val="21"/>
              </w:rPr>
              <w:t xml:space="preserve">: horas de personal + tecnología + tasas + reproceso.</w:t>
            </w:r>
          </w:p>
          <w:p>
            <w:pPr>
              <w:spacing w:after="90" w:line="264"/>
            </w:pPr>
            <w:r>
              <w:rPr>
                <w:sz w:val="21"/>
                <w:szCs w:val="21"/>
              </w:rPr>
              <w:t xml:space="preserve">· </w:t>
            </w:r>
            <w:r>
              <w:rPr>
                <w:i/>
                <w:iCs/>
                <w:sz w:val="21"/>
                <w:szCs w:val="21"/>
              </w:rPr>
              <w:t xml:space="preserve">Speed</w:t>
            </w:r>
            <w:r>
              <w:rPr>
                <w:sz w:val="21"/>
                <w:szCs w:val="21"/>
              </w:rPr>
              <w:t xml:space="preserve"> → </w:t>
            </w:r>
            <w:r>
              <w:rPr>
                <w:b/>
                <w:bCs/>
                <w:sz w:val="21"/>
                <w:szCs w:val="21"/>
              </w:rPr>
              <w:t xml:space="preserve">cuándo cobramos</w:t>
            </w:r>
            <w:r>
              <w:rPr>
                <w:sz w:val="21"/>
                <w:szCs w:val="21"/>
              </w:rPr>
              <w:t xml:space="preserve">. En precio cerrado con planes de pago esta palanca es crítica: podemos entregar el caso completo y seguir cobrando a doce meses.</w:t>
            </w:r>
          </w:p>
          <w:p>
            <w:pPr>
              <w:spacing w:after="90" w:line="264"/>
            </w:pPr>
          </w:p>
          <w:p>
            <w:pPr>
              <w:spacing w:after="90" w:line="264"/>
            </w:pPr>
            <w:r>
              <w:rPr>
                <w:b/>
                <w:bCs/>
                <w:sz w:val="21"/>
                <w:szCs w:val="21"/>
              </w:rPr>
              <w:t xml:space="preserve">Y la fuga equivalente a la realización.</w:t>
            </w:r>
            <w:r>
              <w:rPr>
                <w:sz w:val="21"/>
                <w:szCs w:val="21"/>
              </w:rPr>
              <w:t xml:space="preserve"> Nosotros no tenemos write-offs de horas, pero tenemos tres fugas que hacen exactamente lo mismo y que casi nunca se miden:</w:t>
            </w:r>
          </w:p>
          <w:p>
            <w:pPr>
              <w:spacing w:after="90" w:line="264"/>
            </w:pPr>
            <w:r>
              <w:rPr>
                <w:b/>
                <w:bCs/>
                <w:sz w:val="21"/>
                <w:szCs w:val="21"/>
              </w:rPr>
              <w:t xml:space="preserve">1. Alcance que se desborda</w:t>
            </w:r>
            <w:r>
              <w:rPr>
                <w:sz w:val="21"/>
                <w:szCs w:val="21"/>
              </w:rPr>
              <w:t xml:space="preserve"> (</w:t>
            </w:r>
            <w:r>
              <w:rPr>
                <w:i/>
                <w:iCs/>
                <w:sz w:val="21"/>
                <w:szCs w:val="21"/>
              </w:rPr>
              <w:t xml:space="preserve">scope creep</w:t>
            </w:r>
            <w:r>
              <w:rPr>
                <w:sz w:val="21"/>
                <w:szCs w:val="21"/>
              </w:rPr>
              <w:t xml:space="preserve">). El caso que se cotizó como uno y terminó siendo tres porque apareció una cuestión de inadmisibilidad que no estaba en la consulta inicial. Es el equivalente exacto del descuento de facturación.</w:t>
            </w:r>
          </w:p>
          <w:p>
            <w:pPr>
              <w:spacing w:after="90" w:line="264"/>
            </w:pPr>
            <w:r>
              <w:rPr>
                <w:b/>
                <w:bCs/>
                <w:sz w:val="21"/>
                <w:szCs w:val="21"/>
              </w:rPr>
              <w:t xml:space="preserve">2. Reproceso.</w:t>
            </w:r>
            <w:r>
              <w:rPr>
                <w:sz w:val="21"/>
                <w:szCs w:val="21"/>
              </w:rPr>
              <w:t xml:space="preserve"> Un RFE, un rechazo por forma, una notificación mal calendarizada. Horas ya pagadas que hay que gastar dos veces.</w:t>
            </w:r>
          </w:p>
          <w:p>
            <w:pPr>
              <w:spacing w:after="90" w:line="264"/>
            </w:pPr>
            <w:r>
              <w:rPr>
                <w:b/>
                <w:bCs/>
                <w:sz w:val="21"/>
                <w:szCs w:val="21"/>
              </w:rPr>
              <w:t xml:space="preserve">3. Planes de pago incumplidos.</w:t>
            </w:r>
            <w:r>
              <w:rPr>
                <w:sz w:val="21"/>
                <w:szCs w:val="21"/>
              </w:rPr>
              <w:t xml:space="preserve"> Es el descuento de cobro, idéntico.</w:t>
            </w:r>
          </w:p>
          <w:p>
            <w:pPr>
              <w:spacing w:after="90" w:line="264"/>
            </w:pPr>
            <w:r>
              <w:rPr>
                <w:sz w:val="21"/>
                <w:szCs w:val="21"/>
              </w:rPr>
              <w:t xml:space="preserve">Si no medimos estas tres, no sabemos cuál es nuestro margen real por tipo de caso — solo sabemos cuál creemos que es.</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4. Modelos de ingreso</w:t>
      </w:r>
    </w:p>
    <w:p>
      <w:pPr>
        <w:spacing w:after="140" w:line="276"/>
      </w:pPr>
      <w:r>
        <w:rPr>
          <w:sz w:val="21"/>
          <w:szCs w:val="21"/>
        </w:rPr>
        <w:t xml:space="preserve">La hora facturable es el modelo por defecto del sector, no el único. Una firma moderna opera una </w:t>
      </w:r>
      <w:r>
        <w:rPr>
          <w:b/>
          <w:bCs/>
          <w:sz w:val="21"/>
          <w:szCs w:val="21"/>
        </w:rPr>
        <w:t xml:space="preserve">cartera de modelos de ingreso</w:t>
      </w:r>
      <w:r>
        <w:rPr>
          <w:sz w:val="21"/>
          <w:szCs w:val="21"/>
        </w:rPr>
        <w:t xml:space="preserve"> y elige el que corresponde al perfil de riesgo de cada asunto.</w:t>
      </w:r>
    </w:p>
    <w:p>
      <w:pPr>
        <w:pStyle w:val="Heading2"/>
        <w:spacing w:after="140" w:before="320"/>
      </w:pPr>
      <w:r>
        <w:rPr>
          <w:rFonts w:ascii="Calibri" w:cs="Calibri" w:eastAsia="Calibri" w:hAnsi="Calibri"/>
          <w:b/>
          <w:bCs/>
          <w:color w:val="1F3864"/>
          <w:sz w:val="25"/>
          <w:szCs w:val="25"/>
        </w:rPr>
        <w:t xml:space="preserve">4.1 El mapa completo</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750"/>
        <w:gridCol w:w="2400"/>
        <w:gridCol w:w="1900"/>
        <w:gridCol w:w="3310"/>
      </w:tblGrid>
      <w:tr>
        <w:trPr>
          <w:tblHeader/>
        </w:trPr>
        <w:tc>
          <w:tcPr>
            <w:tcW w:type="dxa" w:w="1750"/>
            <w:shd w:fill="1F3864" w:val="clear"/>
            <w:tcMar>
              <w:top w:type="dxa" w:w="90"/>
              <w:left w:type="dxa" w:w="110"/>
              <w:bottom w:type="dxa" w:w="90"/>
              <w:right w:type="dxa" w:w="110"/>
            </w:tcMar>
          </w:tcPr>
          <w:p>
            <w:pPr>
              <w:spacing w:after="0" w:line="250"/>
            </w:pPr>
            <w:r>
              <w:rPr>
                <w:b/>
                <w:bCs/>
                <w:color w:val="FFFFFF"/>
                <w:sz w:val="19"/>
                <w:szCs w:val="19"/>
              </w:rPr>
              <w:t xml:space="preserve">Modelo</w:t>
            </w:r>
          </w:p>
        </w:tc>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Cómo cobra</w:t>
            </w:r>
          </w:p>
        </w:tc>
        <w:tc>
          <w:tcPr>
            <w:tcW w:type="dxa" w:w="1900"/>
            <w:shd w:fill="1F3864" w:val="clear"/>
            <w:tcMar>
              <w:top w:type="dxa" w:w="90"/>
              <w:left w:type="dxa" w:w="110"/>
              <w:bottom w:type="dxa" w:w="90"/>
              <w:right w:type="dxa" w:w="110"/>
            </w:tcMar>
          </w:tcPr>
          <w:p>
            <w:pPr>
              <w:spacing w:after="0" w:line="250"/>
            </w:pPr>
            <w:r>
              <w:rPr>
                <w:b/>
                <w:bCs/>
                <w:color w:val="FFFFFF"/>
                <w:sz w:val="19"/>
                <w:szCs w:val="19"/>
              </w:rPr>
              <w:t xml:space="preserve">Quién asume el riesgo</w:t>
            </w:r>
          </w:p>
        </w:tc>
        <w:tc>
          <w:tcPr>
            <w:tcW w:type="dxa" w:w="3310"/>
            <w:shd w:fill="1F3864" w:val="clear"/>
            <w:tcMar>
              <w:top w:type="dxa" w:w="90"/>
              <w:left w:type="dxa" w:w="110"/>
              <w:bottom w:type="dxa" w:w="90"/>
              <w:right w:type="dxa" w:w="110"/>
            </w:tcMar>
          </w:tcPr>
          <w:p>
            <w:pPr>
              <w:spacing w:after="0" w:line="250"/>
            </w:pPr>
            <w:r>
              <w:rPr>
                <w:b/>
                <w:bCs/>
                <w:color w:val="FFFFFF"/>
                <w:sz w:val="19"/>
                <w:szCs w:val="19"/>
              </w:rPr>
              <w:t xml:space="preserve">¿Aplica a nosotros?</w:t>
            </w:r>
          </w:p>
        </w:tc>
      </w:tr>
      <w:tr>
        <w:tc>
          <w:tcPr>
            <w:tcW w:type="dxa" w:w="1750"/>
            <w:shd w:fill="FFFFFF" w:val="clear"/>
            <w:tcMar>
              <w:top w:type="dxa" w:w="80"/>
              <w:left w:type="dxa" w:w="110"/>
              <w:bottom w:type="dxa" w:w="80"/>
              <w:right w:type="dxa" w:w="110"/>
            </w:tcMar>
            <w:vAlign w:val="center"/>
          </w:tcPr>
          <w:p>
            <w:pPr>
              <w:spacing w:after="0" w:line="250"/>
            </w:pPr>
            <w:r>
              <w:rPr>
                <w:sz w:val="19"/>
                <w:szCs w:val="19"/>
              </w:rPr>
              <w:t xml:space="preserve">Billable hour</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Tarifa × horas</w:t>
            </w:r>
          </w:p>
        </w:tc>
        <w:tc>
          <w:tcPr>
            <w:tcW w:type="dxa" w:w="1900"/>
            <w:shd w:fill="FFFFFF" w:val="clear"/>
            <w:tcMar>
              <w:top w:type="dxa" w:w="80"/>
              <w:left w:type="dxa" w:w="110"/>
              <w:bottom w:type="dxa" w:w="80"/>
              <w:right w:type="dxa" w:w="110"/>
            </w:tcMar>
            <w:vAlign w:val="center"/>
          </w:tcPr>
          <w:p>
            <w:pPr>
              <w:spacing w:after="0" w:line="250"/>
            </w:pPr>
            <w:r>
              <w:rPr>
                <w:sz w:val="19"/>
                <w:szCs w:val="19"/>
              </w:rPr>
              <w:t xml:space="preserve">El cliente</w:t>
            </w:r>
          </w:p>
        </w:tc>
        <w:tc>
          <w:tcPr>
            <w:tcW w:type="dxa" w:w="3310"/>
            <w:shd w:fill="FFFFFF" w:val="clear"/>
            <w:tcMar>
              <w:top w:type="dxa" w:w="80"/>
              <w:left w:type="dxa" w:w="110"/>
              <w:bottom w:type="dxa" w:w="80"/>
              <w:right w:type="dxa" w:w="110"/>
            </w:tcMar>
            <w:vAlign w:val="center"/>
          </w:tcPr>
          <w:p>
            <w:pPr>
              <w:spacing w:after="0" w:line="250"/>
            </w:pPr>
            <w:r>
              <w:rPr>
                <w:sz w:val="19"/>
                <w:szCs w:val="19"/>
              </w:rPr>
              <w:t xml:space="preserve">Marginal. Solo para asesoría empresarial y consultas de complejidad abierta</w:t>
            </w:r>
          </w:p>
        </w:tc>
      </w:tr>
      <w:tr>
        <w:tc>
          <w:tcPr>
            <w:tcW w:type="dxa" w:w="1750"/>
            <w:shd w:fill="F5F7FA" w:val="clear"/>
            <w:tcMar>
              <w:top w:type="dxa" w:w="80"/>
              <w:left w:type="dxa" w:w="110"/>
              <w:bottom w:type="dxa" w:w="80"/>
              <w:right w:type="dxa" w:w="110"/>
            </w:tcMar>
            <w:vAlign w:val="center"/>
          </w:tcPr>
          <w:p>
            <w:pPr>
              <w:spacing w:after="0" w:line="250"/>
            </w:pPr>
            <w:r>
              <w:rPr>
                <w:sz w:val="19"/>
                <w:szCs w:val="19"/>
              </w:rPr>
              <w:t xml:space="preserve">Flat fee / fixed fee</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Precio cerrado por entregable</w:t>
            </w:r>
          </w:p>
        </w:tc>
        <w:tc>
          <w:tcPr>
            <w:tcW w:type="dxa" w:w="1900"/>
            <w:shd w:fill="F5F7FA" w:val="clear"/>
            <w:tcMar>
              <w:top w:type="dxa" w:w="80"/>
              <w:left w:type="dxa" w:w="110"/>
              <w:bottom w:type="dxa" w:w="80"/>
              <w:right w:type="dxa" w:w="110"/>
            </w:tcMar>
            <w:vAlign w:val="center"/>
          </w:tcPr>
          <w:p>
            <w:pPr>
              <w:spacing w:after="0" w:line="250"/>
            </w:pPr>
            <w:r>
              <w:rPr>
                <w:sz w:val="19"/>
                <w:szCs w:val="19"/>
              </w:rPr>
              <w:t xml:space="preserve">La firma</w:t>
            </w:r>
          </w:p>
        </w:tc>
        <w:tc>
          <w:tcPr>
            <w:tcW w:type="dxa" w:w="3310"/>
            <w:shd w:fill="F5F7FA" w:val="clear"/>
            <w:tcMar>
              <w:top w:type="dxa" w:w="80"/>
              <w:left w:type="dxa" w:w="110"/>
              <w:bottom w:type="dxa" w:w="80"/>
              <w:right w:type="dxa" w:w="110"/>
            </w:tcMar>
            <w:vAlign w:val="center"/>
          </w:tcPr>
          <w:p>
            <w:pPr>
              <w:spacing w:after="0" w:line="250"/>
            </w:pPr>
            <w:r>
              <w:rPr>
                <w:b/>
                <w:bCs/>
                <w:sz w:val="19"/>
                <w:szCs w:val="19"/>
              </w:rPr>
              <w:t xml:space="preserve">Núcleo del negocio.</w:t>
            </w:r>
            <w:r>
              <w:rPr>
                <w:sz w:val="19"/>
                <w:szCs w:val="19"/>
              </w:rPr>
              <w:t xml:space="preserve"> Peticiones familiares, asilo, naturalización, defensa</w:t>
            </w:r>
          </w:p>
        </w:tc>
      </w:tr>
      <w:tr>
        <w:tc>
          <w:tcPr>
            <w:tcW w:type="dxa" w:w="1750"/>
            <w:shd w:fill="FFFFFF" w:val="clear"/>
            <w:tcMar>
              <w:top w:type="dxa" w:w="80"/>
              <w:left w:type="dxa" w:w="110"/>
              <w:bottom w:type="dxa" w:w="80"/>
              <w:right w:type="dxa" w:w="110"/>
            </w:tcMar>
            <w:vAlign w:val="center"/>
          </w:tcPr>
          <w:p>
            <w:pPr>
              <w:spacing w:after="0" w:line="250"/>
            </w:pPr>
            <w:r>
              <w:rPr>
                <w:sz w:val="19"/>
                <w:szCs w:val="19"/>
              </w:rPr>
              <w:t xml:space="preserve">Capped fee</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Por horas con techo</w:t>
            </w:r>
          </w:p>
        </w:tc>
        <w:tc>
          <w:tcPr>
            <w:tcW w:type="dxa" w:w="1900"/>
            <w:shd w:fill="FFFFFF" w:val="clear"/>
            <w:tcMar>
              <w:top w:type="dxa" w:w="80"/>
              <w:left w:type="dxa" w:w="110"/>
              <w:bottom w:type="dxa" w:w="80"/>
              <w:right w:type="dxa" w:w="110"/>
            </w:tcMar>
            <w:vAlign w:val="center"/>
          </w:tcPr>
          <w:p>
            <w:pPr>
              <w:spacing w:after="0" w:line="250"/>
            </w:pPr>
            <w:r>
              <w:rPr>
                <w:sz w:val="19"/>
                <w:szCs w:val="19"/>
              </w:rPr>
              <w:t xml:space="preserve">Compartido</w:t>
            </w:r>
          </w:p>
        </w:tc>
        <w:tc>
          <w:tcPr>
            <w:tcW w:type="dxa" w:w="3310"/>
            <w:shd w:fill="FFFFFF" w:val="clear"/>
            <w:tcMar>
              <w:top w:type="dxa" w:w="80"/>
              <w:left w:type="dxa" w:w="110"/>
              <w:bottom w:type="dxa" w:w="80"/>
              <w:right w:type="dxa" w:w="110"/>
            </w:tcMar>
            <w:vAlign w:val="center"/>
          </w:tcPr>
          <w:p>
            <w:pPr>
              <w:spacing w:after="0" w:line="250"/>
            </w:pPr>
            <w:r>
              <w:rPr>
                <w:sz w:val="19"/>
                <w:szCs w:val="19"/>
              </w:rPr>
              <w:t xml:space="preserve">Útil para asuntos empresariales de alcance incierto</w:t>
            </w:r>
          </w:p>
        </w:tc>
      </w:tr>
      <w:tr>
        <w:tc>
          <w:tcPr>
            <w:tcW w:type="dxa" w:w="1750"/>
            <w:shd w:fill="F5F7FA" w:val="clear"/>
            <w:tcMar>
              <w:top w:type="dxa" w:w="80"/>
              <w:left w:type="dxa" w:w="110"/>
              <w:bottom w:type="dxa" w:w="80"/>
              <w:right w:type="dxa" w:w="110"/>
            </w:tcMar>
            <w:vAlign w:val="center"/>
          </w:tcPr>
          <w:p>
            <w:pPr>
              <w:spacing w:after="0" w:line="250"/>
            </w:pPr>
            <w:r>
              <w:rPr>
                <w:sz w:val="19"/>
                <w:szCs w:val="19"/>
              </w:rPr>
              <w:t xml:space="preserve">Collar</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Por horas con banda ±X %</w:t>
            </w:r>
          </w:p>
        </w:tc>
        <w:tc>
          <w:tcPr>
            <w:tcW w:type="dxa" w:w="1900"/>
            <w:shd w:fill="F5F7FA" w:val="clear"/>
            <w:tcMar>
              <w:top w:type="dxa" w:w="80"/>
              <w:left w:type="dxa" w:w="110"/>
              <w:bottom w:type="dxa" w:w="80"/>
              <w:right w:type="dxa" w:w="110"/>
            </w:tcMar>
            <w:vAlign w:val="center"/>
          </w:tcPr>
          <w:p>
            <w:pPr>
              <w:spacing w:after="0" w:line="250"/>
            </w:pPr>
            <w:r>
              <w:rPr>
                <w:sz w:val="19"/>
                <w:szCs w:val="19"/>
              </w:rPr>
              <w:t xml:space="preserve">Compartido simétrico</w:t>
            </w:r>
          </w:p>
        </w:tc>
        <w:tc>
          <w:tcPr>
            <w:tcW w:type="dxa" w:w="3310"/>
            <w:shd w:fill="F5F7FA" w:val="clear"/>
            <w:tcMar>
              <w:top w:type="dxa" w:w="80"/>
              <w:left w:type="dxa" w:w="110"/>
              <w:bottom w:type="dxa" w:w="80"/>
              <w:right w:type="dxa" w:w="110"/>
            </w:tcMar>
            <w:vAlign w:val="center"/>
          </w:tcPr>
          <w:p>
            <w:pPr>
              <w:spacing w:after="0" w:line="250"/>
            </w:pPr>
            <w:r>
              <w:rPr>
                <w:sz w:val="19"/>
                <w:szCs w:val="19"/>
              </w:rPr>
              <w:t xml:space="preserve">No aplica a nuestra escala</w:t>
            </w:r>
          </w:p>
        </w:tc>
      </w:tr>
      <w:tr>
        <w:tc>
          <w:tcPr>
            <w:tcW w:type="dxa" w:w="1750"/>
            <w:shd w:fill="FFFFFF" w:val="clear"/>
            <w:tcMar>
              <w:top w:type="dxa" w:w="80"/>
              <w:left w:type="dxa" w:w="110"/>
              <w:bottom w:type="dxa" w:w="80"/>
              <w:right w:type="dxa" w:w="110"/>
            </w:tcMar>
            <w:vAlign w:val="center"/>
          </w:tcPr>
          <w:p>
            <w:pPr>
              <w:spacing w:after="0" w:line="250"/>
            </w:pPr>
            <w:r>
              <w:rPr>
                <w:sz w:val="19"/>
                <w:szCs w:val="19"/>
              </w:rPr>
              <w:t xml:space="preserve">Blended rate</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Tarifa única para todo el equipo</w:t>
            </w:r>
          </w:p>
        </w:tc>
        <w:tc>
          <w:tcPr>
            <w:tcW w:type="dxa" w:w="1900"/>
            <w:shd w:fill="FFFFFF" w:val="clear"/>
            <w:tcMar>
              <w:top w:type="dxa" w:w="80"/>
              <w:left w:type="dxa" w:w="110"/>
              <w:bottom w:type="dxa" w:w="80"/>
              <w:right w:type="dxa" w:w="110"/>
            </w:tcMar>
            <w:vAlign w:val="center"/>
          </w:tcPr>
          <w:p>
            <w:pPr>
              <w:spacing w:after="0" w:line="250"/>
            </w:pPr>
            <w:r>
              <w:rPr>
                <w:sz w:val="19"/>
                <w:szCs w:val="19"/>
              </w:rPr>
              <w:t xml:space="preserve">Compartido</w:t>
            </w:r>
          </w:p>
        </w:tc>
        <w:tc>
          <w:tcPr>
            <w:tcW w:type="dxa" w:w="3310"/>
            <w:shd w:fill="FFFFFF" w:val="clear"/>
            <w:tcMar>
              <w:top w:type="dxa" w:w="80"/>
              <w:left w:type="dxa" w:w="110"/>
              <w:bottom w:type="dxa" w:w="80"/>
              <w:right w:type="dxa" w:w="110"/>
            </w:tcMar>
            <w:vAlign w:val="center"/>
          </w:tcPr>
          <w:p>
            <w:pPr>
              <w:spacing w:after="0" w:line="250"/>
            </w:pPr>
            <w:r>
              <w:rPr>
                <w:sz w:val="19"/>
                <w:szCs w:val="19"/>
              </w:rPr>
              <w:t xml:space="preserve">No aplica</w:t>
            </w:r>
          </w:p>
        </w:tc>
      </w:tr>
      <w:tr>
        <w:tc>
          <w:tcPr>
            <w:tcW w:type="dxa" w:w="1750"/>
            <w:shd w:fill="F5F7FA" w:val="clear"/>
            <w:tcMar>
              <w:top w:type="dxa" w:w="80"/>
              <w:left w:type="dxa" w:w="110"/>
              <w:bottom w:type="dxa" w:w="80"/>
              <w:right w:type="dxa" w:w="110"/>
            </w:tcMar>
            <w:vAlign w:val="center"/>
          </w:tcPr>
          <w:p>
            <w:pPr>
              <w:spacing w:after="0" w:line="250"/>
            </w:pPr>
            <w:r>
              <w:rPr>
                <w:sz w:val="19"/>
                <w:szCs w:val="19"/>
              </w:rPr>
              <w:t xml:space="preserve">Contingency</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 del resultado (33 %–40 %)</w:t>
            </w:r>
          </w:p>
        </w:tc>
        <w:tc>
          <w:tcPr>
            <w:tcW w:type="dxa" w:w="1900"/>
            <w:shd w:fill="F5F7FA" w:val="clear"/>
            <w:tcMar>
              <w:top w:type="dxa" w:w="80"/>
              <w:left w:type="dxa" w:w="110"/>
              <w:bottom w:type="dxa" w:w="80"/>
              <w:right w:type="dxa" w:w="110"/>
            </w:tcMar>
            <w:vAlign w:val="center"/>
          </w:tcPr>
          <w:p>
            <w:pPr>
              <w:spacing w:after="0" w:line="250"/>
            </w:pPr>
            <w:r>
              <w:rPr>
                <w:sz w:val="19"/>
                <w:szCs w:val="19"/>
              </w:rPr>
              <w:t xml:space="preserve">La firma, íntegro</w:t>
            </w:r>
          </w:p>
        </w:tc>
        <w:tc>
          <w:tcPr>
            <w:tcW w:type="dxa" w:w="3310"/>
            <w:shd w:fill="F5F7FA" w:val="clear"/>
            <w:tcMar>
              <w:top w:type="dxa" w:w="80"/>
              <w:left w:type="dxa" w:w="110"/>
              <w:bottom w:type="dxa" w:w="80"/>
              <w:right w:type="dxa" w:w="110"/>
            </w:tcMar>
            <w:vAlign w:val="center"/>
          </w:tcPr>
          <w:p>
            <w:pPr>
              <w:spacing w:after="0" w:line="250"/>
            </w:pPr>
            <w:r>
              <w:rPr>
                <w:sz w:val="19"/>
                <w:szCs w:val="19"/>
              </w:rPr>
              <w:t xml:space="preserve">No aplica a inmigración; sí en reclamaciones civiles conexas si alguna vez se abre esa línea</w:t>
            </w:r>
          </w:p>
        </w:tc>
      </w:tr>
      <w:tr>
        <w:tc>
          <w:tcPr>
            <w:tcW w:type="dxa" w:w="1750"/>
            <w:shd w:fill="FFFFFF" w:val="clear"/>
            <w:tcMar>
              <w:top w:type="dxa" w:w="80"/>
              <w:left w:type="dxa" w:w="110"/>
              <w:bottom w:type="dxa" w:w="80"/>
              <w:right w:type="dxa" w:w="110"/>
            </w:tcMar>
            <w:vAlign w:val="center"/>
          </w:tcPr>
          <w:p>
            <w:pPr>
              <w:spacing w:after="0" w:line="250"/>
            </w:pPr>
            <w:r>
              <w:rPr>
                <w:sz w:val="19"/>
                <w:szCs w:val="19"/>
              </w:rPr>
              <w:t xml:space="preserve">Success fee / híbrido</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Precio reducido + prima por resultado</w:t>
            </w:r>
          </w:p>
        </w:tc>
        <w:tc>
          <w:tcPr>
            <w:tcW w:type="dxa" w:w="1900"/>
            <w:shd w:fill="FFFFFF" w:val="clear"/>
            <w:tcMar>
              <w:top w:type="dxa" w:w="80"/>
              <w:left w:type="dxa" w:w="110"/>
              <w:bottom w:type="dxa" w:w="80"/>
              <w:right w:type="dxa" w:w="110"/>
            </w:tcMar>
            <w:vAlign w:val="center"/>
          </w:tcPr>
          <w:p>
            <w:pPr>
              <w:spacing w:after="0" w:line="250"/>
            </w:pPr>
            <w:r>
              <w:rPr>
                <w:sz w:val="19"/>
                <w:szCs w:val="19"/>
              </w:rPr>
              <w:t xml:space="preserve">Compartido</w:t>
            </w:r>
          </w:p>
        </w:tc>
        <w:tc>
          <w:tcPr>
            <w:tcW w:type="dxa" w:w="3310"/>
            <w:shd w:fill="FFFFFF" w:val="clear"/>
            <w:tcMar>
              <w:top w:type="dxa" w:w="80"/>
              <w:left w:type="dxa" w:w="110"/>
              <w:bottom w:type="dxa" w:w="80"/>
              <w:right w:type="dxa" w:w="110"/>
            </w:tcMar>
            <w:vAlign w:val="center"/>
          </w:tcPr>
          <w:p>
            <w:pPr>
              <w:spacing w:after="0" w:line="250"/>
            </w:pPr>
            <w:r>
              <w:rPr>
                <w:sz w:val="19"/>
                <w:szCs w:val="19"/>
              </w:rPr>
              <w:t xml:space="preserve">Ojo: en inmigración condicionar honorarios al resultado migratorio genera problemas éticos y de expectativa. </w:t>
            </w:r>
            <w:r>
              <w:rPr>
                <w:b/>
                <w:bCs/>
                <w:sz w:val="19"/>
                <w:szCs w:val="19"/>
              </w:rPr>
              <w:t xml:space="preserve">Evitar</w:t>
            </w:r>
          </w:p>
        </w:tc>
      </w:tr>
      <w:tr>
        <w:tc>
          <w:tcPr>
            <w:tcW w:type="dxa" w:w="1750"/>
            <w:shd w:fill="F5F7FA" w:val="clear"/>
            <w:tcMar>
              <w:top w:type="dxa" w:w="80"/>
              <w:left w:type="dxa" w:w="110"/>
              <w:bottom w:type="dxa" w:w="80"/>
              <w:right w:type="dxa" w:w="110"/>
            </w:tcMar>
            <w:vAlign w:val="center"/>
          </w:tcPr>
          <w:p>
            <w:pPr>
              <w:spacing w:after="0" w:line="250"/>
            </w:pPr>
            <w:r>
              <w:rPr>
                <w:sz w:val="19"/>
                <w:szCs w:val="19"/>
              </w:rPr>
              <w:t xml:space="preserve">Retainer / suscripción</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Cuota mensual por acceso y volumen definido</w:t>
            </w:r>
          </w:p>
        </w:tc>
        <w:tc>
          <w:tcPr>
            <w:tcW w:type="dxa" w:w="1900"/>
            <w:shd w:fill="F5F7FA" w:val="clear"/>
            <w:tcMar>
              <w:top w:type="dxa" w:w="80"/>
              <w:left w:type="dxa" w:w="110"/>
              <w:bottom w:type="dxa" w:w="80"/>
              <w:right w:type="dxa" w:w="110"/>
            </w:tcMar>
            <w:vAlign w:val="center"/>
          </w:tcPr>
          <w:p>
            <w:pPr>
              <w:spacing w:after="0" w:line="250"/>
            </w:pPr>
            <w:r>
              <w:rPr>
                <w:sz w:val="19"/>
                <w:szCs w:val="19"/>
              </w:rPr>
              <w:t xml:space="preserve">Compartido</w:t>
            </w:r>
          </w:p>
        </w:tc>
        <w:tc>
          <w:tcPr>
            <w:tcW w:type="dxa" w:w="3310"/>
            <w:shd w:fill="F5F7FA" w:val="clear"/>
            <w:tcMar>
              <w:top w:type="dxa" w:w="80"/>
              <w:left w:type="dxa" w:w="110"/>
              <w:bottom w:type="dxa" w:w="80"/>
              <w:right w:type="dxa" w:w="110"/>
            </w:tcMar>
            <w:vAlign w:val="center"/>
          </w:tcPr>
          <w:p>
            <w:pPr>
              <w:spacing w:after="0" w:line="250"/>
            </w:pPr>
            <w:r>
              <w:rPr>
                <w:b/>
                <w:bCs/>
                <w:sz w:val="19"/>
                <w:szCs w:val="19"/>
              </w:rPr>
              <w:t xml:space="preserve">La mayor oportunidad no explotada.</w:t>
            </w:r>
            <w:r>
              <w:rPr>
                <w:sz w:val="19"/>
                <w:szCs w:val="19"/>
              </w:rPr>
              <w:t xml:space="preserve"> Ver 4.3</w:t>
            </w:r>
          </w:p>
        </w:tc>
      </w:tr>
      <w:tr>
        <w:tc>
          <w:tcPr>
            <w:tcW w:type="dxa" w:w="1750"/>
            <w:shd w:fill="FFFFFF" w:val="clear"/>
            <w:tcMar>
              <w:top w:type="dxa" w:w="80"/>
              <w:left w:type="dxa" w:w="110"/>
              <w:bottom w:type="dxa" w:w="80"/>
              <w:right w:type="dxa" w:w="110"/>
            </w:tcMar>
            <w:vAlign w:val="center"/>
          </w:tcPr>
          <w:p>
            <w:pPr>
              <w:spacing w:after="0" w:line="250"/>
            </w:pPr>
            <w:r>
              <w:rPr>
                <w:sz w:val="19"/>
                <w:szCs w:val="19"/>
              </w:rPr>
              <w:t xml:space="preserve">Portfolio pricing</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Precio anual por una cartera completa</w:t>
            </w:r>
          </w:p>
        </w:tc>
        <w:tc>
          <w:tcPr>
            <w:tcW w:type="dxa" w:w="1900"/>
            <w:shd w:fill="FFFFFF" w:val="clear"/>
            <w:tcMar>
              <w:top w:type="dxa" w:w="80"/>
              <w:left w:type="dxa" w:w="110"/>
              <w:bottom w:type="dxa" w:w="80"/>
              <w:right w:type="dxa" w:w="110"/>
            </w:tcMar>
            <w:vAlign w:val="center"/>
          </w:tcPr>
          <w:p>
            <w:pPr>
              <w:spacing w:after="0" w:line="250"/>
            </w:pPr>
            <w:r>
              <w:rPr>
                <w:sz w:val="19"/>
                <w:szCs w:val="19"/>
              </w:rPr>
              <w:t xml:space="preserve">La firma</w:t>
            </w:r>
          </w:p>
        </w:tc>
        <w:tc>
          <w:tcPr>
            <w:tcW w:type="dxa" w:w="3310"/>
            <w:shd w:fill="FFFFFF" w:val="clear"/>
            <w:tcMar>
              <w:top w:type="dxa" w:w="80"/>
              <w:left w:type="dxa" w:w="110"/>
              <w:bottom w:type="dxa" w:w="80"/>
              <w:right w:type="dxa" w:w="110"/>
            </w:tcMar>
            <w:vAlign w:val="center"/>
          </w:tcPr>
          <w:p>
            <w:pPr>
              <w:spacing w:after="0" w:line="250"/>
            </w:pPr>
            <w:r>
              <w:rPr>
                <w:sz w:val="19"/>
                <w:szCs w:val="19"/>
              </w:rPr>
              <w:t xml:space="preserve">Aplicable a un empleador con volumen recurrente de patrocinios</w:t>
            </w:r>
          </w:p>
        </w:tc>
      </w:tr>
      <w:tr>
        <w:tc>
          <w:tcPr>
            <w:tcW w:type="dxa" w:w="1750"/>
            <w:shd w:fill="F5F7FA" w:val="clear"/>
            <w:tcMar>
              <w:top w:type="dxa" w:w="80"/>
              <w:left w:type="dxa" w:w="110"/>
              <w:bottom w:type="dxa" w:w="80"/>
              <w:right w:type="dxa" w:w="110"/>
            </w:tcMar>
            <w:vAlign w:val="center"/>
          </w:tcPr>
          <w:p>
            <w:pPr>
              <w:spacing w:after="0" w:line="250"/>
            </w:pPr>
            <w:r>
              <w:rPr>
                <w:sz w:val="19"/>
                <w:szCs w:val="19"/>
              </w:rPr>
              <w:t xml:space="preserve">Unbundled / limited scope</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Precio por tarea suelta</w:t>
            </w:r>
          </w:p>
        </w:tc>
        <w:tc>
          <w:tcPr>
            <w:tcW w:type="dxa" w:w="1900"/>
            <w:shd w:fill="F5F7FA" w:val="clear"/>
            <w:tcMar>
              <w:top w:type="dxa" w:w="80"/>
              <w:left w:type="dxa" w:w="110"/>
              <w:bottom w:type="dxa" w:w="80"/>
              <w:right w:type="dxa" w:w="110"/>
            </w:tcMar>
            <w:vAlign w:val="center"/>
          </w:tcPr>
          <w:p>
            <w:pPr>
              <w:spacing w:after="0" w:line="250"/>
            </w:pPr>
            <w:r>
              <w:rPr>
                <w:sz w:val="19"/>
                <w:szCs w:val="19"/>
              </w:rPr>
              <w:t xml:space="preserve">El cliente</w:t>
            </w:r>
          </w:p>
        </w:tc>
        <w:tc>
          <w:tcPr>
            <w:tcW w:type="dxa" w:w="3310"/>
            <w:shd w:fill="F5F7FA" w:val="clear"/>
            <w:tcMar>
              <w:top w:type="dxa" w:w="80"/>
              <w:left w:type="dxa" w:w="110"/>
              <w:bottom w:type="dxa" w:w="80"/>
              <w:right w:type="dxa" w:w="110"/>
            </w:tcMar>
            <w:vAlign w:val="center"/>
          </w:tcPr>
          <w:p>
            <w:pPr>
              <w:spacing w:after="0" w:line="250"/>
            </w:pPr>
            <w:r>
              <w:rPr>
                <w:b/>
                <w:bCs/>
                <w:sz w:val="19"/>
                <w:szCs w:val="19"/>
              </w:rPr>
              <w:t xml:space="preserve">Ya lo hacemos</w:t>
            </w:r>
            <w:r>
              <w:rPr>
                <w:sz w:val="19"/>
                <w:szCs w:val="19"/>
              </w:rPr>
              <w:t xml:space="preserve">, en la práctica, con el modelo de preparación de habeas</w:t>
            </w:r>
          </w:p>
        </w:tc>
      </w:tr>
    </w:tbl>
    <w:p>
      <w:pPr>
        <w:spacing w:after="160"/>
      </w:pPr>
    </w:p>
    <w:p>
      <w:pPr>
        <w:pStyle w:val="Heading2"/>
        <w:spacing w:after="140" w:before="320"/>
      </w:pPr>
      <w:r>
        <w:rPr>
          <w:rFonts w:ascii="Calibri" w:cs="Calibri" w:eastAsia="Calibri" w:hAnsi="Calibri"/>
          <w:b/>
          <w:bCs/>
          <w:color w:val="1F3864"/>
          <w:sz w:val="25"/>
          <w:szCs w:val="25"/>
        </w:rPr>
        <w:t xml:space="preserve">4.2 La lógica económica de los tres que nos importan</w:t>
      </w:r>
    </w:p>
    <w:p>
      <w:pPr>
        <w:pStyle w:val="Heading3"/>
        <w:spacing w:after="100" w:before="240"/>
      </w:pPr>
      <w:r>
        <w:rPr>
          <w:rFonts w:ascii="Calibri" w:cs="Calibri" w:eastAsia="Calibri" w:hAnsi="Calibri"/>
          <w:b/>
          <w:bCs/>
          <w:color w:val="44546A"/>
          <w:sz w:val="22"/>
          <w:szCs w:val="22"/>
        </w:rPr>
        <w:t xml:space="preserve">Flat fee — dónde vive realmente nuestro margen</w:t>
      </w:r>
    </w:p>
    <w:p>
      <w:pPr>
        <w:spacing w:after="140" w:line="276"/>
      </w:pPr>
      <w:r>
        <w:rPr>
          <w:sz w:val="21"/>
          <w:szCs w:val="21"/>
        </w:rPr>
        <w:t xml:space="preserve">En el precio cerrado el margen no viene de la tarifa sino de la </w:t>
      </w:r>
      <w:r>
        <w:rPr>
          <w:b/>
          <w:bCs/>
          <w:sz w:val="21"/>
          <w:szCs w:val="21"/>
        </w:rPr>
        <w:t xml:space="preserve">eficiencia propia</w:t>
      </w:r>
      <w:r>
        <w:rPr>
          <w:sz w:val="21"/>
          <w:szCs w:val="21"/>
        </w:rPr>
        <w:t xml:space="preserve">. Si el precio es $2,500 y el asunto toma 10 horas, la tarifa implícita es $250/h. Si con plantillas y proceso lo haces en 4 horas, es $625/h. El cliente pagó lo mismo; el margen se multiplicó por 2.5.</w:t>
      </w:r>
    </w:p>
    <w:p>
      <w:pPr>
        <w:spacing w:after="140" w:line="276"/>
      </w:pPr>
      <w:r>
        <w:rPr>
          <w:b/>
          <w:bCs/>
          <w:sz w:val="21"/>
          <w:szCs w:val="21"/>
        </w:rPr>
        <w:t xml:space="preserve">Esta es la frase que resume el documento entero:</w:t>
      </w:r>
      <w:r>
        <w:rPr>
          <w:sz w:val="21"/>
          <w:szCs w:val="21"/>
        </w:rPr>
        <w:t xml:space="preserve"> el flat fee convierte la inversión en procesos en margen directo. Es el único modelo donde mejorar la operación se paga solo, de inmediato y de forma medible.</w:t>
      </w:r>
    </w:p>
    <w:p>
      <w:pPr>
        <w:spacing w:after="140" w:line="276"/>
      </w:pPr>
      <w:r>
        <w:rPr>
          <w:sz w:val="21"/>
          <w:szCs w:val="21"/>
        </w:rPr>
        <w:t xml:space="preserve">Su riesgo espejo es igual de directo: si el caso se desborda, el que paga es la firma. Por eso el flat fee exige tres cosas que la hora facturable perdona — </w:t>
      </w:r>
      <w:r>
        <w:rPr>
          <w:b/>
          <w:bCs/>
          <w:sz w:val="21"/>
          <w:szCs w:val="21"/>
        </w:rPr>
        <w:t xml:space="preserve">alcance escrito con precisión</w:t>
      </w:r>
      <w:r>
        <w:rPr>
          <w:sz w:val="21"/>
          <w:szCs w:val="21"/>
        </w:rPr>
        <w:t xml:space="preserve">, </w:t>
      </w:r>
      <w:r>
        <w:rPr>
          <w:b/>
          <w:bCs/>
          <w:sz w:val="21"/>
          <w:szCs w:val="21"/>
        </w:rPr>
        <w:t xml:space="preserve">criterio disciplinado para decir que no</w:t>
      </w:r>
      <w:r>
        <w:rPr>
          <w:sz w:val="21"/>
          <w:szCs w:val="21"/>
        </w:rPr>
        <w:t xml:space="preserve">, y </w:t>
      </w:r>
      <w:r>
        <w:rPr>
          <w:b/>
          <w:bCs/>
          <w:sz w:val="21"/>
          <w:szCs w:val="21"/>
        </w:rPr>
        <w:t xml:space="preserve">medición de horas reales aunque no se facturen</w:t>
      </w:r>
      <w:r>
        <w:rPr>
          <w:sz w:val="21"/>
          <w:szCs w:val="21"/>
        </w:rPr>
        <w:t xml:space="preserve">. Sin lo tercero no sabes si estás ganando o perdiendo en cada tipo de caso.</w:t>
      </w:r>
    </w:p>
    <w:p>
      <w:pPr>
        <w:pStyle w:val="Heading3"/>
        <w:spacing w:after="100" w:before="240"/>
      </w:pPr>
      <w:r>
        <w:rPr>
          <w:rFonts w:ascii="Calibri" w:cs="Calibri" w:eastAsia="Calibri" w:hAnsi="Calibri"/>
          <w:b/>
          <w:bCs/>
          <w:color w:val="44546A"/>
          <w:sz w:val="22"/>
          <w:szCs w:val="22"/>
        </w:rPr>
        <w:t xml:space="preserve">Unbundled / limited scope — el modelo de preparación de habeas</w:t>
      </w:r>
    </w:p>
    <w:p>
      <w:pPr>
        <w:spacing w:after="140" w:line="276"/>
      </w:pPr>
      <w:r>
        <w:rPr>
          <w:sz w:val="21"/>
          <w:szCs w:val="21"/>
        </w:rPr>
        <w:t xml:space="preserve">La firma prepara íntegramente la petición y los escritos relacionados, y el cliente los presenta </w:t>
      </w:r>
      <w:r>
        <w:rPr>
          <w:i/>
          <w:iCs/>
          <w:sz w:val="21"/>
          <w:szCs w:val="21"/>
        </w:rPr>
        <w:t xml:space="preserve">pro se</w:t>
      </w:r>
      <w:r>
        <w:rPr>
          <w:sz w:val="21"/>
          <w:szCs w:val="21"/>
        </w:rPr>
        <w:t xml:space="preserve"> en su propio nombre. El objetivo declarado es reducir el costo para el cliente sin sacrificar la calidad del documento.</w:t>
      </w:r>
    </w:p>
    <w:p>
      <w:pPr>
        <w:spacing w:after="140" w:line="276"/>
      </w:pPr>
      <w:r>
        <w:rPr>
          <w:sz w:val="21"/>
          <w:szCs w:val="21"/>
        </w:rPr>
        <w:t xml:space="preserve">Como modelo de negocio tiene una economía atractiva: producto altamente repetible, entregable acotado, sin comparecencias, ejecutable por un paralegal formado bajo supervisión, y sin la restricción de admisión en el distrito federal correspondiente. Es, en términos de la Parte 15, un producto casi perfectamente automatizable.</w:t>
      </w:r>
    </w:p>
    <w:p>
      <w:pPr>
        <w:spacing w:after="8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Punto de verificación de cumplimiento — no es un obstáculo, es una casilla que hay que cerrar</w:t>
            </w:r>
          </w:p>
          <w:p>
            <w:pPr>
              <w:spacing w:after="90" w:line="264"/>
            </w:pPr>
            <w:r>
              <w:rPr>
                <w:sz w:val="21"/>
                <w:szCs w:val="21"/>
              </w:rPr>
              <w:t xml:space="preserve">El </w:t>
            </w:r>
            <w:r>
              <w:rPr>
                <w:i/>
                <w:iCs/>
                <w:sz w:val="21"/>
                <w:szCs w:val="21"/>
              </w:rPr>
              <w:t xml:space="preserve">ghostwriting</w:t>
            </w:r>
            <w:r>
              <w:rPr>
                <w:sz w:val="21"/>
                <w:szCs w:val="21"/>
              </w:rPr>
              <w:t xml:space="preserve"> —preparar escritos que se presentan sin revelar la participación del abogado— </w:t>
            </w:r>
            <w:r>
              <w:rPr>
                <w:b/>
                <w:bCs/>
                <w:sz w:val="21"/>
                <w:szCs w:val="21"/>
              </w:rPr>
              <w:t xml:space="preserve">no tiene una regla uniforme en EE. UU.</w:t>
            </w:r>
            <w:r>
              <w:rPr>
                <w:sz w:val="21"/>
                <w:szCs w:val="21"/>
              </w:rPr>
              <w:t xml:space="preserve"> Algunos tribunales federales lo permiten sin más, otros exigen que el escrito indique que fue preparado con asistencia de abogado, y algunos lo han tratado como problemático cuando el litigante recibe el trato deferente que se da al </w:t>
            </w:r>
            <w:r>
              <w:rPr>
                <w:i/>
                <w:iCs/>
                <w:sz w:val="21"/>
                <w:szCs w:val="21"/>
              </w:rPr>
              <w:t xml:space="preserve">pro se</w:t>
            </w:r>
            <w:r>
              <w:rPr>
                <w:sz w:val="21"/>
                <w:szCs w:val="21"/>
              </w:rPr>
              <w:t xml:space="preserve"> mientras se beneficia de trabajo profesional.</w:t>
            </w:r>
          </w:p>
          <w:p>
            <w:pPr>
              <w:spacing w:after="90" w:line="264"/>
            </w:pPr>
            <w:r>
              <w:rPr>
                <w:sz w:val="21"/>
                <w:szCs w:val="21"/>
              </w:rPr>
              <w:t xml:space="preserve">La consecuencia práctica es que </w:t>
            </w:r>
            <w:r>
              <w:rPr>
                <w:b/>
                <w:bCs/>
                <w:sz w:val="21"/>
                <w:szCs w:val="21"/>
              </w:rPr>
              <w:t xml:space="preserve">la respuesta depende del distrito</w:t>
            </w:r>
            <w:r>
              <w:rPr>
                <w:sz w:val="21"/>
                <w:szCs w:val="21"/>
              </w:rPr>
              <w:t xml:space="preserve">, y que la regla puede cambiar. Esto no invalida el modelo: lo convierte en un modelo que necesita un mapa.</w:t>
            </w:r>
          </w:p>
          <w:p>
            <w:pPr>
              <w:spacing w:after="90" w:line="264"/>
            </w:pPr>
            <w:r>
              <w:rPr>
                <w:b/>
                <w:bCs/>
                <w:sz w:val="21"/>
                <w:szCs w:val="21"/>
              </w:rPr>
              <w:t xml:space="preserve">Acción:</w:t>
            </w:r>
            <w:r>
              <w:rPr>
                <w:sz w:val="21"/>
                <w:szCs w:val="21"/>
              </w:rPr>
              <w:t xml:space="preserve"> levantar una matriz por distrito de los tribunales donde presentamos con más frecuencia, anotando la posición vigente sobre divulgación en escritos preparados por abogado, y la forma de divulgación aceptada donde se exige. Revisar esa matriz una vez al año. Es una tarde de trabajo y protege una línea de ingreso completa.</w:t>
            </w:r>
          </w:p>
          <w:p>
            <w:pPr>
              <w:spacing w:after="90" w:line="264"/>
            </w:pPr>
            <w:r>
              <w:rPr>
                <w:sz w:val="21"/>
                <w:szCs w:val="21"/>
              </w:rPr>
              <w:t xml:space="preserve">Añadir además, en el acuerdo de servicios de alcance limitado: qué incluye exactamente el encargo, qué </w:t>
            </w:r>
            <w:r>
              <w:rPr>
                <w:b/>
                <w:bCs/>
                <w:sz w:val="21"/>
                <w:szCs w:val="21"/>
              </w:rPr>
              <w:t xml:space="preserve">no</w:t>
            </w:r>
            <w:r>
              <w:rPr>
                <w:sz w:val="21"/>
                <w:szCs w:val="21"/>
              </w:rPr>
              <w:t xml:space="preserve"> incluye (comparecencias, respuesta a la oposición, apelación), y que el cliente comparece en su propio nombre. La claridad del alcance protege a las dos partes.</w:t>
            </w:r>
          </w:p>
        </w:tc>
      </w:tr>
    </w:tbl>
    <w:p>
      <w:pPr>
        <w:pStyle w:val="Heading2"/>
        <w:spacing w:after="140" w:before="320"/>
      </w:pPr>
      <w:r>
        <w:rPr>
          <w:rFonts w:ascii="Calibri" w:cs="Calibri" w:eastAsia="Calibri" w:hAnsi="Calibri"/>
          <w:b/>
          <w:bCs/>
          <w:color w:val="1F3864"/>
          <w:sz w:val="25"/>
          <w:szCs w:val="25"/>
        </w:rPr>
        <w:t xml:space="preserve">4.3 Retainer y suscripción — el modelo que cambia el perfil financiero</w:t>
      </w:r>
    </w:p>
    <w:p>
      <w:pPr>
        <w:spacing w:after="140" w:line="276"/>
      </w:pPr>
      <w:r>
        <w:rPr>
          <w:sz w:val="21"/>
          <w:szCs w:val="21"/>
        </w:rPr>
        <w:t xml:space="preserve">Desde el punto de vista de negocio es el modelo más valioso que existe, porque genera </w:t>
      </w:r>
      <w:r>
        <w:rPr>
          <w:b/>
          <w:bCs/>
          <w:sz w:val="21"/>
          <w:szCs w:val="21"/>
        </w:rPr>
        <w:t xml:space="preserve">ingreso recurrente predecible</w:t>
      </w:r>
      <w:r>
        <w:rPr>
          <w:sz w:val="21"/>
          <w:szCs w:val="21"/>
        </w:rPr>
        <w:t xml:space="preserve">, amortiza el costo de adquisición sobre muchos meses y multiplica el valor de vida del cliente. Es la transformación de «vender encargos» a «vender una relación».</w:t>
      </w:r>
    </w:p>
    <w:p>
      <w:pPr>
        <w:spacing w:after="140" w:line="276"/>
      </w:pPr>
      <w:r>
        <w:rPr>
          <w:sz w:val="21"/>
          <w:szCs w:val="21"/>
        </w:rPr>
        <w:t xml:space="preserve">Y es exactamente lo que una firma de inmigración de consumidor no suele tener, porque su cliente natural compra una vez cada varios años.</w:t>
      </w:r>
    </w:p>
    <w:p>
      <w:pPr>
        <w:spacing w:after="8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dónde sí hay ingreso recurrente en inmigración</w:t>
            </w:r>
          </w:p>
          <w:p>
            <w:pPr>
              <w:spacing w:after="90" w:line="264"/>
            </w:pPr>
            <w:r>
              <w:rPr>
                <w:sz w:val="21"/>
                <w:szCs w:val="21"/>
              </w:rPr>
              <w:t xml:space="preserve">El cliente individual no genera recurrencia. </w:t>
            </w:r>
            <w:r>
              <w:rPr>
                <w:b/>
                <w:bCs/>
                <w:sz w:val="21"/>
                <w:szCs w:val="21"/>
              </w:rPr>
              <w:t xml:space="preserve">El empleador sí.</w:t>
            </w:r>
            <w:r>
              <w:rPr>
                <w:sz w:val="21"/>
                <w:szCs w:val="21"/>
              </w:rPr>
              <w:t xml:space="preserve"> Tres productos posibles, en orden de dificultad:</w:t>
            </w:r>
          </w:p>
          <w:p>
            <w:pPr>
              <w:spacing w:after="90" w:line="264"/>
            </w:pPr>
            <w:r>
              <w:rPr>
                <w:b/>
                <w:bCs/>
                <w:sz w:val="21"/>
                <w:szCs w:val="21"/>
              </w:rPr>
              <w:t xml:space="preserve">1. Plan de cumplimiento de I-9 y verificación de empleo.</w:t>
            </w:r>
            <w:r>
              <w:rPr>
                <w:sz w:val="21"/>
                <w:szCs w:val="21"/>
              </w:rPr>
              <w:t xml:space="preserve"> Cuota mensual o anual para un empleador con rotación alta: auditoría inicial, formación del personal de RR. HH., revisión periódica de expedientes, y respuesta ante una inspección. Es un producto de bajo drama, alto valor percibido y trabajo predecible. Sectores naturales en Katy y el área de Houston: construcción, restauración, logística, servicios de limpieza, atención a mayores.</w:t>
            </w:r>
          </w:p>
          <w:p>
            <w:pPr>
              <w:spacing w:after="90" w:line="264"/>
            </w:pPr>
            <w:r>
              <w:rPr>
                <w:b/>
                <w:bCs/>
                <w:sz w:val="21"/>
                <w:szCs w:val="21"/>
              </w:rPr>
              <w:t xml:space="preserve">2. Retainer de patrocinio para empleadores con volumen.</w:t>
            </w:r>
            <w:r>
              <w:rPr>
                <w:sz w:val="21"/>
                <w:szCs w:val="21"/>
              </w:rPr>
              <w:t xml:space="preserve"> Precio anual por una cartera de peticiones en lugar de precio por petición. Le da al empleador previsibilidad presupuestaria y a nosotros ingreso comprometido.</w:t>
            </w:r>
          </w:p>
          <w:p>
            <w:pPr>
              <w:spacing w:after="90" w:line="264"/>
            </w:pPr>
            <w:r>
              <w:rPr>
                <w:b/>
                <w:bCs/>
                <w:sz w:val="21"/>
                <w:szCs w:val="21"/>
              </w:rPr>
              <w:t xml:space="preserve">3. Plan de acompañamiento familiar.</w:t>
            </w:r>
            <w:r>
              <w:rPr>
                <w:sz w:val="21"/>
                <w:szCs w:val="21"/>
              </w:rPr>
              <w:t xml:space="preserve"> Cuota baja mensual que cubre consultas, revisión de correspondencia de USCIS, alertas de plazos y recordatorios de renovación, con descuento sobre encargos mayores. Convierte un cliente que compra una vez en una relación de años y </w:t>
            </w:r>
            <w:r>
              <w:rPr>
                <w:b/>
                <w:bCs/>
                <w:sz w:val="21"/>
                <w:szCs w:val="21"/>
              </w:rPr>
              <w:t xml:space="preserve">alimenta el canal de referidos</w:t>
            </w:r>
            <w:r>
              <w:rPr>
                <w:sz w:val="21"/>
                <w:szCs w:val="21"/>
              </w:rPr>
              <w:t xml:space="preserve">, que es el más barato que existe (Parte 6).</w:t>
            </w:r>
          </w:p>
          <w:p>
            <w:pPr>
              <w:spacing w:after="90" w:line="264"/>
            </w:pPr>
            <w:r>
              <w:rPr>
                <w:b/>
                <w:bCs/>
                <w:sz w:val="21"/>
                <w:szCs w:val="21"/>
              </w:rPr>
              <w:t xml:space="preserve">Por qué importa tanto:</w:t>
            </w:r>
            <w:r>
              <w:rPr>
                <w:sz w:val="21"/>
                <w:szCs w:val="21"/>
              </w:rPr>
              <w:t xml:space="preserve"> con ingreso recurrente, el mes malo deja de poner en riesgo la nómina. Ese solo hecho cambia qué decisiones puede tomar la firma — se puede rechazar un mal caso, se puede invertir, se puede contratar antes de estar desbordado.</w:t>
            </w:r>
          </w:p>
        </w:tc>
      </w:tr>
    </w:tbl>
    <w:p>
      <w:pPr>
        <w:pStyle w:val="Heading2"/>
        <w:spacing w:after="140" w:before="320"/>
      </w:pPr>
      <w:r>
        <w:rPr>
          <w:rFonts w:ascii="Calibri" w:cs="Calibri" w:eastAsia="Calibri" w:hAnsi="Calibri"/>
          <w:b/>
          <w:bCs/>
          <w:color w:val="1F3864"/>
          <w:sz w:val="25"/>
          <w:szCs w:val="25"/>
        </w:rPr>
        <w:t xml:space="preserve">4.4 Ingresos auxiliares</w:t>
      </w:r>
    </w:p>
    <w:p>
      <w:pPr>
        <w:pStyle w:val="ListParagraph"/>
        <w:numPr>
          <w:ilvl w:val="0"/>
          <w:numId w:val="2"/>
        </w:numPr>
        <w:spacing w:after="70" w:line="264"/>
      </w:pPr>
      <w:r>
        <w:rPr>
          <w:b/>
          <w:bCs/>
          <w:sz w:val="21"/>
          <w:szCs w:val="21"/>
        </w:rPr>
        <w:t xml:space="preserve">Formación y contenido de pago</w:t>
      </w:r>
      <w:r>
        <w:rPr>
          <w:sz w:val="21"/>
          <w:szCs w:val="21"/>
        </w:rPr>
        <w:t xml:space="preserve"> — cursos, guías y materiales prácticos. La firma ya produce guías de casos de la BIA y materiales de práctica; eso es inventario de conocimiento que hoy no genera ingreso.</w:t>
      </w:r>
    </w:p>
    <w:p>
      <w:pPr>
        <w:pStyle w:val="ListParagraph"/>
        <w:numPr>
          <w:ilvl w:val="0"/>
          <w:numId w:val="2"/>
        </w:numPr>
        <w:spacing w:after="70" w:line="264"/>
      </w:pPr>
      <w:r>
        <w:rPr>
          <w:b/>
          <w:bCs/>
          <w:sz w:val="21"/>
          <w:szCs w:val="21"/>
        </w:rPr>
        <w:t xml:space="preserve">Producto y tecnología</w:t>
      </w:r>
      <w:r>
        <w:rPr>
          <w:sz w:val="21"/>
          <w:szCs w:val="21"/>
        </w:rPr>
        <w:t xml:space="preserve"> — plantillas, playbooks y automatización licenciados a otras firmas. Ver Parte 15.</w:t>
      </w:r>
    </w:p>
    <w:p>
      <w:pPr>
        <w:pStyle w:val="ListParagraph"/>
        <w:numPr>
          <w:ilvl w:val="0"/>
          <w:numId w:val="2"/>
        </w:numPr>
        <w:spacing w:after="70" w:line="264"/>
      </w:pPr>
      <w:r>
        <w:rPr>
          <w:b/>
          <w:bCs/>
          <w:sz w:val="21"/>
          <w:szCs w:val="21"/>
        </w:rPr>
        <w:t xml:space="preserve">Servicios adjuntos</w:t>
      </w:r>
      <w:r>
        <w:rPr>
          <w:sz w:val="21"/>
          <w:szCs w:val="21"/>
        </w:rPr>
        <w:t xml:space="preserve"> — traducción certificada, servicios de notarización, coordinación de exámenes médicos, en la medida en que se estructuren correctamente.</w:t>
      </w:r>
    </w:p>
    <w:p>
      <w:pPr>
        <w:spacing w:after="140" w:line="276"/>
      </w:pPr>
      <w:r>
        <w:rPr>
          <w:b/>
          <w:bCs/>
          <w:sz w:val="21"/>
          <w:szCs w:val="21"/>
        </w:rPr>
        <w:t xml:space="preserve">Precaución transversal:</w:t>
      </w:r>
      <w:r>
        <w:rPr>
          <w:sz w:val="21"/>
          <w:szCs w:val="21"/>
        </w:rPr>
        <w:t xml:space="preserve"> cualquier ingreso auxiliar debe revisarse contra las reglas de reparto de honorarios con no abogados y de práctica no autorizada del derecho. En inmigración esta frontera es especialmente delicada (Parte 14).</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5. Segmentos de cliente y propuesta de valor</w:t>
      </w:r>
    </w:p>
    <w:p>
      <w:pPr>
        <w:spacing w:after="140" w:line="276"/>
      </w:pPr>
      <w:r>
        <w:rPr>
          <w:sz w:val="21"/>
          <w:szCs w:val="21"/>
        </w:rPr>
        <w:t xml:space="preserve">Cada segmento compra algo distinto. Confundirlos es el error de posicionamiento más común y el más caro, porque contamina el precio, el mensaje y el canal a la vez.</w:t>
      </w:r>
    </w:p>
    <w:p>
      <w:pPr>
        <w:pStyle w:val="Heading2"/>
        <w:spacing w:after="140" w:before="320"/>
      </w:pPr>
      <w:r>
        <w:rPr>
          <w:rFonts w:ascii="Calibri" w:cs="Calibri" w:eastAsia="Calibri" w:hAnsi="Calibri"/>
          <w:b/>
          <w:bCs/>
          <w:color w:val="1F3864"/>
          <w:sz w:val="25"/>
          <w:szCs w:val="25"/>
        </w:rPr>
        <w:t xml:space="preserve">5.1 El mapa general del sector</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700"/>
        <w:gridCol w:w="2900"/>
        <w:gridCol w:w="2400"/>
        <w:gridCol w:w="2360"/>
      </w:tblGrid>
      <w:tr>
        <w:trPr>
          <w:tblHeader/>
        </w:trPr>
        <w:tc>
          <w:tcPr>
            <w:tcW w:type="dxa" w:w="1700"/>
            <w:shd w:fill="1F3864" w:val="clear"/>
            <w:tcMar>
              <w:top w:type="dxa" w:w="90"/>
              <w:left w:type="dxa" w:w="110"/>
              <w:bottom w:type="dxa" w:w="90"/>
              <w:right w:type="dxa" w:w="110"/>
            </w:tcMar>
          </w:tcPr>
          <w:p>
            <w:pPr>
              <w:spacing w:after="0" w:line="250"/>
            </w:pPr>
            <w:r>
              <w:rPr>
                <w:b/>
                <w:bCs/>
                <w:color w:val="FFFFFF"/>
                <w:sz w:val="19"/>
                <w:szCs w:val="19"/>
              </w:rPr>
              <w:t xml:space="preserve">Segmento</w:t>
            </w:r>
          </w:p>
        </w:tc>
        <w:tc>
          <w:tcPr>
            <w:tcW w:type="dxa" w:w="2900"/>
            <w:shd w:fill="1F3864" w:val="clear"/>
            <w:tcMar>
              <w:top w:type="dxa" w:w="90"/>
              <w:left w:type="dxa" w:w="110"/>
              <w:bottom w:type="dxa" w:w="90"/>
              <w:right w:type="dxa" w:w="110"/>
            </w:tcMar>
          </w:tcPr>
          <w:p>
            <w:pPr>
              <w:spacing w:after="0" w:line="250"/>
            </w:pPr>
            <w:r>
              <w:rPr>
                <w:b/>
                <w:bCs/>
                <w:color w:val="FFFFFF"/>
                <w:sz w:val="19"/>
                <w:szCs w:val="19"/>
              </w:rPr>
              <w:t xml:space="preserve">Qué compra realmente</w:t>
            </w:r>
          </w:p>
        </w:tc>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Sensible a</w:t>
            </w:r>
          </w:p>
        </w:tc>
        <w:tc>
          <w:tcPr>
            <w:tcW w:type="dxa" w:w="2360"/>
            <w:shd w:fill="1F3864" w:val="clear"/>
            <w:tcMar>
              <w:top w:type="dxa" w:w="90"/>
              <w:left w:type="dxa" w:w="110"/>
              <w:bottom w:type="dxa" w:w="90"/>
              <w:right w:type="dxa" w:w="110"/>
            </w:tcMar>
          </w:tcPr>
          <w:p>
            <w:pPr>
              <w:spacing w:after="0" w:line="250"/>
            </w:pPr>
            <w:r>
              <w:rPr>
                <w:b/>
                <w:bCs/>
                <w:color w:val="FFFFFF"/>
                <w:sz w:val="19"/>
                <w:szCs w:val="19"/>
              </w:rPr>
              <w:t xml:space="preserve">Modelo de ingreso natural</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Corporación grande</w:t>
            </w:r>
          </w:p>
        </w:tc>
        <w:tc>
          <w:tcPr>
            <w:tcW w:type="dxa" w:w="2900"/>
            <w:shd w:fill="FFFFFF" w:val="clear"/>
            <w:tcMar>
              <w:top w:type="dxa" w:w="80"/>
              <w:left w:type="dxa" w:w="110"/>
              <w:bottom w:type="dxa" w:w="80"/>
              <w:right w:type="dxa" w:w="110"/>
            </w:tcMar>
            <w:vAlign w:val="center"/>
          </w:tcPr>
          <w:p>
            <w:pPr>
              <w:spacing w:after="0" w:line="250"/>
            </w:pPr>
            <w:r>
              <w:rPr>
                <w:sz w:val="19"/>
                <w:szCs w:val="19"/>
              </w:rPr>
              <w:t xml:space="preserve">Cobertura de riesgo y la firma en la carátula</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Reputación, panel aprobado, conflictos</w:t>
            </w:r>
          </w:p>
        </w:tc>
        <w:tc>
          <w:tcPr>
            <w:tcW w:type="dxa" w:w="2360"/>
            <w:shd w:fill="FFFFFF" w:val="clear"/>
            <w:tcMar>
              <w:top w:type="dxa" w:w="80"/>
              <w:left w:type="dxa" w:w="110"/>
              <w:bottom w:type="dxa" w:w="80"/>
              <w:right w:type="dxa" w:w="110"/>
            </w:tcMar>
            <w:vAlign w:val="center"/>
          </w:tcPr>
          <w:p>
            <w:pPr>
              <w:spacing w:after="0" w:line="250"/>
            </w:pPr>
            <w:r>
              <w:rPr>
                <w:sz w:val="19"/>
                <w:szCs w:val="19"/>
              </w:rPr>
              <w:t xml:space="preserve">Horas, portfolio pricing</w:t>
            </w: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Empresa mediana</w:t>
            </w:r>
          </w:p>
        </w:tc>
        <w:tc>
          <w:tcPr>
            <w:tcW w:type="dxa" w:w="2900"/>
            <w:shd w:fill="F5F7FA" w:val="clear"/>
            <w:tcMar>
              <w:top w:type="dxa" w:w="80"/>
              <w:left w:type="dxa" w:w="110"/>
              <w:bottom w:type="dxa" w:w="80"/>
              <w:right w:type="dxa" w:w="110"/>
            </w:tcMar>
            <w:vAlign w:val="center"/>
          </w:tcPr>
          <w:p>
            <w:pPr>
              <w:spacing w:after="0" w:line="250"/>
            </w:pPr>
            <w:r>
              <w:rPr>
                <w:sz w:val="19"/>
                <w:szCs w:val="19"/>
              </w:rPr>
              <w:t xml:space="preserve">Juicio comercial: alguien que decida, no que investigue</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Valor por dólar, tiempo de respuesta</w:t>
            </w:r>
          </w:p>
        </w:tc>
        <w:tc>
          <w:tcPr>
            <w:tcW w:type="dxa" w:w="2360"/>
            <w:shd w:fill="F5F7FA" w:val="clear"/>
            <w:tcMar>
              <w:top w:type="dxa" w:w="80"/>
              <w:left w:type="dxa" w:w="110"/>
              <w:bottom w:type="dxa" w:w="80"/>
              <w:right w:type="dxa" w:w="110"/>
            </w:tcMar>
            <w:vAlign w:val="center"/>
          </w:tcPr>
          <w:p>
            <w:pPr>
              <w:spacing w:after="0" w:line="250"/>
            </w:pPr>
            <w:r>
              <w:rPr>
                <w:sz w:val="19"/>
                <w:szCs w:val="19"/>
              </w:rPr>
              <w:t xml:space="preserve">Flat fee, capped, retainer</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Startup</w:t>
            </w:r>
          </w:p>
        </w:tc>
        <w:tc>
          <w:tcPr>
            <w:tcW w:type="dxa" w:w="2900"/>
            <w:shd w:fill="FFFFFF" w:val="clear"/>
            <w:tcMar>
              <w:top w:type="dxa" w:w="80"/>
              <w:left w:type="dxa" w:w="110"/>
              <w:bottom w:type="dxa" w:w="80"/>
              <w:right w:type="dxa" w:w="110"/>
            </w:tcMar>
            <w:vAlign w:val="center"/>
          </w:tcPr>
          <w:p>
            <w:pPr>
              <w:spacing w:after="0" w:line="250"/>
            </w:pPr>
            <w:r>
              <w:rPr>
                <w:sz w:val="19"/>
                <w:szCs w:val="19"/>
              </w:rPr>
              <w:t xml:space="preserve">Velocidad y previsibilidad; que no bloquee el cierre</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Precio, agilidad</w:t>
            </w:r>
          </w:p>
        </w:tc>
        <w:tc>
          <w:tcPr>
            <w:tcW w:type="dxa" w:w="2360"/>
            <w:shd w:fill="FFFFFF" w:val="clear"/>
            <w:tcMar>
              <w:top w:type="dxa" w:w="80"/>
              <w:left w:type="dxa" w:w="110"/>
              <w:bottom w:type="dxa" w:w="80"/>
              <w:right w:type="dxa" w:w="110"/>
            </w:tcMar>
            <w:vAlign w:val="center"/>
          </w:tcPr>
          <w:p>
            <w:pPr>
              <w:spacing w:after="0" w:line="250"/>
            </w:pPr>
            <w:r>
              <w:rPr>
                <w:sz w:val="19"/>
                <w:szCs w:val="19"/>
              </w:rPr>
              <w:t xml:space="preserve">Flat fee, retainer</w:t>
            </w: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PYME local</w:t>
            </w:r>
          </w:p>
        </w:tc>
        <w:tc>
          <w:tcPr>
            <w:tcW w:type="dxa" w:w="2900"/>
            <w:shd w:fill="F5F7FA" w:val="clear"/>
            <w:tcMar>
              <w:top w:type="dxa" w:w="80"/>
              <w:left w:type="dxa" w:w="110"/>
              <w:bottom w:type="dxa" w:w="80"/>
              <w:right w:type="dxa" w:w="110"/>
            </w:tcMar>
            <w:vAlign w:val="center"/>
          </w:tcPr>
          <w:p>
            <w:pPr>
              <w:spacing w:after="0" w:line="250"/>
            </w:pPr>
            <w:r>
              <w:rPr>
                <w:sz w:val="19"/>
                <w:szCs w:val="19"/>
              </w:rPr>
              <w:t xml:space="preserve">Tranquilidad y accesibilidad</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Precio, cercanía, idioma</w:t>
            </w:r>
          </w:p>
        </w:tc>
        <w:tc>
          <w:tcPr>
            <w:tcW w:type="dxa" w:w="2360"/>
            <w:shd w:fill="F5F7FA" w:val="clear"/>
            <w:tcMar>
              <w:top w:type="dxa" w:w="80"/>
              <w:left w:type="dxa" w:w="110"/>
              <w:bottom w:type="dxa" w:w="80"/>
              <w:right w:type="dxa" w:w="110"/>
            </w:tcMar>
            <w:vAlign w:val="center"/>
          </w:tcPr>
          <w:p>
            <w:pPr>
              <w:spacing w:after="0" w:line="250"/>
            </w:pPr>
            <w:r>
              <w:rPr>
                <w:sz w:val="19"/>
                <w:szCs w:val="19"/>
              </w:rPr>
              <w:t xml:space="preserve">Flat fee, retainer pequeño</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Consumidor</w:t>
            </w:r>
          </w:p>
        </w:tc>
        <w:tc>
          <w:tcPr>
            <w:tcW w:type="dxa" w:w="2900"/>
            <w:shd w:fill="FFFFFF" w:val="clear"/>
            <w:tcMar>
              <w:top w:type="dxa" w:w="80"/>
              <w:left w:type="dxa" w:w="110"/>
              <w:bottom w:type="dxa" w:w="80"/>
              <w:right w:type="dxa" w:w="110"/>
            </w:tcMar>
            <w:vAlign w:val="center"/>
          </w:tcPr>
          <w:p>
            <w:pPr>
              <w:spacing w:after="0" w:line="250"/>
            </w:pPr>
            <w:r>
              <w:rPr>
                <w:sz w:val="19"/>
                <w:szCs w:val="19"/>
              </w:rPr>
              <w:t xml:space="preserve">Certeza sobre un resultado vital</w:t>
            </w:r>
          </w:p>
        </w:tc>
        <w:tc>
          <w:tcPr>
            <w:tcW w:type="dxa" w:w="2400"/>
            <w:shd w:fill="FFFFFF" w:val="clear"/>
            <w:tcMar>
              <w:top w:type="dxa" w:w="80"/>
              <w:left w:type="dxa" w:w="110"/>
              <w:bottom w:type="dxa" w:w="80"/>
              <w:right w:type="dxa" w:w="110"/>
            </w:tcMar>
            <w:vAlign w:val="center"/>
          </w:tcPr>
          <w:p>
            <w:pPr>
              <w:spacing w:after="0" w:line="250"/>
            </w:pPr>
            <w:r>
              <w:rPr>
                <w:sz w:val="19"/>
                <w:szCs w:val="19"/>
              </w:rPr>
              <w:t xml:space="preserve">Precio total, confianza, comunicación</w:t>
            </w:r>
          </w:p>
        </w:tc>
        <w:tc>
          <w:tcPr>
            <w:tcW w:type="dxa" w:w="2360"/>
            <w:shd w:fill="FFFFFF" w:val="clear"/>
            <w:tcMar>
              <w:top w:type="dxa" w:w="80"/>
              <w:left w:type="dxa" w:w="110"/>
              <w:bottom w:type="dxa" w:w="80"/>
              <w:right w:type="dxa" w:w="110"/>
            </w:tcMar>
            <w:vAlign w:val="center"/>
          </w:tcPr>
          <w:p>
            <w:pPr>
              <w:spacing w:after="0" w:line="250"/>
            </w:pPr>
            <w:r>
              <w:rPr>
                <w:sz w:val="19"/>
                <w:szCs w:val="19"/>
              </w:rPr>
              <w:t xml:space="preserve">Flat fee, planes de pago</w:t>
            </w: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Departamento in-house</w:t>
            </w:r>
          </w:p>
        </w:tc>
        <w:tc>
          <w:tcPr>
            <w:tcW w:type="dxa" w:w="2900"/>
            <w:shd w:fill="F5F7FA" w:val="clear"/>
            <w:tcMar>
              <w:top w:type="dxa" w:w="80"/>
              <w:left w:type="dxa" w:w="110"/>
              <w:bottom w:type="dxa" w:w="80"/>
              <w:right w:type="dxa" w:w="110"/>
            </w:tcMar>
            <w:vAlign w:val="center"/>
          </w:tcPr>
          <w:p>
            <w:pPr>
              <w:spacing w:after="0" w:line="250"/>
            </w:pPr>
            <w:r>
              <w:rPr>
                <w:sz w:val="19"/>
                <w:szCs w:val="19"/>
              </w:rPr>
              <w:t xml:space="preserve">Capacidad excedente y especialidad puntual</w:t>
            </w:r>
          </w:p>
        </w:tc>
        <w:tc>
          <w:tcPr>
            <w:tcW w:type="dxa" w:w="2400"/>
            <w:shd w:fill="F5F7FA" w:val="clear"/>
            <w:tcMar>
              <w:top w:type="dxa" w:w="80"/>
              <w:left w:type="dxa" w:w="110"/>
              <w:bottom w:type="dxa" w:w="80"/>
              <w:right w:type="dxa" w:w="110"/>
            </w:tcMar>
            <w:vAlign w:val="center"/>
          </w:tcPr>
          <w:p>
            <w:pPr>
              <w:spacing w:after="0" w:line="250"/>
            </w:pPr>
            <w:r>
              <w:rPr>
                <w:sz w:val="19"/>
                <w:szCs w:val="19"/>
              </w:rPr>
              <w:t xml:space="preserve">Eficiencia, integración</w:t>
            </w:r>
          </w:p>
        </w:tc>
        <w:tc>
          <w:tcPr>
            <w:tcW w:type="dxa" w:w="2360"/>
            <w:shd w:fill="F5F7FA" w:val="clear"/>
            <w:tcMar>
              <w:top w:type="dxa" w:w="80"/>
              <w:left w:type="dxa" w:w="110"/>
              <w:bottom w:type="dxa" w:w="80"/>
              <w:right w:type="dxa" w:w="110"/>
            </w:tcMar>
            <w:vAlign w:val="center"/>
          </w:tcPr>
          <w:p>
            <w:pPr>
              <w:spacing w:after="0" w:line="250"/>
            </w:pPr>
            <w:r>
              <w:rPr>
                <w:sz w:val="19"/>
                <w:szCs w:val="19"/>
              </w:rPr>
              <w:t xml:space="preserve">Blended rate, secondment</w:t>
            </w:r>
          </w:p>
        </w:tc>
      </w:tr>
    </w:tbl>
    <w:p>
      <w:pPr>
        <w:spacing w:after="160"/>
      </w:pPr>
    </w:p>
    <w:p>
      <w:pPr>
        <w:pStyle w:val="Heading2"/>
        <w:spacing w:after="140" w:before="320"/>
      </w:pPr>
      <w:r>
        <w:rPr>
          <w:rFonts w:ascii="Calibri" w:cs="Calibri" w:eastAsia="Calibri" w:hAnsi="Calibri"/>
          <w:b/>
          <w:bCs/>
          <w:color w:val="1F3864"/>
          <w:sz w:val="25"/>
          <w:szCs w:val="25"/>
        </w:rPr>
        <w:t xml:space="preserve">5.2 Nuestros segmentos reales</w:t>
      </w:r>
    </w:p>
    <w:p>
      <w:pPr>
        <w:spacing w:after="140" w:line="276"/>
      </w:pPr>
      <w:r>
        <w:rPr>
          <w:sz w:val="21"/>
          <w:szCs w:val="21"/>
        </w:rPr>
        <w:t xml:space="preserve">En inmigración el segmento no es «el inmigrante». Son al menos seis mercados con economía, ciclo de venta y sensibilidad al precio completamente distintos.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900"/>
        <w:gridCol w:w="2100"/>
        <w:gridCol w:w="1200"/>
        <w:gridCol w:w="900"/>
        <w:gridCol w:w="2060"/>
        <w:gridCol w:w="1200"/>
      </w:tblGrid>
      <w:tr>
        <w:trPr>
          <w:tblHeader/>
        </w:trPr>
        <w:tc>
          <w:tcPr>
            <w:tcW w:type="dxa" w:w="1900"/>
            <w:shd w:fill="1F3864" w:val="clear"/>
            <w:tcMar>
              <w:top w:type="dxa" w:w="90"/>
              <w:left w:type="dxa" w:w="110"/>
              <w:bottom w:type="dxa" w:w="90"/>
              <w:right w:type="dxa" w:w="110"/>
            </w:tcMar>
          </w:tcPr>
          <w:p>
            <w:pPr>
              <w:spacing w:after="0" w:line="250"/>
            </w:pPr>
            <w:r>
              <w:rPr>
                <w:b/>
                <w:bCs/>
                <w:color w:val="FFFFFF"/>
                <w:sz w:val="19"/>
                <w:szCs w:val="19"/>
              </w:rPr>
              <w:t xml:space="preserve">Segmento</w:t>
            </w:r>
          </w:p>
        </w:tc>
        <w:tc>
          <w:tcPr>
            <w:tcW w:type="dxa" w:w="2100"/>
            <w:shd w:fill="1F3864" w:val="clear"/>
            <w:tcMar>
              <w:top w:type="dxa" w:w="90"/>
              <w:left w:type="dxa" w:w="110"/>
              <w:bottom w:type="dxa" w:w="90"/>
              <w:right w:type="dxa" w:w="110"/>
            </w:tcMar>
          </w:tcPr>
          <w:p>
            <w:pPr>
              <w:spacing w:after="0" w:line="250"/>
            </w:pPr>
            <w:r>
              <w:rPr>
                <w:b/>
                <w:bCs/>
                <w:color w:val="FFFFFF"/>
                <w:sz w:val="19"/>
                <w:szCs w:val="19"/>
              </w:rPr>
              <w:t xml:space="preserve">Qué compra</w:t>
            </w:r>
          </w:p>
        </w:tc>
        <w:tc>
          <w:tcPr>
            <w:tcW w:type="dxa" w:w="1200"/>
            <w:shd w:fill="1F3864" w:val="clear"/>
            <w:tcMar>
              <w:top w:type="dxa" w:w="90"/>
              <w:left w:type="dxa" w:w="110"/>
              <w:bottom w:type="dxa" w:w="90"/>
              <w:right w:type="dxa" w:w="110"/>
            </w:tcMar>
          </w:tcPr>
          <w:p>
            <w:pPr>
              <w:spacing w:after="0" w:line="250"/>
            </w:pPr>
            <w:r>
              <w:rPr>
                <w:b/>
                <w:bCs/>
                <w:color w:val="FFFFFF"/>
                <w:sz w:val="19"/>
                <w:szCs w:val="19"/>
              </w:rPr>
              <w:t xml:space="preserve">Ciclo</w:t>
            </w:r>
          </w:p>
        </w:tc>
        <w:tc>
          <w:tcPr>
            <w:tcW w:type="dxa" w:w="900"/>
            <w:shd w:fill="1F3864" w:val="clear"/>
            <w:tcMar>
              <w:top w:type="dxa" w:w="90"/>
              <w:left w:type="dxa" w:w="110"/>
              <w:bottom w:type="dxa" w:w="90"/>
              <w:right w:type="dxa" w:w="110"/>
            </w:tcMar>
          </w:tcPr>
          <w:p>
            <w:pPr>
              <w:spacing w:after="0" w:line="250"/>
            </w:pPr>
            <w:r>
              <w:rPr>
                <w:b/>
                <w:bCs/>
                <w:color w:val="FFFFFF"/>
                <w:sz w:val="19"/>
                <w:szCs w:val="19"/>
              </w:rPr>
              <w:t xml:space="preserve">Precio</w:t>
            </w:r>
          </w:p>
        </w:tc>
        <w:tc>
          <w:tcPr>
            <w:tcW w:type="dxa" w:w="2060"/>
            <w:shd w:fill="1F3864" w:val="clear"/>
            <w:tcMar>
              <w:top w:type="dxa" w:w="90"/>
              <w:left w:type="dxa" w:w="110"/>
              <w:bottom w:type="dxa" w:w="90"/>
              <w:right w:type="dxa" w:w="110"/>
            </w:tcMar>
          </w:tcPr>
          <w:p>
            <w:pPr>
              <w:spacing w:after="0" w:line="250"/>
            </w:pPr>
            <w:r>
              <w:rPr>
                <w:b/>
                <w:bCs/>
                <w:color w:val="FFFFFF"/>
                <w:sz w:val="19"/>
                <w:szCs w:val="19"/>
              </w:rPr>
              <w:t xml:space="preserve">Margen esperado</w:t>
            </w:r>
          </w:p>
        </w:tc>
        <w:tc>
          <w:tcPr>
            <w:tcW w:type="dxa" w:w="1200"/>
            <w:shd w:fill="1F3864" w:val="clear"/>
            <w:tcMar>
              <w:top w:type="dxa" w:w="90"/>
              <w:left w:type="dxa" w:w="110"/>
              <w:bottom w:type="dxa" w:w="90"/>
              <w:right w:type="dxa" w:w="110"/>
            </w:tcMar>
          </w:tcPr>
          <w:p>
            <w:pPr>
              <w:spacing w:after="0" w:line="250"/>
            </w:pPr>
            <w:r>
              <w:rPr>
                <w:b/>
                <w:bCs/>
                <w:color w:val="FFFFFF"/>
                <w:sz w:val="19"/>
                <w:szCs w:val="19"/>
              </w:rPr>
              <w:t xml:space="preserve">Recurrencia</w:t>
            </w:r>
          </w:p>
        </w:tc>
      </w:tr>
      <w:tr>
        <w:tc>
          <w:tcPr>
            <w:tcW w:type="dxa" w:w="1900"/>
            <w:shd w:fill="FFFFFF" w:val="clear"/>
            <w:tcMar>
              <w:top w:type="dxa" w:w="80"/>
              <w:left w:type="dxa" w:w="110"/>
              <w:bottom w:type="dxa" w:w="80"/>
              <w:right w:type="dxa" w:w="110"/>
            </w:tcMar>
            <w:vAlign w:val="center"/>
          </w:tcPr>
          <w:p>
            <w:pPr>
              <w:spacing w:after="0" w:line="250"/>
            </w:pPr>
            <w:r>
              <w:rPr>
                <w:sz w:val="19"/>
                <w:szCs w:val="19"/>
              </w:rPr>
              <w:t xml:space="preserve">Familiar</w:t>
            </w:r>
          </w:p>
          <w:p>
            <w:pPr>
              <w:spacing w:after="0" w:line="250"/>
            </w:pPr>
            <w:r>
              <w:rPr>
                <w:sz w:val="19"/>
                <w:szCs w:val="19"/>
              </w:rPr>
              <w:t xml:space="preserve">(peticiones, ajuste, consular)</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Certeza sobre reunificación</w:t>
            </w:r>
          </w:p>
        </w:tc>
        <w:tc>
          <w:tcPr>
            <w:tcW w:type="dxa" w:w="1200"/>
            <w:shd w:fill="FFFFFF" w:val="clear"/>
            <w:tcMar>
              <w:top w:type="dxa" w:w="80"/>
              <w:left w:type="dxa" w:w="110"/>
              <w:bottom w:type="dxa" w:w="80"/>
              <w:right w:type="dxa" w:w="110"/>
            </w:tcMar>
            <w:vAlign w:val="center"/>
          </w:tcPr>
          <w:p>
            <w:pPr>
              <w:spacing w:after="0" w:line="250"/>
            </w:pPr>
            <w:r>
              <w:rPr>
                <w:sz w:val="19"/>
                <w:szCs w:val="19"/>
              </w:rPr>
              <w:t xml:space="preserve">Largo</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Medio</w:t>
            </w:r>
          </w:p>
        </w:tc>
        <w:tc>
          <w:tcPr>
            <w:tcW w:type="dxa" w:w="2060"/>
            <w:shd w:fill="FFFFFF" w:val="clear"/>
            <w:tcMar>
              <w:top w:type="dxa" w:w="80"/>
              <w:left w:type="dxa" w:w="110"/>
              <w:bottom w:type="dxa" w:w="80"/>
              <w:right w:type="dxa" w:w="110"/>
            </w:tcMar>
            <w:vAlign w:val="center"/>
          </w:tcPr>
          <w:p>
            <w:pPr>
              <w:spacing w:after="0" w:line="250"/>
            </w:pPr>
            <w:r>
              <w:rPr>
                <w:sz w:val="19"/>
                <w:szCs w:val="19"/>
              </w:rPr>
              <w:t xml:space="preserve">Alto si está proceduralizado</w:t>
            </w:r>
          </w:p>
        </w:tc>
        <w:tc>
          <w:tcPr>
            <w:tcW w:type="dxa" w:w="1200"/>
            <w:shd w:fill="FFFFFF" w:val="clear"/>
            <w:tcMar>
              <w:top w:type="dxa" w:w="80"/>
              <w:left w:type="dxa" w:w="110"/>
              <w:bottom w:type="dxa" w:w="80"/>
              <w:right w:type="dxa" w:w="110"/>
            </w:tcMar>
            <w:vAlign w:val="center"/>
          </w:tcPr>
          <w:p>
            <w:pPr>
              <w:spacing w:after="0" w:line="250"/>
            </w:pPr>
            <w:r>
              <w:rPr>
                <w:sz w:val="19"/>
                <w:szCs w:val="19"/>
              </w:rPr>
              <w:t xml:space="preserve">Baja, pero alto referido</w:t>
            </w:r>
          </w:p>
        </w:tc>
      </w:tr>
      <w:tr>
        <w:tc>
          <w:tcPr>
            <w:tcW w:type="dxa" w:w="1900"/>
            <w:shd w:fill="F5F7FA" w:val="clear"/>
            <w:tcMar>
              <w:top w:type="dxa" w:w="80"/>
              <w:left w:type="dxa" w:w="110"/>
              <w:bottom w:type="dxa" w:w="80"/>
              <w:right w:type="dxa" w:w="110"/>
            </w:tcMar>
            <w:vAlign w:val="center"/>
          </w:tcPr>
          <w:p>
            <w:pPr>
              <w:spacing w:after="0" w:line="250"/>
            </w:pPr>
            <w:r>
              <w:rPr>
                <w:sz w:val="19"/>
                <w:szCs w:val="19"/>
              </w:rPr>
              <w:t xml:space="preserve">Naturalización</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Un trámite hecho bien y sin sustos</w:t>
            </w:r>
          </w:p>
        </w:tc>
        <w:tc>
          <w:tcPr>
            <w:tcW w:type="dxa" w:w="1200"/>
            <w:shd w:fill="F5F7FA" w:val="clear"/>
            <w:tcMar>
              <w:top w:type="dxa" w:w="80"/>
              <w:left w:type="dxa" w:w="110"/>
              <w:bottom w:type="dxa" w:w="80"/>
              <w:right w:type="dxa" w:w="110"/>
            </w:tcMar>
            <w:vAlign w:val="center"/>
          </w:tcPr>
          <w:p>
            <w:pPr>
              <w:spacing w:after="0" w:line="250"/>
            </w:pPr>
            <w:r>
              <w:rPr>
                <w:sz w:val="19"/>
                <w:szCs w:val="19"/>
              </w:rPr>
              <w:t xml:space="preserve">Corto</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Bajo</w:t>
            </w:r>
          </w:p>
        </w:tc>
        <w:tc>
          <w:tcPr>
            <w:tcW w:type="dxa" w:w="2060"/>
            <w:shd w:fill="F5F7FA" w:val="clear"/>
            <w:tcMar>
              <w:top w:type="dxa" w:w="80"/>
              <w:left w:type="dxa" w:w="110"/>
              <w:bottom w:type="dxa" w:w="80"/>
              <w:right w:type="dxa" w:w="110"/>
            </w:tcMar>
            <w:vAlign w:val="center"/>
          </w:tcPr>
          <w:p>
            <w:pPr>
              <w:spacing w:after="0" w:line="250"/>
            </w:pPr>
            <w:r>
              <w:rPr>
                <w:sz w:val="19"/>
                <w:szCs w:val="19"/>
              </w:rPr>
              <w:t xml:space="preserve">Alto por volumen</w:t>
            </w:r>
          </w:p>
        </w:tc>
        <w:tc>
          <w:tcPr>
            <w:tcW w:type="dxa" w:w="1200"/>
            <w:shd w:fill="F5F7FA" w:val="clear"/>
            <w:tcMar>
              <w:top w:type="dxa" w:w="80"/>
              <w:left w:type="dxa" w:w="110"/>
              <w:bottom w:type="dxa" w:w="80"/>
              <w:right w:type="dxa" w:w="110"/>
            </w:tcMar>
            <w:vAlign w:val="center"/>
          </w:tcPr>
          <w:p>
            <w:pPr>
              <w:spacing w:after="0" w:line="250"/>
            </w:pPr>
            <w:r>
              <w:rPr>
                <w:sz w:val="19"/>
                <w:szCs w:val="19"/>
              </w:rPr>
              <w:t xml:space="preserve">Nula, alto referido</w:t>
            </w:r>
          </w:p>
        </w:tc>
      </w:tr>
      <w:tr>
        <w:tc>
          <w:tcPr>
            <w:tcW w:type="dxa" w:w="1900"/>
            <w:shd w:fill="FFFFFF" w:val="clear"/>
            <w:tcMar>
              <w:top w:type="dxa" w:w="80"/>
              <w:left w:type="dxa" w:w="110"/>
              <w:bottom w:type="dxa" w:w="80"/>
              <w:right w:type="dxa" w:w="110"/>
            </w:tcMar>
            <w:vAlign w:val="center"/>
          </w:tcPr>
          <w:p>
            <w:pPr>
              <w:spacing w:after="0" w:line="250"/>
            </w:pPr>
            <w:r>
              <w:rPr>
                <w:sz w:val="19"/>
                <w:szCs w:val="19"/>
              </w:rPr>
              <w:t xml:space="preserve">Asilo</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Protección; a menudo urgencia vital</w:t>
            </w:r>
          </w:p>
        </w:tc>
        <w:tc>
          <w:tcPr>
            <w:tcW w:type="dxa" w:w="1200"/>
            <w:shd w:fill="FFFFFF" w:val="clear"/>
            <w:tcMar>
              <w:top w:type="dxa" w:w="80"/>
              <w:left w:type="dxa" w:w="110"/>
              <w:bottom w:type="dxa" w:w="80"/>
              <w:right w:type="dxa" w:w="110"/>
            </w:tcMar>
            <w:vAlign w:val="center"/>
          </w:tcPr>
          <w:p>
            <w:pPr>
              <w:spacing w:after="0" w:line="250"/>
            </w:pPr>
            <w:r>
              <w:rPr>
                <w:sz w:val="19"/>
                <w:szCs w:val="19"/>
              </w:rPr>
              <w:t xml:space="preserve">Muy largo</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Medio-alto</w:t>
            </w:r>
          </w:p>
        </w:tc>
        <w:tc>
          <w:tcPr>
            <w:tcW w:type="dxa" w:w="2060"/>
            <w:shd w:fill="FFFFFF" w:val="clear"/>
            <w:tcMar>
              <w:top w:type="dxa" w:w="80"/>
              <w:left w:type="dxa" w:w="110"/>
              <w:bottom w:type="dxa" w:w="80"/>
              <w:right w:type="dxa" w:w="110"/>
            </w:tcMar>
            <w:vAlign w:val="center"/>
          </w:tcPr>
          <w:p>
            <w:pPr>
              <w:spacing w:after="0" w:line="250"/>
            </w:pPr>
            <w:r>
              <w:rPr>
                <w:sz w:val="19"/>
                <w:szCs w:val="19"/>
              </w:rPr>
              <w:t xml:space="preserve">Variable — es el que más se desborda</w:t>
            </w:r>
          </w:p>
        </w:tc>
        <w:tc>
          <w:tcPr>
            <w:tcW w:type="dxa" w:w="1200"/>
            <w:shd w:fill="FFFFFF" w:val="clear"/>
            <w:tcMar>
              <w:top w:type="dxa" w:w="80"/>
              <w:left w:type="dxa" w:w="110"/>
              <w:bottom w:type="dxa" w:w="80"/>
              <w:right w:type="dxa" w:w="110"/>
            </w:tcMar>
            <w:vAlign w:val="center"/>
          </w:tcPr>
          <w:p>
            <w:pPr>
              <w:spacing w:after="0" w:line="250"/>
            </w:pPr>
            <w:r>
              <w:rPr>
                <w:sz w:val="19"/>
                <w:szCs w:val="19"/>
              </w:rPr>
              <w:t xml:space="preserve">Baja</w:t>
            </w:r>
          </w:p>
        </w:tc>
      </w:tr>
      <w:tr>
        <w:tc>
          <w:tcPr>
            <w:tcW w:type="dxa" w:w="1900"/>
            <w:shd w:fill="F5F7FA" w:val="clear"/>
            <w:tcMar>
              <w:top w:type="dxa" w:w="80"/>
              <w:left w:type="dxa" w:w="110"/>
              <w:bottom w:type="dxa" w:w="80"/>
              <w:right w:type="dxa" w:w="110"/>
            </w:tcMar>
            <w:vAlign w:val="center"/>
          </w:tcPr>
          <w:p>
            <w:pPr>
              <w:spacing w:after="0" w:line="250"/>
            </w:pPr>
            <w:r>
              <w:rPr>
                <w:sz w:val="19"/>
                <w:szCs w:val="19"/>
              </w:rPr>
              <w:t xml:space="preserve">Defensa en corte</w:t>
            </w:r>
          </w:p>
          <w:p>
            <w:pPr>
              <w:spacing w:after="0" w:line="250"/>
            </w:pPr>
            <w:r>
              <w:rPr>
                <w:sz w:val="19"/>
                <w:szCs w:val="19"/>
              </w:rPr>
              <w:t xml:space="preserve">(removal)</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Que no lo deporten</w:t>
            </w:r>
          </w:p>
        </w:tc>
        <w:tc>
          <w:tcPr>
            <w:tcW w:type="dxa" w:w="1200"/>
            <w:shd w:fill="F5F7FA" w:val="clear"/>
            <w:tcMar>
              <w:top w:type="dxa" w:w="80"/>
              <w:left w:type="dxa" w:w="110"/>
              <w:bottom w:type="dxa" w:w="80"/>
              <w:right w:type="dxa" w:w="110"/>
            </w:tcMar>
            <w:vAlign w:val="center"/>
          </w:tcPr>
          <w:p>
            <w:pPr>
              <w:spacing w:after="0" w:line="250"/>
            </w:pPr>
            <w:r>
              <w:rPr>
                <w:sz w:val="19"/>
                <w:szCs w:val="19"/>
              </w:rPr>
              <w:t xml:space="preserve">Muy largo</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Alto</w:t>
            </w:r>
          </w:p>
        </w:tc>
        <w:tc>
          <w:tcPr>
            <w:tcW w:type="dxa" w:w="2060"/>
            <w:shd w:fill="F5F7FA" w:val="clear"/>
            <w:tcMar>
              <w:top w:type="dxa" w:w="80"/>
              <w:left w:type="dxa" w:w="110"/>
              <w:bottom w:type="dxa" w:w="80"/>
              <w:right w:type="dxa" w:w="110"/>
            </w:tcMar>
            <w:vAlign w:val="center"/>
          </w:tcPr>
          <w:p>
            <w:pPr>
              <w:spacing w:after="0" w:line="250"/>
            </w:pPr>
            <w:r>
              <w:rPr>
                <w:sz w:val="19"/>
                <w:szCs w:val="19"/>
              </w:rPr>
              <w:t xml:space="preserve">Medio; consume mucha capacidad sénior</w:t>
            </w:r>
          </w:p>
        </w:tc>
        <w:tc>
          <w:tcPr>
            <w:tcW w:type="dxa" w:w="1200"/>
            <w:shd w:fill="F5F7FA" w:val="clear"/>
            <w:tcMar>
              <w:top w:type="dxa" w:w="80"/>
              <w:left w:type="dxa" w:w="110"/>
              <w:bottom w:type="dxa" w:w="80"/>
              <w:right w:type="dxa" w:w="110"/>
            </w:tcMar>
            <w:vAlign w:val="center"/>
          </w:tcPr>
          <w:p>
            <w:pPr>
              <w:spacing w:after="0" w:line="250"/>
            </w:pPr>
            <w:r>
              <w:rPr>
                <w:sz w:val="19"/>
                <w:szCs w:val="19"/>
              </w:rPr>
              <w:t xml:space="preserve">Baja</w:t>
            </w:r>
          </w:p>
        </w:tc>
      </w:tr>
      <w:tr>
        <w:tc>
          <w:tcPr>
            <w:tcW w:type="dxa" w:w="1900"/>
            <w:shd w:fill="FFFFFF" w:val="clear"/>
            <w:tcMar>
              <w:top w:type="dxa" w:w="80"/>
              <w:left w:type="dxa" w:w="110"/>
              <w:bottom w:type="dxa" w:w="80"/>
              <w:right w:type="dxa" w:w="110"/>
            </w:tcMar>
            <w:vAlign w:val="center"/>
          </w:tcPr>
          <w:p>
            <w:pPr>
              <w:spacing w:after="0" w:line="250"/>
            </w:pPr>
            <w:r>
              <w:rPr>
                <w:sz w:val="19"/>
                <w:szCs w:val="19"/>
              </w:rPr>
              <w:t xml:space="preserve">Detención y habeas</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Salir; velocidad</w:t>
            </w:r>
          </w:p>
        </w:tc>
        <w:tc>
          <w:tcPr>
            <w:tcW w:type="dxa" w:w="1200"/>
            <w:shd w:fill="FFFFFF" w:val="clear"/>
            <w:tcMar>
              <w:top w:type="dxa" w:w="80"/>
              <w:left w:type="dxa" w:w="110"/>
              <w:bottom w:type="dxa" w:w="80"/>
              <w:right w:type="dxa" w:w="110"/>
            </w:tcMar>
            <w:vAlign w:val="center"/>
          </w:tcPr>
          <w:p>
            <w:pPr>
              <w:spacing w:after="0" w:line="250"/>
            </w:pPr>
            <w:r>
              <w:rPr>
                <w:sz w:val="19"/>
                <w:szCs w:val="19"/>
              </w:rPr>
              <w:t xml:space="preserve">Corto e intenso</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Medio</w:t>
            </w:r>
          </w:p>
        </w:tc>
        <w:tc>
          <w:tcPr>
            <w:tcW w:type="dxa" w:w="2060"/>
            <w:shd w:fill="FFFFFF" w:val="clear"/>
            <w:tcMar>
              <w:top w:type="dxa" w:w="80"/>
              <w:left w:type="dxa" w:w="110"/>
              <w:bottom w:type="dxa" w:w="80"/>
              <w:right w:type="dxa" w:w="110"/>
            </w:tcMar>
            <w:vAlign w:val="center"/>
          </w:tcPr>
          <w:p>
            <w:pPr>
              <w:spacing w:after="0" w:line="250"/>
            </w:pPr>
            <w:r>
              <w:rPr>
                <w:sz w:val="19"/>
                <w:szCs w:val="19"/>
              </w:rPr>
              <w:t xml:space="preserve">Alto si es producto repetible</w:t>
            </w:r>
          </w:p>
        </w:tc>
        <w:tc>
          <w:tcPr>
            <w:tcW w:type="dxa" w:w="1200"/>
            <w:shd w:fill="FFFFFF" w:val="clear"/>
            <w:tcMar>
              <w:top w:type="dxa" w:w="80"/>
              <w:left w:type="dxa" w:w="110"/>
              <w:bottom w:type="dxa" w:w="80"/>
              <w:right w:type="dxa" w:w="110"/>
            </w:tcMar>
            <w:vAlign w:val="center"/>
          </w:tcPr>
          <w:p>
            <w:pPr>
              <w:spacing w:after="0" w:line="250"/>
            </w:pPr>
            <w:r>
              <w:rPr>
                <w:sz w:val="19"/>
                <w:szCs w:val="19"/>
              </w:rPr>
              <w:t xml:space="preserve">Nula</w:t>
            </w:r>
          </w:p>
        </w:tc>
      </w:tr>
      <w:tr>
        <w:tc>
          <w:tcPr>
            <w:tcW w:type="dxa" w:w="1900"/>
            <w:shd w:fill="F5F7FA" w:val="clear"/>
            <w:tcMar>
              <w:top w:type="dxa" w:w="80"/>
              <w:left w:type="dxa" w:w="110"/>
              <w:bottom w:type="dxa" w:w="80"/>
              <w:right w:type="dxa" w:w="110"/>
            </w:tcMar>
            <w:vAlign w:val="center"/>
          </w:tcPr>
          <w:p>
            <w:pPr>
              <w:spacing w:after="0" w:line="250"/>
            </w:pPr>
            <w:r>
              <w:rPr>
                <w:sz w:val="19"/>
                <w:szCs w:val="19"/>
              </w:rPr>
              <w:t xml:space="preserve">Empresarial</w:t>
            </w:r>
          </w:p>
          <w:p>
            <w:pPr>
              <w:spacing w:after="0" w:line="250"/>
            </w:pPr>
            <w:r>
              <w:rPr>
                <w:sz w:val="19"/>
                <w:szCs w:val="19"/>
              </w:rPr>
              <w:t xml:space="preserve">(empleadores)</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Cumplimiento y previsibilidad operativa</w:t>
            </w:r>
          </w:p>
        </w:tc>
        <w:tc>
          <w:tcPr>
            <w:tcW w:type="dxa" w:w="1200"/>
            <w:shd w:fill="F5F7FA" w:val="clear"/>
            <w:tcMar>
              <w:top w:type="dxa" w:w="80"/>
              <w:left w:type="dxa" w:w="110"/>
              <w:bottom w:type="dxa" w:w="80"/>
              <w:right w:type="dxa" w:w="110"/>
            </w:tcMar>
            <w:vAlign w:val="center"/>
          </w:tcPr>
          <w:p>
            <w:pPr>
              <w:spacing w:after="0" w:line="250"/>
            </w:pPr>
            <w:r>
              <w:rPr>
                <w:sz w:val="19"/>
                <w:szCs w:val="19"/>
              </w:rPr>
              <w:t xml:space="preserve">Medio</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Alto</w:t>
            </w:r>
          </w:p>
        </w:tc>
        <w:tc>
          <w:tcPr>
            <w:tcW w:type="dxa" w:w="2060"/>
            <w:shd w:fill="F5F7FA" w:val="clear"/>
            <w:tcMar>
              <w:top w:type="dxa" w:w="80"/>
              <w:left w:type="dxa" w:w="110"/>
              <w:bottom w:type="dxa" w:w="80"/>
              <w:right w:type="dxa" w:w="110"/>
            </w:tcMar>
            <w:vAlign w:val="center"/>
          </w:tcPr>
          <w:p>
            <w:pPr>
              <w:spacing w:after="0" w:line="250"/>
            </w:pPr>
            <w:r>
              <w:rPr>
                <w:sz w:val="19"/>
                <w:szCs w:val="19"/>
              </w:rPr>
              <w:t xml:space="preserve">Alto</w:t>
            </w:r>
          </w:p>
        </w:tc>
        <w:tc>
          <w:tcPr>
            <w:tcW w:type="dxa" w:w="1200"/>
            <w:shd w:fill="F5F7FA" w:val="clear"/>
            <w:tcMar>
              <w:top w:type="dxa" w:w="80"/>
              <w:left w:type="dxa" w:w="110"/>
              <w:bottom w:type="dxa" w:w="80"/>
              <w:right w:type="dxa" w:w="110"/>
            </w:tcMar>
            <w:vAlign w:val="center"/>
          </w:tcPr>
          <w:p>
            <w:pPr>
              <w:spacing w:after="0" w:line="250"/>
            </w:pPr>
            <w:r>
              <w:rPr>
                <w:b/>
                <w:bCs/>
                <w:sz w:val="19"/>
                <w:szCs w:val="19"/>
              </w:rPr>
              <w:t xml:space="preserve">Alta — la única con recurrencia real</w:t>
            </w:r>
          </w:p>
        </w:tc>
      </w:tr>
    </w:tbl>
    <w:p>
      <w:pPr>
        <w:spacing w:after="16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la decisión de cartera</w:t>
            </w:r>
          </w:p>
          <w:p>
            <w:pPr>
              <w:spacing w:after="90" w:line="264"/>
            </w:pPr>
            <w:r>
              <w:rPr>
                <w:sz w:val="21"/>
                <w:szCs w:val="21"/>
              </w:rPr>
              <w:t xml:space="preserve">Una firma pequeña no puede ser excelente en los seis. La pregunta estratégica no es «¿cuál dejamos?» sino </w:t>
            </w:r>
            <w:r>
              <w:rPr>
                <w:b/>
                <w:bCs/>
                <w:sz w:val="21"/>
                <w:szCs w:val="21"/>
              </w:rPr>
              <w:t xml:space="preserve">«¿cuál es el motor y cuál es el acompañante?»</w:t>
            </w:r>
          </w:p>
          <w:p>
            <w:pPr>
              <w:spacing w:after="90" w:line="264"/>
            </w:pPr>
            <w:r>
              <w:rPr>
                <w:b/>
                <w:bCs/>
                <w:sz w:val="21"/>
                <w:szCs w:val="21"/>
              </w:rPr>
              <w:t xml:space="preserve">Un patrón que funciona bien en firmas de este perfil:</w:t>
            </w:r>
          </w:p>
          <w:p>
            <w:pPr>
              <w:spacing w:after="90" w:line="264"/>
            </w:pPr>
            <w:r>
              <w:rPr>
                <w:sz w:val="21"/>
                <w:szCs w:val="21"/>
              </w:rPr>
              <w:t xml:space="preserve">· </w:t>
            </w:r>
            <w:r>
              <w:rPr>
                <w:b/>
                <w:bCs/>
                <w:sz w:val="21"/>
                <w:szCs w:val="21"/>
              </w:rPr>
              <w:t xml:space="preserve">Motor de volumen y caja:</w:t>
            </w:r>
            <w:r>
              <w:rPr>
                <w:sz w:val="21"/>
                <w:szCs w:val="21"/>
              </w:rPr>
              <w:t xml:space="preserve"> naturalización y peticiones familiares. Alta repetibilidad, ciclo corto, proceduralizables casi por completo, y son la máquina de referidos que alimenta todo lo demás.</w:t>
            </w:r>
          </w:p>
          <w:p>
            <w:pPr>
              <w:spacing w:after="90" w:line="264"/>
            </w:pPr>
            <w:r>
              <w:rPr>
                <w:sz w:val="21"/>
                <w:szCs w:val="21"/>
              </w:rPr>
              <w:t xml:space="preserve">· </w:t>
            </w:r>
            <w:r>
              <w:rPr>
                <w:b/>
                <w:bCs/>
                <w:sz w:val="21"/>
                <w:szCs w:val="21"/>
              </w:rPr>
              <w:t xml:space="preserve">Motor de margen y reputación:</w:t>
            </w:r>
            <w:r>
              <w:rPr>
                <w:sz w:val="21"/>
                <w:szCs w:val="21"/>
              </w:rPr>
              <w:t xml:space="preserve"> detención/habeas y defensa en corte. Menos casos, ticket mayor, es lo que construye la marca profesional y lo que la comunidad recuerda.</w:t>
            </w:r>
          </w:p>
          <w:p>
            <w:pPr>
              <w:spacing w:after="90" w:line="264"/>
            </w:pPr>
            <w:r>
              <w:rPr>
                <w:sz w:val="21"/>
                <w:szCs w:val="21"/>
              </w:rPr>
              <w:t xml:space="preserve">· </w:t>
            </w:r>
            <w:r>
              <w:rPr>
                <w:b/>
                <w:bCs/>
                <w:sz w:val="21"/>
                <w:szCs w:val="21"/>
              </w:rPr>
              <w:t xml:space="preserve">Motor de estabilidad:</w:t>
            </w:r>
            <w:r>
              <w:rPr>
                <w:sz w:val="21"/>
                <w:szCs w:val="21"/>
              </w:rPr>
              <w:t xml:space="preserve"> empresarial. Es el único con ingreso recurrente y el único que no depende del ciclo político.</w:t>
            </w:r>
          </w:p>
          <w:p>
            <w:pPr>
              <w:spacing w:after="90" w:line="264"/>
            </w:pPr>
            <w:r>
              <w:rPr>
                <w:sz w:val="21"/>
                <w:szCs w:val="21"/>
              </w:rPr>
              <w:t xml:space="preserve">· </w:t>
            </w:r>
            <w:r>
              <w:rPr>
                <w:b/>
                <w:bCs/>
                <w:sz w:val="21"/>
                <w:szCs w:val="21"/>
              </w:rPr>
              <w:t xml:space="preserve">El que hay que vigilar:</w:t>
            </w:r>
            <w:r>
              <w:rPr>
                <w:sz w:val="21"/>
                <w:szCs w:val="21"/>
              </w:rPr>
              <w:t xml:space="preserve"> asilo. Alto valor humano y alta exposición reputacional, pero es el que más se desborda respecto del precio cotizado. Requiere alcance escrito con precisión quirúrgica y un criterio de aceptación explícito.</w:t>
            </w:r>
          </w:p>
          <w:p>
            <w:pPr>
              <w:spacing w:after="90" w:line="264"/>
            </w:pPr>
            <w:r>
              <w:rPr>
                <w:b/>
                <w:bCs/>
                <w:sz w:val="21"/>
                <w:szCs w:val="21"/>
              </w:rPr>
              <w:t xml:space="preserve">Decisión que este documento propone plantear:</w:t>
            </w:r>
            <w:r>
              <w:rPr>
                <w:sz w:val="21"/>
                <w:szCs w:val="21"/>
              </w:rPr>
              <w:t xml:space="preserve"> fijar un objetivo de mezcla —por ejemplo, 50 % volumen / 30 % margen / 20 % empresarial— y medir cada trimestre cuánto se aleja la realidad de esa mezcla. Sin un objetivo declarado, la mezcla la decide quien llama por teléfono.</w:t>
            </w:r>
          </w:p>
        </w:tc>
      </w:tr>
    </w:tbl>
    <w:p>
      <w:pPr>
        <w:spacing w:after="160"/>
      </w:pPr>
    </w:p>
    <w:p>
      <w:pPr>
        <w:pStyle w:val="Heading2"/>
        <w:spacing w:after="140" w:before="320"/>
      </w:pPr>
      <w:r>
        <w:rPr>
          <w:rFonts w:ascii="Calibri" w:cs="Calibri" w:eastAsia="Calibri" w:hAnsi="Calibri"/>
          <w:b/>
          <w:bCs/>
          <w:color w:val="1F3864"/>
          <w:sz w:val="25"/>
          <w:szCs w:val="25"/>
        </w:rPr>
        <w:t xml:space="preserve">5.3 Propuesta de valor por arquetipo de firma</w:t>
      </w:r>
    </w:p>
    <w:p>
      <w:pPr>
        <w:pStyle w:val="ListParagraph"/>
        <w:numPr>
          <w:ilvl w:val="0"/>
          <w:numId w:val="2"/>
        </w:numPr>
        <w:spacing w:after="70" w:line="264"/>
      </w:pPr>
      <w:r>
        <w:rPr>
          <w:b/>
          <w:bCs/>
          <w:sz w:val="21"/>
          <w:szCs w:val="21"/>
        </w:rPr>
        <w:t xml:space="preserve">BigLaw</w:t>
      </w:r>
      <w:r>
        <w:rPr>
          <w:sz w:val="21"/>
          <w:szCs w:val="21"/>
        </w:rPr>
        <w:t xml:space="preserve"> — </w:t>
      </w:r>
      <w:r>
        <w:rPr>
          <w:i/>
          <w:iCs/>
          <w:sz w:val="21"/>
          <w:szCs w:val="21"/>
        </w:rPr>
        <w:t xml:space="preserve">«Podemos absorber tu peor día.»</w:t>
      </w:r>
      <w:r>
        <w:rPr>
          <w:sz w:val="21"/>
          <w:szCs w:val="21"/>
        </w:rPr>
        <w:t xml:space="preserve"> Escala global y capacidad de poner cuarenta abogados en un asunto en 48 horas.</w:t>
      </w:r>
    </w:p>
    <w:p>
      <w:pPr>
        <w:pStyle w:val="ListParagraph"/>
        <w:numPr>
          <w:ilvl w:val="0"/>
          <w:numId w:val="2"/>
        </w:numPr>
        <w:spacing w:after="70" w:line="264"/>
      </w:pPr>
      <w:r>
        <w:rPr>
          <w:b/>
          <w:bCs/>
          <w:sz w:val="21"/>
          <w:szCs w:val="21"/>
        </w:rPr>
        <w:t xml:space="preserve">Boutique</w:t>
      </w:r>
      <w:r>
        <w:rPr>
          <w:sz w:val="21"/>
          <w:szCs w:val="21"/>
        </w:rPr>
        <w:t xml:space="preserve"> — </w:t>
      </w:r>
      <w:r>
        <w:rPr>
          <w:i/>
          <w:iCs/>
          <w:sz w:val="21"/>
          <w:szCs w:val="21"/>
        </w:rPr>
        <w:t xml:space="preserve">«Somos los mejores del mundo en esto exactamente.»</w:t>
      </w:r>
      <w:r>
        <w:rPr>
          <w:sz w:val="21"/>
          <w:szCs w:val="21"/>
        </w:rPr>
        <w:t xml:space="preserve"> Profundidad vertical, socios haciendo el trabajo.</w:t>
      </w:r>
    </w:p>
    <w:p>
      <w:pPr>
        <w:pStyle w:val="ListParagraph"/>
        <w:numPr>
          <w:ilvl w:val="0"/>
          <w:numId w:val="2"/>
        </w:numPr>
        <w:spacing w:after="70" w:line="264"/>
      </w:pPr>
      <w:r>
        <w:rPr>
          <w:b/>
          <w:bCs/>
          <w:sz w:val="21"/>
          <w:szCs w:val="21"/>
        </w:rPr>
        <w:t xml:space="preserve">Mid-size regional</w:t>
      </w:r>
      <w:r>
        <w:rPr>
          <w:sz w:val="21"/>
          <w:szCs w:val="21"/>
        </w:rPr>
        <w:t xml:space="preserve"> — </w:t>
      </w:r>
      <w:r>
        <w:rPr>
          <w:i/>
          <w:iCs/>
          <w:sz w:val="21"/>
          <w:szCs w:val="21"/>
        </w:rPr>
        <w:t xml:space="preserve">«Cobertura completa, con acceso al socio y precio racional.»</w:t>
      </w:r>
    </w:p>
    <w:p>
      <w:pPr>
        <w:pStyle w:val="ListParagraph"/>
        <w:numPr>
          <w:ilvl w:val="0"/>
          <w:numId w:val="2"/>
        </w:numPr>
        <w:spacing w:after="70" w:line="264"/>
      </w:pPr>
      <w:r>
        <w:rPr>
          <w:b/>
          <w:bCs/>
          <w:sz w:val="21"/>
          <w:szCs w:val="21"/>
        </w:rPr>
        <w:t xml:space="preserve">Small / solo</w:t>
      </w:r>
      <w:r>
        <w:rPr>
          <w:sz w:val="21"/>
          <w:szCs w:val="21"/>
        </w:rPr>
        <w:t xml:space="preserve"> — </w:t>
      </w:r>
      <w:r>
        <w:rPr>
          <w:i/>
          <w:iCs/>
          <w:sz w:val="21"/>
          <w:szCs w:val="21"/>
        </w:rPr>
        <w:t xml:space="preserve">«Yo me encargo personalmente y sabes cuánto va a costar.»</w:t>
      </w:r>
    </w:p>
    <w:p>
      <w:pPr>
        <w:pStyle w:val="ListParagraph"/>
        <w:numPr>
          <w:ilvl w:val="0"/>
          <w:numId w:val="2"/>
        </w:numPr>
        <w:spacing w:after="70" w:line="264"/>
      </w:pPr>
      <w:r>
        <w:rPr>
          <w:b/>
          <w:bCs/>
          <w:sz w:val="21"/>
          <w:szCs w:val="21"/>
        </w:rPr>
        <w:t xml:space="preserve">Firma de consumidor de alto volumen</w:t>
      </w:r>
      <w:r>
        <w:rPr>
          <w:sz w:val="21"/>
          <w:szCs w:val="21"/>
        </w:rPr>
        <w:t xml:space="preserve"> — </w:t>
      </w:r>
      <w:r>
        <w:rPr>
          <w:i/>
          <w:iCs/>
          <w:sz w:val="21"/>
          <w:szCs w:val="21"/>
        </w:rPr>
        <w:t xml:space="preserve">«Proceso probado, precio claro, resultado esperable.»</w:t>
      </w:r>
      <w:r>
        <w:rPr>
          <w:sz w:val="21"/>
          <w:szCs w:val="21"/>
        </w:rPr>
        <w:t xml:space="preserve"> La propuesta es </w:t>
      </w:r>
      <w:r>
        <w:rPr>
          <w:b/>
          <w:bCs/>
          <w:sz w:val="21"/>
          <w:szCs w:val="21"/>
        </w:rPr>
        <w:t xml:space="preserve">operativa</w:t>
      </w:r>
      <w:r>
        <w:rPr>
          <w:sz w:val="21"/>
          <w:szCs w:val="21"/>
        </w:rPr>
        <w:t xml:space="preserve">, no artesanal, y esa es su fuerza.</w:t>
      </w:r>
    </w:p>
    <w:p>
      <w:pPr>
        <w:spacing w:after="100"/>
      </w:pPr>
    </w:p>
    <w:p>
      <w:pPr>
        <w:spacing w:after="140" w:line="276"/>
      </w:pPr>
      <w:r>
        <w:rPr>
          <w:b/>
          <w:bCs/>
          <w:sz w:val="21"/>
          <w:szCs w:val="21"/>
        </w:rPr>
        <w:t xml:space="preserve">La nuestra, escrita como debería sonar:</w:t>
      </w:r>
      <w:r>
        <w:rPr>
          <w:sz w:val="21"/>
          <w:szCs w:val="21"/>
        </w:rPr>
        <w:t xml:space="preserve"> «Sabes qué va a costar, sabes en qué punto está tu caso, y quien lo prepara sabe exactamente lo que hace.» Precio cerrado, comunicación proactiva y competencia técnica demostrable. Las tres cosas que el mercado de inmigración de consumidor entrega mal con más frecuencia — y por eso son diferenciación real, no eslogan.</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6. Canales y adquisición de clientes</w:t>
      </w:r>
    </w:p>
    <w:p>
      <w:pPr>
        <w:spacing w:after="140" w:line="276"/>
      </w:pPr>
      <w:r>
        <w:rPr>
          <w:sz w:val="21"/>
          <w:szCs w:val="21"/>
        </w:rPr>
        <w:t xml:space="preserve">La adquisición es la función más subestimada de una firma. En la mayoría de las firmas estadounidenses </w:t>
      </w:r>
      <w:r>
        <w:rPr>
          <w:b/>
          <w:bCs/>
          <w:sz w:val="21"/>
          <w:szCs w:val="21"/>
        </w:rPr>
        <w:t xml:space="preserve">la capacidad de generar negocio, y no la habilidad técnica, es lo que determina el ascenso a socio propietario.</w:t>
      </w:r>
      <w:r>
        <w:rPr>
          <w:sz w:val="21"/>
          <w:szCs w:val="21"/>
        </w:rPr>
        <w:t xml:space="preserve"> No es un juicio moral sobre el sector; es la descripción de dónde está el poder.</w:t>
      </w:r>
    </w:p>
    <w:p>
      <w:pPr>
        <w:pStyle w:val="Heading2"/>
        <w:spacing w:after="140" w:before="320"/>
      </w:pPr>
      <w:r>
        <w:rPr>
          <w:rFonts w:ascii="Calibri" w:cs="Calibri" w:eastAsia="Calibri" w:hAnsi="Calibri"/>
          <w:b/>
          <w:bCs/>
          <w:color w:val="1F3864"/>
          <w:sz w:val="25"/>
          <w:szCs w:val="25"/>
        </w:rPr>
        <w:t xml:space="preserve">6.1 El mapa de canales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200"/>
        <w:gridCol w:w="1500"/>
        <w:gridCol w:w="900"/>
        <w:gridCol w:w="1000"/>
        <w:gridCol w:w="3760"/>
      </w:tblGrid>
      <w:tr>
        <w:trPr>
          <w:tblHeader/>
        </w:trPr>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Canal</w:t>
            </w:r>
          </w:p>
        </w:tc>
        <w:tc>
          <w:tcPr>
            <w:tcW w:type="dxa" w:w="1500"/>
            <w:shd w:fill="1F3864" w:val="clear"/>
            <w:tcMar>
              <w:top w:type="dxa" w:w="90"/>
              <w:left w:type="dxa" w:w="110"/>
              <w:bottom w:type="dxa" w:w="90"/>
              <w:right w:type="dxa" w:w="110"/>
            </w:tcMar>
          </w:tcPr>
          <w:p>
            <w:pPr>
              <w:spacing w:after="0" w:line="250"/>
            </w:pPr>
            <w:r>
              <w:rPr>
                <w:b/>
                <w:bCs/>
                <w:color w:val="FFFFFF"/>
                <w:sz w:val="19"/>
                <w:szCs w:val="19"/>
              </w:rPr>
              <w:t xml:space="preserve">Segmento</w:t>
            </w:r>
          </w:p>
        </w:tc>
        <w:tc>
          <w:tcPr>
            <w:tcW w:type="dxa" w:w="900"/>
            <w:shd w:fill="1F3864" w:val="clear"/>
            <w:tcMar>
              <w:top w:type="dxa" w:w="90"/>
              <w:left w:type="dxa" w:w="110"/>
              <w:bottom w:type="dxa" w:w="90"/>
              <w:right w:type="dxa" w:w="110"/>
            </w:tcMar>
          </w:tcPr>
          <w:p>
            <w:pPr>
              <w:spacing w:after="0" w:line="250"/>
            </w:pPr>
            <w:r>
              <w:rPr>
                <w:b/>
                <w:bCs/>
                <w:color w:val="FFFFFF"/>
                <w:sz w:val="19"/>
                <w:szCs w:val="19"/>
              </w:rPr>
              <w:t xml:space="preserve">Costo</w:t>
            </w:r>
          </w:p>
        </w:tc>
        <w:tc>
          <w:tcPr>
            <w:tcW w:type="dxa" w:w="1000"/>
            <w:shd w:fill="1F3864" w:val="clear"/>
            <w:tcMar>
              <w:top w:type="dxa" w:w="90"/>
              <w:left w:type="dxa" w:w="110"/>
              <w:bottom w:type="dxa" w:w="90"/>
              <w:right w:type="dxa" w:w="110"/>
            </w:tcMar>
          </w:tcPr>
          <w:p>
            <w:pPr>
              <w:spacing w:after="0" w:line="250"/>
            </w:pPr>
            <w:r>
              <w:rPr>
                <w:b/>
                <w:bCs/>
                <w:color w:val="FFFFFF"/>
                <w:sz w:val="19"/>
                <w:szCs w:val="19"/>
              </w:rPr>
              <w:t xml:space="preserve">Ciclo</w:t>
            </w:r>
          </w:p>
        </w:tc>
        <w:tc>
          <w:tcPr>
            <w:tcW w:type="dxa" w:w="3760"/>
            <w:shd w:fill="1F3864" w:val="clear"/>
            <w:tcMar>
              <w:top w:type="dxa" w:w="90"/>
              <w:left w:type="dxa" w:w="110"/>
              <w:bottom w:type="dxa" w:w="90"/>
              <w:right w:type="dxa" w:w="110"/>
            </w:tcMar>
          </w:tcPr>
          <w:p>
            <w:pPr>
              <w:spacing w:after="0" w:line="250"/>
            </w:pPr>
            <w:r>
              <w:rPr>
                <w:b/>
                <w:bCs/>
                <w:color w:val="FFFFFF"/>
                <w:sz w:val="19"/>
                <w:szCs w:val="19"/>
              </w:rPr>
              <w:t xml:space="preserve">Notas</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Referidos de clientes</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Todos</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Muy bajo</w:t>
            </w:r>
          </w:p>
        </w:tc>
        <w:tc>
          <w:tcPr>
            <w:tcW w:type="dxa" w:w="1000"/>
            <w:shd w:fill="FFFFFF" w:val="clear"/>
            <w:tcMar>
              <w:top w:type="dxa" w:w="80"/>
              <w:left w:type="dxa" w:w="110"/>
              <w:bottom w:type="dxa" w:w="80"/>
              <w:right w:type="dxa" w:w="110"/>
            </w:tcMar>
            <w:vAlign w:val="center"/>
          </w:tcPr>
          <w:p>
            <w:pPr>
              <w:spacing w:after="0" w:line="250"/>
            </w:pPr>
            <w:r>
              <w:rPr>
                <w:sz w:val="19"/>
                <w:szCs w:val="19"/>
              </w:rPr>
              <w:t xml:space="preserve">Corto</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El de mejor conversión del mundo. Hay que medirlo y cultivarlo, no esperarlo</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Referidos de otros abogados</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B2B y consumidor</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Bajo</w:t>
            </w:r>
          </w:p>
        </w:tc>
        <w:tc>
          <w:tcPr>
            <w:tcW w:type="dxa" w:w="1000"/>
            <w:shd w:fill="F5F7FA" w:val="clear"/>
            <w:tcMar>
              <w:top w:type="dxa" w:w="80"/>
              <w:left w:type="dxa" w:w="110"/>
              <w:bottom w:type="dxa" w:w="80"/>
              <w:right w:type="dxa" w:w="110"/>
            </w:tcMar>
            <w:vAlign w:val="center"/>
          </w:tcPr>
          <w:p>
            <w:pPr>
              <w:spacing w:after="0" w:line="250"/>
            </w:pPr>
            <w:r>
              <w:rPr>
                <w:sz w:val="19"/>
                <w:szCs w:val="19"/>
              </w:rPr>
              <w:t xml:space="preserve">Medio</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Atención a las reglas sobre comisiones por referencia (Parte 14)</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Comunidad y alianzas</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Consumidor</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Bajo</w:t>
            </w:r>
          </w:p>
        </w:tc>
        <w:tc>
          <w:tcPr>
            <w:tcW w:type="dxa" w:w="1000"/>
            <w:shd w:fill="FFFFFF" w:val="clear"/>
            <w:tcMar>
              <w:top w:type="dxa" w:w="80"/>
              <w:left w:type="dxa" w:w="110"/>
              <w:bottom w:type="dxa" w:w="80"/>
              <w:right w:type="dxa" w:w="110"/>
            </w:tcMar>
            <w:vAlign w:val="center"/>
          </w:tcPr>
          <w:p>
            <w:pPr>
              <w:spacing w:after="0" w:line="250"/>
            </w:pPr>
            <w:r>
              <w:rPr>
                <w:sz w:val="19"/>
                <w:szCs w:val="19"/>
              </w:rPr>
              <w:t xml:space="preserve">Medio</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Consulados, iglesias, escuelas, cámaras, ONG, medios en español</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SEO y contenido local</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Consumidor</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Medio</w:t>
            </w:r>
          </w:p>
        </w:tc>
        <w:tc>
          <w:tcPr>
            <w:tcW w:type="dxa" w:w="1000"/>
            <w:shd w:fill="F5F7FA" w:val="clear"/>
            <w:tcMar>
              <w:top w:type="dxa" w:w="80"/>
              <w:left w:type="dxa" w:w="110"/>
              <w:bottom w:type="dxa" w:w="80"/>
              <w:right w:type="dxa" w:w="110"/>
            </w:tcMar>
            <w:vAlign w:val="center"/>
          </w:tcPr>
          <w:p>
            <w:pPr>
              <w:spacing w:after="0" w:line="250"/>
            </w:pPr>
            <w:r>
              <w:rPr>
                <w:sz w:val="19"/>
                <w:szCs w:val="19"/>
              </w:rPr>
              <w:t xml:space="preserve">Medio</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El canal más rentable a largo plazo en consumidor</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Publicidad de pago (PPC / LSA)</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Consumidor</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Alto</w:t>
            </w:r>
          </w:p>
        </w:tc>
        <w:tc>
          <w:tcPr>
            <w:tcW w:type="dxa" w:w="1000"/>
            <w:shd w:fill="FFFFFF" w:val="clear"/>
            <w:tcMar>
              <w:top w:type="dxa" w:w="80"/>
              <w:left w:type="dxa" w:w="110"/>
              <w:bottom w:type="dxa" w:w="80"/>
              <w:right w:type="dxa" w:w="110"/>
            </w:tcMar>
            <w:vAlign w:val="center"/>
          </w:tcPr>
          <w:p>
            <w:pPr>
              <w:spacing w:after="0" w:line="250"/>
            </w:pPr>
            <w:r>
              <w:rPr>
                <w:sz w:val="19"/>
                <w:szCs w:val="19"/>
              </w:rPr>
              <w:t xml:space="preserve">Muy corto</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CPC elevado en inmigración; enciende y apaga el flujo a voluntad</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Redes sociales y video</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Consumidor</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Medio</w:t>
            </w:r>
          </w:p>
        </w:tc>
        <w:tc>
          <w:tcPr>
            <w:tcW w:type="dxa" w:w="1000"/>
            <w:shd w:fill="F5F7FA" w:val="clear"/>
            <w:tcMar>
              <w:top w:type="dxa" w:w="80"/>
              <w:left w:type="dxa" w:w="110"/>
              <w:bottom w:type="dxa" w:w="80"/>
              <w:right w:type="dxa" w:w="110"/>
            </w:tcMar>
            <w:vAlign w:val="center"/>
          </w:tcPr>
          <w:p>
            <w:pPr>
              <w:spacing w:after="0" w:line="250"/>
            </w:pPr>
            <w:r>
              <w:rPr>
                <w:sz w:val="19"/>
                <w:szCs w:val="19"/>
              </w:rPr>
              <w:t xml:space="preserve">Medio</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En inmigración hispanohablante es hoy uno de los canales de mayor alcance</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Rankings y directorios</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Corporativo</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Medio</w:t>
            </w:r>
          </w:p>
        </w:tc>
        <w:tc>
          <w:tcPr>
            <w:tcW w:type="dxa" w:w="1000"/>
            <w:shd w:fill="FFFFFF" w:val="clear"/>
            <w:tcMar>
              <w:top w:type="dxa" w:w="80"/>
              <w:left w:type="dxa" w:w="110"/>
              <w:bottom w:type="dxa" w:w="80"/>
              <w:right w:type="dxa" w:w="110"/>
            </w:tcMar>
            <w:vAlign w:val="center"/>
          </w:tcPr>
          <w:p>
            <w:pPr>
              <w:spacing w:after="0" w:line="250"/>
            </w:pPr>
            <w:r>
              <w:rPr>
                <w:sz w:val="19"/>
                <w:szCs w:val="19"/>
              </w:rPr>
              <w:t xml:space="preserve">Largo</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Poco relevante para consumidor</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Marketplaces / lead gen</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Consumidor</w:t>
            </w:r>
          </w:p>
        </w:tc>
        <w:tc>
          <w:tcPr>
            <w:tcW w:type="dxa" w:w="900"/>
            <w:shd w:fill="F5F7FA" w:val="clear"/>
            <w:tcMar>
              <w:top w:type="dxa" w:w="80"/>
              <w:left w:type="dxa" w:w="110"/>
              <w:bottom w:type="dxa" w:w="80"/>
              <w:right w:type="dxa" w:w="110"/>
            </w:tcMar>
            <w:vAlign w:val="center"/>
          </w:tcPr>
          <w:p>
            <w:pPr>
              <w:spacing w:after="0" w:line="250"/>
            </w:pPr>
            <w:r>
              <w:rPr>
                <w:sz w:val="19"/>
                <w:szCs w:val="19"/>
              </w:rPr>
              <w:t xml:space="preserve">Alto</w:t>
            </w:r>
          </w:p>
        </w:tc>
        <w:tc>
          <w:tcPr>
            <w:tcW w:type="dxa" w:w="1000"/>
            <w:shd w:fill="F5F7FA" w:val="clear"/>
            <w:tcMar>
              <w:top w:type="dxa" w:w="80"/>
              <w:left w:type="dxa" w:w="110"/>
              <w:bottom w:type="dxa" w:w="80"/>
              <w:right w:type="dxa" w:w="110"/>
            </w:tcMar>
            <w:vAlign w:val="center"/>
          </w:tcPr>
          <w:p>
            <w:pPr>
              <w:spacing w:after="0" w:line="250"/>
            </w:pPr>
            <w:r>
              <w:rPr>
                <w:sz w:val="19"/>
                <w:szCs w:val="19"/>
              </w:rPr>
              <w:t xml:space="preserve">Corto</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Verificar el cumplimiento ético del acuerdo antes de firmarlo</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Contenido profesional</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B2B</w:t>
            </w:r>
          </w:p>
        </w:tc>
        <w:tc>
          <w:tcPr>
            <w:tcW w:type="dxa" w:w="900"/>
            <w:shd w:fill="FFFFFF" w:val="clear"/>
            <w:tcMar>
              <w:top w:type="dxa" w:w="80"/>
              <w:left w:type="dxa" w:w="110"/>
              <w:bottom w:type="dxa" w:w="80"/>
              <w:right w:type="dxa" w:w="110"/>
            </w:tcMar>
            <w:vAlign w:val="center"/>
          </w:tcPr>
          <w:p>
            <w:pPr>
              <w:spacing w:after="0" w:line="250"/>
            </w:pPr>
            <w:r>
              <w:rPr>
                <w:sz w:val="19"/>
                <w:szCs w:val="19"/>
              </w:rPr>
              <w:t xml:space="preserve">Medio</w:t>
            </w:r>
          </w:p>
        </w:tc>
        <w:tc>
          <w:tcPr>
            <w:tcW w:type="dxa" w:w="1000"/>
            <w:shd w:fill="FFFFFF" w:val="clear"/>
            <w:tcMar>
              <w:top w:type="dxa" w:w="80"/>
              <w:left w:type="dxa" w:w="110"/>
              <w:bottom w:type="dxa" w:w="80"/>
              <w:right w:type="dxa" w:w="110"/>
            </w:tcMar>
            <w:vAlign w:val="center"/>
          </w:tcPr>
          <w:p>
            <w:pPr>
              <w:spacing w:after="0" w:line="250"/>
            </w:pPr>
            <w:r>
              <w:rPr>
                <w:sz w:val="19"/>
                <w:szCs w:val="19"/>
              </w:rPr>
              <w:t xml:space="preserve">Largo</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Guías, formación, ponencias. Genera referidos de abogados</w:t>
            </w:r>
          </w:p>
        </w:tc>
      </w:tr>
    </w:tbl>
    <w:p>
      <w:pPr>
        <w:spacing w:after="16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el embudo que hay que instalar</w:t>
            </w:r>
          </w:p>
          <w:p>
            <w:pPr>
              <w:spacing w:after="90" w:line="264"/>
            </w:pPr>
            <w:r>
              <w:rPr>
                <w:b/>
                <w:bCs/>
                <w:sz w:val="21"/>
                <w:szCs w:val="21"/>
              </w:rPr>
              <w:t xml:space="preserve">La métrica que hay que instalar antes que ninguna otra:</w:t>
            </w:r>
            <w:r>
              <w:rPr>
                <w:sz w:val="21"/>
                <w:szCs w:val="21"/>
              </w:rPr>
              <w:t xml:space="preserve"> costo de adquisición por cliente (</w:t>
            </w:r>
            <w:r>
              <w:rPr>
                <w:b/>
                <w:bCs/>
                <w:sz w:val="21"/>
                <w:szCs w:val="21"/>
              </w:rPr>
              <w:t xml:space="preserve">CAC</w:t>
            </w:r>
            <w:r>
              <w:rPr>
                <w:sz w:val="21"/>
                <w:szCs w:val="21"/>
              </w:rPr>
              <w:t xml:space="preserve">) </w:t>
            </w:r>
            <w:r>
              <w:rPr>
                <w:b/>
                <w:bCs/>
                <w:sz w:val="21"/>
                <w:szCs w:val="21"/>
              </w:rPr>
              <w:t xml:space="preserve">por canal</w:t>
            </w:r>
            <w:r>
              <w:rPr>
                <w:sz w:val="21"/>
                <w:szCs w:val="21"/>
              </w:rPr>
              <w:t xml:space="preserve">. Una firma que no sabe cuánto le cuesta un caso nuevo no puede decidir si crecer, ni dónde.</w:t>
            </w:r>
          </w:p>
          <w:p>
            <w:pPr>
              <w:spacing w:after="90" w:line="264"/>
            </w:pPr>
            <w:r>
              <w:rPr>
                <w:sz w:val="21"/>
                <w:szCs w:val="21"/>
              </w:rPr>
              <w:t xml:space="preserve">El embudo mínimo, cuatro números por canal:</w:t>
            </w:r>
          </w:p>
          <w:p>
            <w:pPr>
              <w:spacing w:after="90"/>
            </w:pPr>
            <w:r>
              <w:rPr>
                <w:rFonts w:ascii="Consolas" w:cs="Consolas" w:eastAsia="Consolas" w:hAnsi="Consolas"/>
                <w:b/>
                <w:bCs/>
                <w:sz w:val="19"/>
                <w:szCs w:val="19"/>
              </w:rPr>
              <w:t xml:space="preserve">Impresiones -&gt; Consultas -&gt; Consultas atendidas -&gt; Casos firmados</w:t>
            </w:r>
          </w:p>
          <w:p>
            <w:pPr>
              <w:spacing w:after="90" w:line="264"/>
            </w:pPr>
            <w:r>
              <w:rPr>
                <w:b/>
                <w:bCs/>
                <w:sz w:val="21"/>
                <w:szCs w:val="21"/>
              </w:rPr>
              <w:t xml:space="preserve">Lo que casi siempre encuentra una firma la primera vez que mide esto:</w:t>
            </w:r>
            <w:r>
              <w:rPr>
                <w:sz w:val="21"/>
                <w:szCs w:val="21"/>
              </w:rPr>
              <w:t xml:space="preserve"> el problema no está en el marketing, está entre «consulta» y «consulta atendida». Llamadas que nadie devuelve, formularios que esperan tres días, mensajes fuera de horario. Es dinero ya gastado que se pierde en el último metro.</w:t>
            </w:r>
          </w:p>
          <w:p>
            <w:pPr>
              <w:spacing w:after="90" w:line="264"/>
            </w:pPr>
            <w:r>
              <w:rPr>
                <w:b/>
                <w:bCs/>
                <w:sz w:val="21"/>
                <w:szCs w:val="21"/>
              </w:rPr>
              <w:t xml:space="preserve">Dos ventajas estructurales que tenemos y conviene explotar deliberadamente:</w:t>
            </w:r>
          </w:p>
          <w:p>
            <w:pPr>
              <w:spacing w:after="90" w:line="264"/>
            </w:pPr>
            <w:r>
              <w:rPr>
                <w:b/>
                <w:bCs/>
                <w:sz w:val="21"/>
                <w:szCs w:val="21"/>
              </w:rPr>
              <w:t xml:space="preserve">1. Atención en español como diferenciador operativo, no decorativo.</w:t>
            </w:r>
            <w:r>
              <w:rPr>
                <w:sz w:val="21"/>
                <w:szCs w:val="21"/>
              </w:rPr>
              <w:t xml:space="preserve"> No «hablamos español» sino que todo el proceso —intake, documentos, actualizaciones, facturación— funciona en español. La mayor parte del mercado lo ofrece a medias.</w:t>
            </w:r>
          </w:p>
          <w:p>
            <w:pPr>
              <w:spacing w:after="90" w:line="264"/>
            </w:pPr>
            <w:r>
              <w:rPr>
                <w:b/>
                <w:bCs/>
                <w:sz w:val="21"/>
                <w:szCs w:val="21"/>
              </w:rPr>
              <w:t xml:space="preserve">2. Alcance nacional (Hecho 1, Parte 0).</w:t>
            </w:r>
            <w:r>
              <w:rPr>
                <w:sz w:val="21"/>
                <w:szCs w:val="21"/>
              </w:rPr>
              <w:t xml:space="preserve"> El contenido y el SEO no tienen que competir solo por «abogado de inmigración en Katy». Pueden competir por el tipo de caso, que es una búsqueda nacional y a menudo menos disputada.</w:t>
            </w:r>
          </w:p>
          <w:p>
            <w:pPr>
              <w:spacing w:after="90" w:line="264"/>
            </w:pPr>
            <w:r>
              <w:rPr>
                <w:b/>
                <w:bCs/>
                <w:sz w:val="21"/>
                <w:szCs w:val="21"/>
              </w:rPr>
              <w:t xml:space="preserve">Y el canal que hay que construir con más disciplina:</w:t>
            </w:r>
            <w:r>
              <w:rPr>
                <w:sz w:val="21"/>
                <w:szCs w:val="21"/>
              </w:rPr>
              <w:t xml:space="preserve"> el referido. Es gratis, convierte mejor que ningún otro y </w:t>
            </w:r>
            <w:r>
              <w:rPr>
                <w:b/>
                <w:bCs/>
                <w:sz w:val="21"/>
                <w:szCs w:val="21"/>
              </w:rPr>
              <w:t xml:space="preserve">se puede fabricar</w:t>
            </w:r>
            <w:r>
              <w:rPr>
                <w:sz w:val="21"/>
                <w:szCs w:val="21"/>
              </w:rPr>
              <w:t xml:space="preserve">: pedirlo explícitamente al cerrar un caso con buen resultado, hacer fácil dejar una reseña, y mantener contacto con los clientes de naturalización, que son los que más hablan con su comunidad.</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7. Estructura de costos</w:t>
      </w:r>
    </w:p>
    <w:p>
      <w:pPr>
        <w:pStyle w:val="Heading2"/>
        <w:spacing w:after="140" w:before="320"/>
      </w:pPr>
      <w:r>
        <w:rPr>
          <w:rFonts w:ascii="Calibri" w:cs="Calibri" w:eastAsia="Calibri" w:hAnsi="Calibri"/>
          <w:b/>
          <w:bCs/>
          <w:color w:val="1F3864"/>
          <w:sz w:val="25"/>
          <w:szCs w:val="25"/>
        </w:rPr>
        <w:t xml:space="preserve">7.1 Composición típica (ilustrativa, % del ingreso)</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4560"/>
        <w:gridCol w:w="2400"/>
        <w:gridCol w:w="2400"/>
      </w:tblGrid>
      <w:tr>
        <w:trPr>
          <w:tblHeader/>
        </w:trPr>
        <w:tc>
          <w:tcPr>
            <w:tcW w:type="dxa" w:w="4560"/>
            <w:shd w:fill="1F3864" w:val="clear"/>
            <w:tcMar>
              <w:top w:type="dxa" w:w="90"/>
              <w:left w:type="dxa" w:w="110"/>
              <w:bottom w:type="dxa" w:w="90"/>
              <w:right w:type="dxa" w:w="110"/>
            </w:tcMar>
          </w:tcPr>
          <w:p>
            <w:pPr>
              <w:spacing w:after="0" w:line="250"/>
            </w:pPr>
            <w:r>
              <w:rPr>
                <w:b/>
                <w:bCs/>
                <w:color w:val="FFFFFF"/>
                <w:sz w:val="19"/>
                <w:szCs w:val="19"/>
              </w:rPr>
              <w:t xml:space="preserve">Partida</w:t>
            </w:r>
          </w:p>
        </w:tc>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Firma corporativa</w:t>
            </w:r>
          </w:p>
        </w:tc>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Firma de consumidor de volumen</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Compensación de abogados no propietarios</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32 %</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22 %</w:t>
            </w: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Personal de apoyo y operaciones</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12 %</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18 %</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Ocupación (oficinas)</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6 %</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4 %</w:t>
            </w: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Tecnología y software</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4 %</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7 %</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Marketing y desarrollo de negocio</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3 %</w:t>
            </w:r>
          </w:p>
        </w:tc>
        <w:tc>
          <w:tcPr>
            <w:tcW w:type="dxa" w:w="2400"/>
            <w:shd w:fill="FFFFFF" w:val="clear"/>
            <w:tcMar>
              <w:top w:type="dxa" w:w="80"/>
              <w:left w:type="dxa" w:w="110"/>
              <w:bottom w:type="dxa" w:w="80"/>
              <w:right w:type="dxa" w:w="110"/>
            </w:tcMar>
            <w:vAlign w:val="center"/>
          </w:tcPr>
          <w:p>
            <w:pPr>
              <w:spacing w:after="0" w:line="250"/>
              <w:jc w:val="right"/>
            </w:pPr>
            <w:r>
              <w:rPr>
                <w:b/>
                <w:bCs/>
                <w:sz w:val="19"/>
                <w:szCs w:val="19"/>
              </w:rPr>
              <w:t xml:space="preserve">15 %</w:t>
            </w: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Seguro de responsabilidad profesional (LPL)</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1.5 %</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2 %</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Bases de datos, biblioteca, KM</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2 %</w:t>
            </w:r>
          </w:p>
        </w:tc>
        <w:tc>
          <w:tcPr>
            <w:tcW w:type="dxa" w:w="2400"/>
            <w:shd w:fill="FFFFFF" w:val="clear"/>
            <w:tcMar>
              <w:top w:type="dxa" w:w="80"/>
              <w:left w:type="dxa" w:w="110"/>
              <w:bottom w:type="dxa" w:w="80"/>
              <w:right w:type="dxa" w:w="110"/>
            </w:tcMar>
            <w:vAlign w:val="center"/>
          </w:tcPr>
          <w:p>
            <w:pPr>
              <w:spacing w:after="0" w:line="250"/>
              <w:jc w:val="right"/>
            </w:pPr>
            <w:r>
              <w:rPr>
                <w:sz w:val="19"/>
                <w:szCs w:val="19"/>
              </w:rPr>
              <w:t xml:space="preserve">1 %</w:t>
            </w: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Otros (viajes, formación, seguros, profesionales)</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4.5 %</w:t>
            </w:r>
          </w:p>
        </w:tc>
        <w:tc>
          <w:tcPr>
            <w:tcW w:type="dxa" w:w="2400"/>
            <w:shd w:fill="F5F7FA" w:val="clear"/>
            <w:tcMar>
              <w:top w:type="dxa" w:w="80"/>
              <w:left w:type="dxa" w:w="110"/>
              <w:bottom w:type="dxa" w:w="80"/>
              <w:right w:type="dxa" w:w="110"/>
            </w:tcMar>
            <w:vAlign w:val="center"/>
          </w:tcPr>
          <w:p>
            <w:pPr>
              <w:spacing w:after="0" w:line="250"/>
              <w:jc w:val="right"/>
            </w:pPr>
            <w:r>
              <w:rPr>
                <w:sz w:val="19"/>
                <w:szCs w:val="19"/>
              </w:rPr>
              <w:t xml:space="preserve">6 %</w:t>
            </w:r>
          </w:p>
        </w:tc>
      </w:tr>
      <w:tr>
        <w:tc>
          <w:tcPr>
            <w:tcW w:type="dxa" w:w="4560"/>
            <w:shd w:fill="FFFFFF" w:val="clear"/>
            <w:tcMar>
              <w:top w:type="dxa" w:w="80"/>
              <w:left w:type="dxa" w:w="110"/>
              <w:bottom w:type="dxa" w:w="80"/>
              <w:right w:type="dxa" w:w="110"/>
            </w:tcMar>
            <w:vAlign w:val="center"/>
          </w:tcPr>
          <w:p>
            <w:pPr>
              <w:spacing w:after="0" w:line="250"/>
            </w:pPr>
            <w:r>
              <w:rPr>
                <w:b/>
                <w:bCs/>
                <w:sz w:val="19"/>
                <w:szCs w:val="19"/>
              </w:rPr>
              <w:t xml:space="preserve">Total gastos</w:t>
            </w:r>
          </w:p>
        </w:tc>
        <w:tc>
          <w:tcPr>
            <w:tcW w:type="dxa" w:w="2400"/>
            <w:shd w:fill="FFFFFF" w:val="clear"/>
            <w:tcMar>
              <w:top w:type="dxa" w:w="80"/>
              <w:left w:type="dxa" w:w="110"/>
              <w:bottom w:type="dxa" w:w="80"/>
              <w:right w:type="dxa" w:w="110"/>
            </w:tcMar>
            <w:vAlign w:val="center"/>
          </w:tcPr>
          <w:p>
            <w:pPr>
              <w:spacing w:after="0" w:line="250"/>
              <w:jc w:val="right"/>
            </w:pPr>
            <w:r>
              <w:rPr>
                <w:b/>
                <w:bCs/>
                <w:sz w:val="19"/>
                <w:szCs w:val="19"/>
              </w:rPr>
              <w:t xml:space="preserve">65 %</w:t>
            </w:r>
          </w:p>
        </w:tc>
        <w:tc>
          <w:tcPr>
            <w:tcW w:type="dxa" w:w="2400"/>
            <w:shd w:fill="FFFFFF" w:val="clear"/>
            <w:tcMar>
              <w:top w:type="dxa" w:w="80"/>
              <w:left w:type="dxa" w:w="110"/>
              <w:bottom w:type="dxa" w:w="80"/>
              <w:right w:type="dxa" w:w="110"/>
            </w:tcMar>
            <w:vAlign w:val="center"/>
          </w:tcPr>
          <w:p>
            <w:pPr>
              <w:spacing w:after="0" w:line="250"/>
              <w:jc w:val="right"/>
            </w:pPr>
            <w:r>
              <w:rPr>
                <w:b/>
                <w:bCs/>
                <w:sz w:val="19"/>
                <w:szCs w:val="19"/>
              </w:rPr>
              <w:t xml:space="preserve">75 %</w:t>
            </w:r>
          </w:p>
        </w:tc>
      </w:tr>
      <w:tr>
        <w:tc>
          <w:tcPr>
            <w:tcW w:type="dxa" w:w="4560"/>
            <w:shd w:fill="F5F7FA" w:val="clear"/>
            <w:tcMar>
              <w:top w:type="dxa" w:w="80"/>
              <w:left w:type="dxa" w:w="110"/>
              <w:bottom w:type="dxa" w:w="80"/>
              <w:right w:type="dxa" w:w="110"/>
            </w:tcMar>
            <w:vAlign w:val="center"/>
          </w:tcPr>
          <w:p>
            <w:pPr>
              <w:spacing w:after="0" w:line="250"/>
            </w:pPr>
            <w:r>
              <w:rPr>
                <w:b/>
                <w:bCs/>
                <w:sz w:val="19"/>
                <w:szCs w:val="19"/>
              </w:rPr>
              <w:t xml:space="preserve">Margen operativo (a los dueños)</w:t>
            </w:r>
          </w:p>
        </w:tc>
        <w:tc>
          <w:tcPr>
            <w:tcW w:type="dxa" w:w="2400"/>
            <w:shd w:fill="F5F7FA" w:val="clear"/>
            <w:tcMar>
              <w:top w:type="dxa" w:w="80"/>
              <w:left w:type="dxa" w:w="110"/>
              <w:bottom w:type="dxa" w:w="80"/>
              <w:right w:type="dxa" w:w="110"/>
            </w:tcMar>
            <w:vAlign w:val="center"/>
          </w:tcPr>
          <w:p>
            <w:pPr>
              <w:spacing w:after="0" w:line="250"/>
              <w:jc w:val="right"/>
            </w:pPr>
            <w:r>
              <w:rPr>
                <w:b/>
                <w:bCs/>
                <w:sz w:val="19"/>
                <w:szCs w:val="19"/>
              </w:rPr>
              <w:t xml:space="preserve">35 %</w:t>
            </w:r>
          </w:p>
        </w:tc>
        <w:tc>
          <w:tcPr>
            <w:tcW w:type="dxa" w:w="2400"/>
            <w:shd w:fill="F5F7FA" w:val="clear"/>
            <w:tcMar>
              <w:top w:type="dxa" w:w="80"/>
              <w:left w:type="dxa" w:w="110"/>
              <w:bottom w:type="dxa" w:w="80"/>
              <w:right w:type="dxa" w:w="110"/>
            </w:tcMar>
            <w:vAlign w:val="center"/>
          </w:tcPr>
          <w:p>
            <w:pPr>
              <w:spacing w:after="0" w:line="250"/>
              <w:jc w:val="right"/>
            </w:pPr>
            <w:r>
              <w:rPr>
                <w:b/>
                <w:bCs/>
                <w:sz w:val="19"/>
                <w:szCs w:val="19"/>
              </w:rPr>
              <w:t xml:space="preserve">25 %</w:t>
            </w:r>
          </w:p>
        </w:tc>
      </w:tr>
    </w:tbl>
    <w:p>
      <w:pPr>
        <w:spacing w:after="160"/>
      </w:pPr>
    </w:p>
    <w:p>
      <w:pPr>
        <w:pStyle w:val="Heading3"/>
        <w:spacing w:after="100" w:before="240"/>
      </w:pPr>
      <w:r>
        <w:rPr>
          <w:rFonts w:ascii="Calibri" w:cs="Calibri" w:eastAsia="Calibri" w:hAnsi="Calibri"/>
          <w:b/>
          <w:bCs/>
          <w:color w:val="44546A"/>
          <w:sz w:val="22"/>
          <w:szCs w:val="22"/>
        </w:rPr>
        <w:t xml:space="preserve">Tres lecturas de negocio</w:t>
      </w:r>
    </w:p>
    <w:p>
      <w:pPr>
        <w:pStyle w:val="ListParagraph"/>
        <w:numPr>
          <w:ilvl w:val="0"/>
          <w:numId w:val="2"/>
        </w:numPr>
        <w:spacing w:after="70" w:line="264"/>
      </w:pPr>
      <w:r>
        <w:rPr>
          <w:b/>
          <w:bCs/>
          <w:sz w:val="21"/>
          <w:szCs w:val="21"/>
        </w:rPr>
        <w:t xml:space="preserve">La compensación domina siempre.</w:t>
      </w:r>
      <w:r>
        <w:rPr>
          <w:sz w:val="21"/>
          <w:szCs w:val="21"/>
        </w:rPr>
        <w:t xml:space="preserve"> Cualquier plan de mejora de margen que no toque la mezcla de personal o la productividad por persona es cosmético.</w:t>
      </w:r>
    </w:p>
    <w:p>
      <w:pPr>
        <w:pStyle w:val="ListParagraph"/>
        <w:numPr>
          <w:ilvl w:val="0"/>
          <w:numId w:val="2"/>
        </w:numPr>
        <w:spacing w:after="70" w:line="264"/>
      </w:pPr>
      <w:r>
        <w:rPr>
          <w:b/>
          <w:bCs/>
          <w:sz w:val="21"/>
          <w:szCs w:val="21"/>
        </w:rPr>
        <w:t xml:space="preserve">La firma de consumidor gasta en marketing lo que la corporativa gasta en talento sénior.</w:t>
      </w:r>
      <w:r>
        <w:rPr>
          <w:sz w:val="21"/>
          <w:szCs w:val="21"/>
        </w:rPr>
        <w:t xml:space="preserve"> Son dos negocios distintos que comparten licencia profesional. Nosotros estamos en la segunda columna: el marketing no es un gasto discrecional, es una línea estructural del modelo.</w:t>
      </w:r>
    </w:p>
    <w:p>
      <w:pPr>
        <w:pStyle w:val="ListParagraph"/>
        <w:numPr>
          <w:ilvl w:val="0"/>
          <w:numId w:val="2"/>
        </w:numPr>
        <w:spacing w:after="70" w:line="264"/>
      </w:pPr>
      <w:r>
        <w:rPr>
          <w:b/>
          <w:bCs/>
          <w:sz w:val="21"/>
          <w:szCs w:val="21"/>
        </w:rPr>
        <w:t xml:space="preserve">La ocupación está en descenso estructural.</w:t>
      </w:r>
      <w:r>
        <w:rPr>
          <w:sz w:val="21"/>
          <w:szCs w:val="21"/>
        </w:rPr>
        <w:t xml:space="preserve"> El trabajo híbrido convirtió los metros cuadrados en una palanca real de margen por primera vez en décadas.</w:t>
      </w:r>
    </w:p>
    <w:p>
      <w:pPr>
        <w:pStyle w:val="Heading2"/>
        <w:spacing w:after="140" w:before="320"/>
      </w:pPr>
      <w:r>
        <w:rPr>
          <w:rFonts w:ascii="Calibri" w:cs="Calibri" w:eastAsia="Calibri" w:hAnsi="Calibri"/>
          <w:b/>
          <w:bCs/>
          <w:color w:val="1F3864"/>
          <w:sz w:val="25"/>
          <w:szCs w:val="25"/>
        </w:rPr>
        <w:t xml:space="preserve">7.2 Los costos que casi nadie presupuesta</w:t>
      </w:r>
    </w:p>
    <w:p>
      <w:pPr>
        <w:pStyle w:val="ListParagraph"/>
        <w:numPr>
          <w:ilvl w:val="0"/>
          <w:numId w:val="2"/>
        </w:numPr>
        <w:spacing w:after="70" w:line="264"/>
      </w:pPr>
      <w:r>
        <w:rPr>
          <w:b/>
          <w:bCs/>
          <w:sz w:val="21"/>
          <w:szCs w:val="21"/>
        </w:rPr>
        <w:t xml:space="preserve">Trabajo no facturable de los dueños</w:t>
      </w:r>
      <w:r>
        <w:rPr>
          <w:sz w:val="21"/>
          <w:szCs w:val="21"/>
        </w:rPr>
        <w:t xml:space="preserve"> — administración, marketing, formación, contratación. En una firma pequeña es enorme y es invisible.</w:t>
      </w:r>
    </w:p>
    <w:p>
      <w:pPr>
        <w:pStyle w:val="ListParagraph"/>
        <w:numPr>
          <w:ilvl w:val="0"/>
          <w:numId w:val="2"/>
        </w:numPr>
        <w:spacing w:after="70" w:line="264"/>
      </w:pPr>
      <w:r>
        <w:rPr>
          <w:b/>
          <w:bCs/>
          <w:sz w:val="21"/>
          <w:szCs w:val="21"/>
        </w:rPr>
        <w:t xml:space="preserve">Reproceso y desbordamiento de alcance</w:t>
      </w:r>
      <w:r>
        <w:rPr>
          <w:sz w:val="21"/>
          <w:szCs w:val="21"/>
        </w:rPr>
        <w:t xml:space="preserve"> — el equivalente al </w:t>
      </w:r>
      <w:r>
        <w:rPr>
          <w:i/>
          <w:iCs/>
          <w:sz w:val="21"/>
          <w:szCs w:val="21"/>
        </w:rPr>
        <w:t xml:space="preserve">write-off</w:t>
      </w:r>
      <w:r>
        <w:rPr>
          <w:sz w:val="21"/>
          <w:szCs w:val="21"/>
        </w:rPr>
        <w:t xml:space="preserve"> de la Parte 3.4.</w:t>
      </w:r>
    </w:p>
    <w:p>
      <w:pPr>
        <w:pStyle w:val="ListParagraph"/>
        <w:numPr>
          <w:ilvl w:val="0"/>
          <w:numId w:val="2"/>
        </w:numPr>
        <w:spacing w:after="70" w:line="264"/>
      </w:pPr>
      <w:r>
        <w:rPr>
          <w:b/>
          <w:bCs/>
          <w:sz w:val="21"/>
          <w:szCs w:val="21"/>
        </w:rPr>
        <w:t xml:space="preserve">Rotación</w:t>
      </w:r>
      <w:r>
        <w:rPr>
          <w:sz w:val="21"/>
          <w:szCs w:val="21"/>
        </w:rPr>
        <w:t xml:space="preserve"> — reemplazar a una persona formada cuesta entre 1.5 y 2 veces su salario anual contando reclutamiento, curva de aprendizaje y productividad perdida. En una firma de cinco personas, perder a una es perder el 20 % de la capacidad.</w:t>
      </w:r>
    </w:p>
    <w:p>
      <w:pPr>
        <w:pStyle w:val="ListParagraph"/>
        <w:numPr>
          <w:ilvl w:val="0"/>
          <w:numId w:val="2"/>
        </w:numPr>
        <w:spacing w:after="70" w:line="264"/>
      </w:pPr>
      <w:r>
        <w:rPr>
          <w:b/>
          <w:bCs/>
          <w:sz w:val="21"/>
          <w:szCs w:val="21"/>
        </w:rPr>
        <w:t xml:space="preserve">Deuda incobrable y planes de pago incumplidos.</w:t>
      </w:r>
    </w:p>
    <w:p>
      <w:pPr>
        <w:pStyle w:val="ListParagraph"/>
        <w:numPr>
          <w:ilvl w:val="0"/>
          <w:numId w:val="2"/>
        </w:numPr>
        <w:spacing w:after="70" w:line="264"/>
      </w:pPr>
      <w:r>
        <w:rPr>
          <w:b/>
          <w:bCs/>
          <w:sz w:val="21"/>
          <w:szCs w:val="21"/>
        </w:rPr>
        <w:t xml:space="preserve">Costo de conflicto</w:t>
      </w:r>
      <w:r>
        <w:rPr>
          <w:sz w:val="21"/>
          <w:szCs w:val="21"/>
        </w:rPr>
        <w:t xml:space="preserve"> — los casos que hay que rechazar son ingreso que no aparece en ningún reporte.</w:t>
      </w:r>
    </w:p>
    <w:p>
      <w:pPr>
        <w:pStyle w:val="Heading2"/>
        <w:spacing w:after="140" w:before="320"/>
      </w:pPr>
      <w:r>
        <w:rPr>
          <w:rFonts w:ascii="Calibri" w:cs="Calibri" w:eastAsia="Calibri" w:hAnsi="Calibri"/>
          <w:b/>
          <w:bCs/>
          <w:color w:val="1F3864"/>
          <w:sz w:val="25"/>
          <w:szCs w:val="25"/>
        </w:rPr>
        <w:t xml:space="preserve">7.3 Punto de equilibrio por persona</w:t>
      </w:r>
    </w:p>
    <w:p>
      <w:pPr>
        <w:spacing w:after="140" w:line="276"/>
      </w:pPr>
      <w:r>
        <w:rPr>
          <w:sz w:val="21"/>
          <w:szCs w:val="21"/>
        </w:rPr>
        <w:t xml:space="preserve">En un modelo de horas se calcula así:</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Punto de equilibrio (horas) = (Salario + carga + overhead asignado)</w:t>
            </w:r>
          </w:p>
          <w:p>
            <w:pPr>
              <w:spacing w:after="0" w:line="216"/>
            </w:pPr>
            <w:r>
              <w:rPr>
                <w:rFonts w:ascii="Consolas" w:cs="Consolas" w:eastAsia="Consolas" w:hAnsi="Consolas"/>
                <w:sz w:val="15"/>
                <w:szCs w:val="15"/>
              </w:rPr>
              <w:t xml:space="preserve">                              / (Tarifa x Realizacion)</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Ejemplo:  ($250,000 + $70,000 + $160,000) / ($550 x 0.88)</w:t>
            </w:r>
          </w:p>
          <w:p>
            <w:pPr>
              <w:spacing w:after="0" w:line="216"/>
            </w:pPr>
            <w:r>
              <w:rPr>
                <w:rFonts w:ascii="Consolas" w:cs="Consolas" w:eastAsia="Consolas" w:hAnsi="Consolas"/>
                <w:sz w:val="15"/>
                <w:szCs w:val="15"/>
              </w:rPr>
              <w:t xml:space="preserve">       =  $480,000 / $484</w:t>
            </w:r>
          </w:p>
          <w:p>
            <w:pPr>
              <w:spacing w:after="0" w:line="216"/>
            </w:pPr>
            <w:r>
              <w:rPr>
                <w:rFonts w:ascii="Consolas" w:cs="Consolas" w:eastAsia="Consolas" w:hAnsi="Consolas"/>
                <w:sz w:val="15"/>
                <w:szCs w:val="15"/>
              </w:rPr>
              <w:t xml:space="preserve">       ~= 992 horas facturables al ano</w:t>
            </w:r>
          </w:p>
        </w:tc>
      </w:tr>
    </w:tbl>
    <w:p>
      <w:pPr>
        <w:spacing w:after="140"/>
      </w:pPr>
    </w:p>
    <w:p>
      <w:pPr>
        <w:spacing w:after="140" w:line="276"/>
      </w:pPr>
      <w:r>
        <w:rPr>
          <w:sz w:val="21"/>
          <w:szCs w:val="21"/>
        </w:rPr>
        <w:t xml:space="preserve">Todo lo que esa persona facture por encima de ~992 horas es margen. Con un objetivo de 1,800 horas, la firma captura el excedente de ~808 horas. </w:t>
      </w:r>
      <w:r>
        <w:rPr>
          <w:b/>
          <w:bCs/>
          <w:sz w:val="21"/>
          <w:szCs w:val="21"/>
        </w:rPr>
        <w:t xml:space="preserve">Esa diferencia, multiplicada por el número de personas, es el negocio.</w:t>
      </w:r>
    </w:p>
    <w:p>
      <w:pPr>
        <w:spacing w:after="12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el equivalente en precio cerrado</w:t>
            </w:r>
          </w:p>
          <w:p>
            <w:pPr>
              <w:spacing w:after="90" w:line="264"/>
            </w:pPr>
            <w:r>
              <w:rPr>
                <w:sz w:val="21"/>
                <w:szCs w:val="21"/>
              </w:rPr>
              <w:t xml:space="preserve">Nuestra versión de la misma cuenta:</w:t>
            </w:r>
          </w:p>
          <w:p>
            <w:pPr>
              <w:spacing w:after="90"/>
            </w:pPr>
            <w:r>
              <w:rPr>
                <w:rFonts w:ascii="Consolas" w:cs="Consolas" w:eastAsia="Consolas" w:hAnsi="Consolas"/>
                <w:b/>
                <w:bCs/>
                <w:sz w:val="19"/>
                <w:szCs w:val="19"/>
              </w:rPr>
              <w:t xml:space="preserve">Casos de equilibrio = Costo total de la persona / Margen de contribucion por caso</w:t>
            </w:r>
          </w:p>
          <w:p>
            <w:pPr>
              <w:spacing w:after="90" w:line="264"/>
            </w:pPr>
            <w:r>
              <w:rPr>
                <w:sz w:val="21"/>
                <w:szCs w:val="21"/>
              </w:rPr>
              <w:t xml:space="preserve">Ejemplo con un paralegal de costo cargado de $62,000 al año y un margen de contribución de $1,930 por caso (Parte 12, Ejemplo D): necesita </w:t>
            </w:r>
            <w:r>
              <w:rPr>
                <w:b/>
                <w:bCs/>
                <w:sz w:val="21"/>
                <w:szCs w:val="21"/>
              </w:rPr>
              <w:t xml:space="preserve">33 casos al año</w:t>
            </w:r>
            <w:r>
              <w:rPr>
                <w:sz w:val="21"/>
                <w:szCs w:val="21"/>
              </w:rPr>
              <w:t xml:space="preserve"> solo para pagarse. Si gestiona 90, aporta ~$111,000 de margen.</w:t>
            </w:r>
          </w:p>
          <w:p>
            <w:pPr>
              <w:spacing w:after="90" w:line="264"/>
            </w:pPr>
            <w:r>
              <w:rPr>
                <w:sz w:val="21"/>
                <w:szCs w:val="21"/>
              </w:rPr>
              <w:t xml:space="preserve">La conclusión es la misma que en el modelo de horas, con otro vocabulario: </w:t>
            </w:r>
            <w:r>
              <w:rPr>
                <w:b/>
                <w:bCs/>
                <w:sz w:val="21"/>
                <w:szCs w:val="21"/>
              </w:rPr>
              <w:t xml:space="preserve">el negocio está en la diferencia entre lo que cuesta una persona y lo que produce</w:t>
            </w:r>
            <w:r>
              <w:rPr>
                <w:sz w:val="21"/>
                <w:szCs w:val="21"/>
              </w:rPr>
              <w:t xml:space="preserve">, y esa diferencia se ensancha con proceso, no con esfuerzo.</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8. Reparto entre los propietarios</w:t>
      </w:r>
    </w:p>
    <w:p>
      <w:pPr>
        <w:spacing w:after="140" w:line="276"/>
      </w:pPr>
      <w:r>
        <w:rPr>
          <w:sz w:val="21"/>
          <w:szCs w:val="21"/>
        </w:rPr>
        <w:t xml:space="preserve">Cómo se reparte el margen entre los dueños determina la conducta de una firma más que cualquier documento de estrategia. La gente hace aquello por lo que se le paga.</w:t>
      </w:r>
    </w:p>
    <w:p>
      <w:pPr>
        <w:pStyle w:val="Heading2"/>
        <w:spacing w:after="140" w:before="320"/>
      </w:pPr>
      <w:r>
        <w:rPr>
          <w:rFonts w:ascii="Calibri" w:cs="Calibri" w:eastAsia="Calibri" w:hAnsi="Calibri"/>
          <w:b/>
          <w:bCs/>
          <w:color w:val="1F3864"/>
          <w:sz w:val="25"/>
          <w:szCs w:val="25"/>
        </w:rPr>
        <w:t xml:space="preserve">8.1 Los sistemas clásicos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700"/>
        <w:gridCol w:w="2900"/>
        <w:gridCol w:w="2500"/>
        <w:gridCol w:w="2260"/>
      </w:tblGrid>
      <w:tr>
        <w:trPr>
          <w:tblHeader/>
        </w:trPr>
        <w:tc>
          <w:tcPr>
            <w:tcW w:type="dxa" w:w="1700"/>
            <w:shd w:fill="1F3864" w:val="clear"/>
            <w:tcMar>
              <w:top w:type="dxa" w:w="90"/>
              <w:left w:type="dxa" w:w="110"/>
              <w:bottom w:type="dxa" w:w="90"/>
              <w:right w:type="dxa" w:w="110"/>
            </w:tcMar>
          </w:tcPr>
          <w:p>
            <w:pPr>
              <w:spacing w:after="0" w:line="250"/>
            </w:pPr>
            <w:r>
              <w:rPr>
                <w:b/>
                <w:bCs/>
                <w:color w:val="FFFFFF"/>
                <w:sz w:val="19"/>
                <w:szCs w:val="19"/>
              </w:rPr>
              <w:t xml:space="preserve">Sistema</w:t>
            </w:r>
          </w:p>
        </w:tc>
        <w:tc>
          <w:tcPr>
            <w:tcW w:type="dxa" w:w="2900"/>
            <w:shd w:fill="1F3864" w:val="clear"/>
            <w:tcMar>
              <w:top w:type="dxa" w:w="90"/>
              <w:left w:type="dxa" w:w="110"/>
              <w:bottom w:type="dxa" w:w="90"/>
              <w:right w:type="dxa" w:w="110"/>
            </w:tcMar>
          </w:tcPr>
          <w:p>
            <w:pPr>
              <w:spacing w:after="0" w:line="250"/>
            </w:pPr>
            <w:r>
              <w:rPr>
                <w:b/>
                <w:bCs/>
                <w:color w:val="FFFFFF"/>
                <w:sz w:val="19"/>
                <w:szCs w:val="19"/>
              </w:rPr>
              <w:t xml:space="preserve">Cómo funciona</w:t>
            </w:r>
          </w:p>
        </w:tc>
        <w:tc>
          <w:tcPr>
            <w:tcW w:type="dxa" w:w="2500"/>
            <w:shd w:fill="1F3864" w:val="clear"/>
            <w:tcMar>
              <w:top w:type="dxa" w:w="90"/>
              <w:left w:type="dxa" w:w="110"/>
              <w:bottom w:type="dxa" w:w="90"/>
              <w:right w:type="dxa" w:w="110"/>
            </w:tcMar>
          </w:tcPr>
          <w:p>
            <w:pPr>
              <w:spacing w:after="0" w:line="250"/>
            </w:pPr>
            <w:r>
              <w:rPr>
                <w:b/>
                <w:bCs/>
                <w:color w:val="FFFFFF"/>
                <w:sz w:val="19"/>
                <w:szCs w:val="19"/>
              </w:rPr>
              <w:t xml:space="preserve">Qué incentiva</w:t>
            </w:r>
          </w:p>
        </w:tc>
        <w:tc>
          <w:tcPr>
            <w:tcW w:type="dxa" w:w="2260"/>
            <w:shd w:fill="1F3864" w:val="clear"/>
            <w:tcMar>
              <w:top w:type="dxa" w:w="90"/>
              <w:left w:type="dxa" w:w="110"/>
              <w:bottom w:type="dxa" w:w="90"/>
              <w:right w:type="dxa" w:w="110"/>
            </w:tcMar>
          </w:tcPr>
          <w:p>
            <w:pPr>
              <w:spacing w:after="0" w:line="250"/>
            </w:pPr>
            <w:r>
              <w:rPr>
                <w:b/>
                <w:bCs/>
                <w:color w:val="FFFFFF"/>
                <w:sz w:val="19"/>
                <w:szCs w:val="19"/>
              </w:rPr>
              <w:t xml:space="preserve">Riesgo</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Lockstep puro</w:t>
            </w:r>
          </w:p>
        </w:tc>
        <w:tc>
          <w:tcPr>
            <w:tcW w:type="dxa" w:w="2900"/>
            <w:shd w:fill="FFFFFF" w:val="clear"/>
            <w:tcMar>
              <w:top w:type="dxa" w:w="80"/>
              <w:left w:type="dxa" w:w="110"/>
              <w:bottom w:type="dxa" w:w="80"/>
              <w:right w:type="dxa" w:w="110"/>
            </w:tcMar>
            <w:vAlign w:val="center"/>
          </w:tcPr>
          <w:p>
            <w:pPr>
              <w:spacing w:after="0" w:line="250"/>
            </w:pPr>
            <w:r>
              <w:rPr>
                <w:sz w:val="19"/>
                <w:szCs w:val="19"/>
              </w:rPr>
              <w:t xml:space="preserve">Los puntos suben solo con la antigüedad</w:t>
            </w:r>
          </w:p>
        </w:tc>
        <w:tc>
          <w:tcPr>
            <w:tcW w:type="dxa" w:w="2500"/>
            <w:shd w:fill="FFFFFF" w:val="clear"/>
            <w:tcMar>
              <w:top w:type="dxa" w:w="80"/>
              <w:left w:type="dxa" w:w="110"/>
              <w:bottom w:type="dxa" w:w="80"/>
              <w:right w:type="dxa" w:w="110"/>
            </w:tcMar>
            <w:vAlign w:val="center"/>
          </w:tcPr>
          <w:p>
            <w:pPr>
              <w:spacing w:after="0" w:line="250"/>
            </w:pPr>
            <w:r>
              <w:rPr>
                <w:sz w:val="19"/>
                <w:szCs w:val="19"/>
              </w:rPr>
              <w:t xml:space="preserve">Colaboración, referencias internas, la institución sobre el individuo</w:t>
            </w:r>
          </w:p>
        </w:tc>
        <w:tc>
          <w:tcPr>
            <w:tcW w:type="dxa" w:w="2260"/>
            <w:shd w:fill="FFFFFF" w:val="clear"/>
            <w:tcMar>
              <w:top w:type="dxa" w:w="80"/>
              <w:left w:type="dxa" w:w="110"/>
              <w:bottom w:type="dxa" w:w="80"/>
              <w:right w:type="dxa" w:w="110"/>
            </w:tcMar>
            <w:vAlign w:val="center"/>
          </w:tcPr>
          <w:p>
            <w:pPr>
              <w:spacing w:after="0" w:line="250"/>
            </w:pPr>
            <w:r>
              <w:rPr>
                <w:sz w:val="19"/>
                <w:szCs w:val="19"/>
              </w:rPr>
              <w:t xml:space="preserve">Los grandes generadores se van a firmas que pagan por producir</w:t>
            </w: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Eat What You Kill</w:t>
            </w:r>
          </w:p>
        </w:tc>
        <w:tc>
          <w:tcPr>
            <w:tcW w:type="dxa" w:w="2900"/>
            <w:shd w:fill="F5F7FA" w:val="clear"/>
            <w:tcMar>
              <w:top w:type="dxa" w:w="80"/>
              <w:left w:type="dxa" w:w="110"/>
              <w:bottom w:type="dxa" w:w="80"/>
              <w:right w:type="dxa" w:w="110"/>
            </w:tcMar>
            <w:vAlign w:val="center"/>
          </w:tcPr>
          <w:p>
            <w:pPr>
              <w:spacing w:after="0" w:line="250"/>
            </w:pPr>
            <w:r>
              <w:rPr>
                <w:sz w:val="19"/>
                <w:szCs w:val="19"/>
              </w:rPr>
              <w:t xml:space="preserve">Cada uno cobra según lo que origina y ejecuta</w:t>
            </w:r>
          </w:p>
        </w:tc>
        <w:tc>
          <w:tcPr>
            <w:tcW w:type="dxa" w:w="2500"/>
            <w:shd w:fill="F5F7FA" w:val="clear"/>
            <w:tcMar>
              <w:top w:type="dxa" w:w="80"/>
              <w:left w:type="dxa" w:w="110"/>
              <w:bottom w:type="dxa" w:w="80"/>
              <w:right w:type="dxa" w:w="110"/>
            </w:tcMar>
            <w:vAlign w:val="center"/>
          </w:tcPr>
          <w:p>
            <w:pPr>
              <w:spacing w:after="0" w:line="250"/>
            </w:pPr>
            <w:r>
              <w:rPr>
                <w:sz w:val="19"/>
                <w:szCs w:val="19"/>
              </w:rPr>
              <w:t xml:space="preserve">Generación agresiva de negocio</w:t>
            </w:r>
          </w:p>
        </w:tc>
        <w:tc>
          <w:tcPr>
            <w:tcW w:type="dxa" w:w="2260"/>
            <w:shd w:fill="F5F7FA" w:val="clear"/>
            <w:tcMar>
              <w:top w:type="dxa" w:w="80"/>
              <w:left w:type="dxa" w:w="110"/>
              <w:bottom w:type="dxa" w:w="80"/>
              <w:right w:type="dxa" w:w="110"/>
            </w:tcMar>
            <w:vAlign w:val="center"/>
          </w:tcPr>
          <w:p>
            <w:pPr>
              <w:spacing w:after="0" w:line="250"/>
            </w:pPr>
            <w:r>
              <w:rPr>
                <w:sz w:val="19"/>
                <w:szCs w:val="19"/>
              </w:rPr>
              <w:t xml:space="preserve">Silos, acaparamiento de clientes, guerra por el crédito de origen</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Lockstep modificado</w:t>
            </w:r>
          </w:p>
        </w:tc>
        <w:tc>
          <w:tcPr>
            <w:tcW w:type="dxa" w:w="2900"/>
            <w:shd w:fill="FFFFFF" w:val="clear"/>
            <w:tcMar>
              <w:top w:type="dxa" w:w="80"/>
              <w:left w:type="dxa" w:w="110"/>
              <w:bottom w:type="dxa" w:w="80"/>
              <w:right w:type="dxa" w:w="110"/>
            </w:tcMar>
            <w:vAlign w:val="center"/>
          </w:tcPr>
          <w:p>
            <w:pPr>
              <w:spacing w:after="0" w:line="250"/>
            </w:pPr>
            <w:r>
              <w:rPr>
                <w:sz w:val="19"/>
                <w:szCs w:val="19"/>
              </w:rPr>
              <w:t xml:space="preserve">Base por antigüedad + componente variable</w:t>
            </w:r>
          </w:p>
        </w:tc>
        <w:tc>
          <w:tcPr>
            <w:tcW w:type="dxa" w:w="2500"/>
            <w:shd w:fill="FFFFFF" w:val="clear"/>
            <w:tcMar>
              <w:top w:type="dxa" w:w="80"/>
              <w:left w:type="dxa" w:w="110"/>
              <w:bottom w:type="dxa" w:w="80"/>
              <w:right w:type="dxa" w:w="110"/>
            </w:tcMar>
            <w:vAlign w:val="center"/>
          </w:tcPr>
          <w:p>
            <w:pPr>
              <w:spacing w:after="0" w:line="250"/>
            </w:pPr>
            <w:r>
              <w:rPr>
                <w:sz w:val="19"/>
                <w:szCs w:val="19"/>
              </w:rPr>
              <w:t xml:space="preserve">Equilibrio entre las dos fuerzas</w:t>
            </w:r>
          </w:p>
        </w:tc>
        <w:tc>
          <w:tcPr>
            <w:tcW w:type="dxa" w:w="2260"/>
            <w:shd w:fill="FFFFFF" w:val="clear"/>
            <w:tcMar>
              <w:top w:type="dxa" w:w="80"/>
              <w:left w:type="dxa" w:w="110"/>
              <w:bottom w:type="dxa" w:w="80"/>
              <w:right w:type="dxa" w:w="110"/>
            </w:tcMar>
            <w:vAlign w:val="center"/>
          </w:tcPr>
          <w:p>
            <w:pPr>
              <w:spacing w:after="0" w:line="250"/>
            </w:pPr>
            <w:r>
              <w:rPr>
                <w:sz w:val="19"/>
                <w:szCs w:val="19"/>
              </w:rPr>
              <w:t xml:space="preserve">Complejidad; discusión anual</w:t>
            </w:r>
          </w:p>
        </w:tc>
      </w:tr>
      <w:tr>
        <w:tc>
          <w:tcPr>
            <w:tcW w:type="dxa" w:w="1700"/>
            <w:shd w:fill="F5F7FA" w:val="clear"/>
            <w:tcMar>
              <w:top w:type="dxa" w:w="80"/>
              <w:left w:type="dxa" w:w="110"/>
              <w:bottom w:type="dxa" w:w="80"/>
              <w:right w:type="dxa" w:w="110"/>
            </w:tcMar>
            <w:vAlign w:val="center"/>
          </w:tcPr>
          <w:p>
            <w:pPr>
              <w:spacing w:after="0" w:line="250"/>
            </w:pPr>
            <w:r>
              <w:rPr>
                <w:sz w:val="19"/>
                <w:szCs w:val="19"/>
              </w:rPr>
              <w:t xml:space="preserve">Black box</w:t>
            </w:r>
          </w:p>
        </w:tc>
        <w:tc>
          <w:tcPr>
            <w:tcW w:type="dxa" w:w="2900"/>
            <w:shd w:fill="F5F7FA" w:val="clear"/>
            <w:tcMar>
              <w:top w:type="dxa" w:w="80"/>
              <w:left w:type="dxa" w:w="110"/>
              <w:bottom w:type="dxa" w:w="80"/>
              <w:right w:type="dxa" w:w="110"/>
            </w:tcMar>
            <w:vAlign w:val="center"/>
          </w:tcPr>
          <w:p>
            <w:pPr>
              <w:spacing w:after="0" w:line="250"/>
            </w:pPr>
            <w:r>
              <w:rPr>
                <w:sz w:val="19"/>
                <w:szCs w:val="19"/>
              </w:rPr>
              <w:t xml:space="preserve">Un comité decide sin fórmula pública</w:t>
            </w:r>
          </w:p>
        </w:tc>
        <w:tc>
          <w:tcPr>
            <w:tcW w:type="dxa" w:w="2500"/>
            <w:shd w:fill="F5F7FA" w:val="clear"/>
            <w:tcMar>
              <w:top w:type="dxa" w:w="80"/>
              <w:left w:type="dxa" w:w="110"/>
              <w:bottom w:type="dxa" w:w="80"/>
              <w:right w:type="dxa" w:w="110"/>
            </w:tcMar>
            <w:vAlign w:val="center"/>
          </w:tcPr>
          <w:p>
            <w:pPr>
              <w:spacing w:after="0" w:line="250"/>
            </w:pPr>
            <w:r>
              <w:rPr>
                <w:sz w:val="19"/>
                <w:szCs w:val="19"/>
              </w:rPr>
              <w:t xml:space="preserve">Flexibilidad y criterio</w:t>
            </w:r>
          </w:p>
        </w:tc>
        <w:tc>
          <w:tcPr>
            <w:tcW w:type="dxa" w:w="2260"/>
            <w:shd w:fill="F5F7FA" w:val="clear"/>
            <w:tcMar>
              <w:top w:type="dxa" w:w="80"/>
              <w:left w:type="dxa" w:w="110"/>
              <w:bottom w:type="dxa" w:w="80"/>
              <w:right w:type="dxa" w:w="110"/>
            </w:tcMar>
            <w:vAlign w:val="center"/>
          </w:tcPr>
          <w:p>
            <w:pPr>
              <w:spacing w:after="0" w:line="250"/>
            </w:pPr>
            <w:r>
              <w:rPr>
                <w:sz w:val="19"/>
                <w:szCs w:val="19"/>
              </w:rPr>
              <w:t xml:space="preserve">Opacidad y política interna</w:t>
            </w:r>
          </w:p>
        </w:tc>
      </w:tr>
      <w:tr>
        <w:tc>
          <w:tcPr>
            <w:tcW w:type="dxa" w:w="1700"/>
            <w:shd w:fill="FFFFFF" w:val="clear"/>
            <w:tcMar>
              <w:top w:type="dxa" w:w="80"/>
              <w:left w:type="dxa" w:w="110"/>
              <w:bottom w:type="dxa" w:w="80"/>
              <w:right w:type="dxa" w:w="110"/>
            </w:tcMar>
            <w:vAlign w:val="center"/>
          </w:tcPr>
          <w:p>
            <w:pPr>
              <w:spacing w:after="0" w:line="250"/>
            </w:pPr>
            <w:r>
              <w:rPr>
                <w:sz w:val="19"/>
                <w:szCs w:val="19"/>
              </w:rPr>
              <w:t xml:space="preserve">Puntos / unidades</w:t>
            </w:r>
          </w:p>
        </w:tc>
        <w:tc>
          <w:tcPr>
            <w:tcW w:type="dxa" w:w="2900"/>
            <w:shd w:fill="FFFFFF" w:val="clear"/>
            <w:tcMar>
              <w:top w:type="dxa" w:w="80"/>
              <w:left w:type="dxa" w:w="110"/>
              <w:bottom w:type="dxa" w:w="80"/>
              <w:right w:type="dxa" w:w="110"/>
            </w:tcMar>
            <w:vAlign w:val="center"/>
          </w:tcPr>
          <w:p>
            <w:pPr>
              <w:spacing w:after="0" w:line="250"/>
            </w:pPr>
            <w:r>
              <w:rPr>
                <w:sz w:val="19"/>
                <w:szCs w:val="19"/>
              </w:rPr>
              <w:t xml:space="preserve">Cada dueño tiene N puntos; utilidad ÷ puntos totales</w:t>
            </w:r>
          </w:p>
        </w:tc>
        <w:tc>
          <w:tcPr>
            <w:tcW w:type="dxa" w:w="2500"/>
            <w:shd w:fill="FFFFFF" w:val="clear"/>
            <w:tcMar>
              <w:top w:type="dxa" w:w="80"/>
              <w:left w:type="dxa" w:w="110"/>
              <w:bottom w:type="dxa" w:w="80"/>
              <w:right w:type="dxa" w:w="110"/>
            </w:tcMar>
            <w:vAlign w:val="center"/>
          </w:tcPr>
          <w:p>
            <w:pPr>
              <w:spacing w:after="0" w:line="250"/>
            </w:pPr>
            <w:r>
              <w:rPr>
                <w:sz w:val="19"/>
                <w:szCs w:val="19"/>
              </w:rPr>
              <w:t xml:space="preserve">Transparencia mecánica</w:t>
            </w:r>
          </w:p>
        </w:tc>
        <w:tc>
          <w:tcPr>
            <w:tcW w:type="dxa" w:w="2260"/>
            <w:shd w:fill="FFFFFF" w:val="clear"/>
            <w:tcMar>
              <w:top w:type="dxa" w:w="80"/>
              <w:left w:type="dxa" w:w="110"/>
              <w:bottom w:type="dxa" w:w="80"/>
              <w:right w:type="dxa" w:w="110"/>
            </w:tcMar>
            <w:vAlign w:val="center"/>
          </w:tcPr>
          <w:p>
            <w:pPr>
              <w:spacing w:after="0" w:line="250"/>
            </w:pPr>
            <w:r>
              <w:rPr>
                <w:sz w:val="19"/>
                <w:szCs w:val="19"/>
              </w:rPr>
              <w:t xml:space="preserve">La asignación de puntos es la pelea</w:t>
            </w:r>
          </w:p>
        </w:tc>
      </w:tr>
    </w:tbl>
    <w:p>
      <w:pPr>
        <w:spacing w:after="160"/>
      </w:pPr>
    </w:p>
    <w:p>
      <w:pPr>
        <w:spacing w:after="140" w:line="276"/>
      </w:pPr>
      <w:r>
        <w:rPr>
          <w:b/>
          <w:bCs/>
          <w:sz w:val="21"/>
          <w:szCs w:val="21"/>
        </w:rPr>
        <w:t xml:space="preserve">Origination credit</w:t>
      </w:r>
      <w:r>
        <w:rPr>
          <w:sz w:val="21"/>
          <w:szCs w:val="21"/>
        </w:rPr>
        <w:t xml:space="preserve"> —el crédito por haber traído al cliente— es el concepto más disputado del sector. Las firmas maduras lo separan en tres: crédito de </w:t>
      </w:r>
      <w:r>
        <w:rPr>
          <w:b/>
          <w:bCs/>
          <w:sz w:val="21"/>
          <w:szCs w:val="21"/>
        </w:rPr>
        <w:t xml:space="preserve">origen</w:t>
      </w:r>
      <w:r>
        <w:rPr>
          <w:sz w:val="21"/>
          <w:szCs w:val="21"/>
        </w:rPr>
        <w:t xml:space="preserve">, crédito de </w:t>
      </w:r>
      <w:r>
        <w:rPr>
          <w:b/>
          <w:bCs/>
          <w:sz w:val="21"/>
          <w:szCs w:val="21"/>
        </w:rPr>
        <w:t xml:space="preserve">relación</w:t>
      </w:r>
      <w:r>
        <w:rPr>
          <w:sz w:val="21"/>
          <w:szCs w:val="21"/>
        </w:rPr>
        <w:t xml:space="preserve"> y crédito de </w:t>
      </w:r>
      <w:r>
        <w:rPr>
          <w:b/>
          <w:bCs/>
          <w:sz w:val="21"/>
          <w:szCs w:val="21"/>
        </w:rPr>
        <w:t xml:space="preserve">trabajo</w:t>
      </w:r>
      <w:r>
        <w:rPr>
          <w:sz w:val="21"/>
          <w:szCs w:val="21"/>
        </w:rPr>
        <w:t xml:space="preserve">, con porcentajes explícitos. Definirlo por escrito </w:t>
      </w:r>
      <w:r>
        <w:rPr>
          <w:i/>
          <w:iCs/>
          <w:sz w:val="21"/>
          <w:szCs w:val="21"/>
        </w:rPr>
        <w:t xml:space="preserve">antes</w:t>
      </w:r>
      <w:r>
        <w:rPr>
          <w:sz w:val="21"/>
          <w:szCs w:val="21"/>
        </w:rPr>
        <w:t xml:space="preserve"> de que haya dinero en juego evita la mayoría de las rupturas de sociedad.</w:t>
      </w:r>
    </w:p>
    <w:p>
      <w:pPr>
        <w:spacing w:after="12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lo que hay que decidir por escrito</w:t>
            </w:r>
          </w:p>
          <w:p>
            <w:pPr>
              <w:spacing w:after="90" w:line="264"/>
            </w:pPr>
            <w:r>
              <w:rPr>
                <w:sz w:val="21"/>
                <w:szCs w:val="21"/>
              </w:rPr>
              <w:t xml:space="preserve">En una PLLC pequeña esto parece prematuro. No lo es: es </w:t>
            </w:r>
            <w:r>
              <w:rPr>
                <w:b/>
                <w:bCs/>
                <w:sz w:val="21"/>
                <w:szCs w:val="21"/>
              </w:rPr>
              <w:t xml:space="preserve">exactamente ahora</w:t>
            </w:r>
            <w:r>
              <w:rPr>
                <w:sz w:val="21"/>
                <w:szCs w:val="21"/>
              </w:rPr>
              <w:t xml:space="preserve"> cuando se decide barato, porque todavía no hay un caso concreto de por medio que le ponga cara y apellido a la discusión.</w:t>
            </w:r>
          </w:p>
          <w:p>
            <w:pPr>
              <w:spacing w:after="90" w:line="264"/>
            </w:pPr>
            <w:r>
              <w:rPr>
                <w:b/>
                <w:bCs/>
                <w:sz w:val="21"/>
                <w:szCs w:val="21"/>
              </w:rPr>
              <w:t xml:space="preserve">Las cuatro preguntas que el Company Agreement debe responder:</w:t>
            </w:r>
          </w:p>
          <w:p>
            <w:pPr>
              <w:spacing w:after="90" w:line="264"/>
            </w:pPr>
            <w:r>
              <w:rPr>
                <w:b/>
                <w:bCs/>
                <w:sz w:val="21"/>
                <w:szCs w:val="21"/>
              </w:rPr>
              <w:t xml:space="preserve">1. ¿Cómo se paga a un miembro?</w:t>
            </w:r>
            <w:r>
              <w:rPr>
                <w:sz w:val="21"/>
                <w:szCs w:val="21"/>
              </w:rPr>
              <w:t xml:space="preserve"> La mezcla entre </w:t>
            </w:r>
            <w:r>
              <w:rPr>
                <w:i/>
                <w:iCs/>
                <w:sz w:val="21"/>
                <w:szCs w:val="21"/>
              </w:rPr>
              <w:t xml:space="preserve">guaranteed payment</w:t>
            </w:r>
            <w:r>
              <w:rPr>
                <w:sz w:val="21"/>
                <w:szCs w:val="21"/>
              </w:rPr>
              <w:t xml:space="preserve"> (pago fijo por el trabajo, deducible para la entidad) y </w:t>
            </w:r>
            <w:r>
              <w:rPr>
                <w:b/>
                <w:bCs/>
                <w:sz w:val="21"/>
                <w:szCs w:val="21"/>
              </w:rPr>
              <w:t xml:space="preserve">distribución</w:t>
            </w:r>
            <w:r>
              <w:rPr>
                <w:sz w:val="21"/>
                <w:szCs w:val="21"/>
              </w:rPr>
              <w:t xml:space="preserve"> (reparto de utilidad según participación). No es lo mismo fiscalmente ni psicológicamente.</w:t>
            </w:r>
          </w:p>
          <w:p>
            <w:pPr>
              <w:spacing w:after="90" w:line="264"/>
            </w:pPr>
            <w:r>
              <w:rPr>
                <w:b/>
                <w:bCs/>
                <w:sz w:val="21"/>
                <w:szCs w:val="21"/>
              </w:rPr>
              <w:t xml:space="preserve">2. ¿Qué pasa cuando entre alguien nuevo?</w:t>
            </w:r>
            <w:r>
              <w:rPr>
                <w:sz w:val="21"/>
                <w:szCs w:val="21"/>
              </w:rPr>
              <w:t xml:space="preserve"> Cómo se valora la participación, si hay periodo de prueba, qué se aporta y en cuánto tiempo.</w:t>
            </w:r>
          </w:p>
          <w:p>
            <w:pPr>
              <w:spacing w:after="90" w:line="264"/>
            </w:pPr>
            <w:r>
              <w:rPr>
                <w:b/>
                <w:bCs/>
                <w:sz w:val="21"/>
                <w:szCs w:val="21"/>
              </w:rPr>
              <w:t xml:space="preserve">3. ¿Qué pasa cuando alguien salga?</w:t>
            </w:r>
            <w:r>
              <w:rPr>
                <w:sz w:val="21"/>
                <w:szCs w:val="21"/>
              </w:rPr>
              <w:t xml:space="preserve"> Voluntariamente, por incapacidad o por fallecimiento. Quién se queda con qué clientes, cómo se liquida la participación, en cuántos pagos. Sin esto escrito, una salida imprevista puede paralizar la firma.</w:t>
            </w:r>
          </w:p>
          <w:p>
            <w:pPr>
              <w:spacing w:after="90" w:line="264"/>
            </w:pPr>
            <w:r>
              <w:rPr>
                <w:b/>
                <w:bCs/>
                <w:sz w:val="21"/>
                <w:szCs w:val="21"/>
              </w:rPr>
              <w:t xml:space="preserve">4. ¿Cómo se reconoce traer clientes?</w:t>
            </w:r>
            <w:r>
              <w:rPr>
                <w:sz w:val="21"/>
                <w:szCs w:val="21"/>
              </w:rPr>
              <w:t xml:space="preserve"> Aunque hoy el flujo venga sobre todo de marketing y no de una persona, en cuanto se incorpore un abogado con cartera propia esta pregunta llega sola. Mejor tener la respuesta antes que la pregunta.</w:t>
            </w:r>
          </w:p>
          <w:p>
            <w:pPr>
              <w:spacing w:after="90" w:line="264"/>
            </w:pPr>
            <w:r>
              <w:rPr>
                <w:b/>
                <w:bCs/>
                <w:sz w:val="21"/>
                <w:szCs w:val="21"/>
              </w:rPr>
              <w:t xml:space="preserve">Recomendación para nuestro perfil:</w:t>
            </w:r>
            <w:r>
              <w:rPr>
                <w:sz w:val="21"/>
                <w:szCs w:val="21"/>
              </w:rPr>
              <w:t xml:space="preserve"> un sistema de puntos simple y explícito, con un componente pequeño ligado a la generación de negocio. Transparente, mecánico, y revisable una vez al año en una fecha fija. Lo peor para una firma pequeña no es un reparto imperfecto — es un reparto que nadie ha escrito y que cada uno recuerda distinto.</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9. Capital, flujo de caja y cuenta fiduciaria</w:t>
      </w:r>
    </w:p>
    <w:p>
      <w:pPr>
        <w:spacing w:after="140" w:line="276"/>
      </w:pPr>
      <w:r>
        <w:rPr>
          <w:sz w:val="21"/>
          <w:szCs w:val="21"/>
        </w:rPr>
        <w:t xml:space="preserve">Una firma legal tiene un balance atípico, y eso define sus límites de crecimiento más que su demanda.</w:t>
      </w:r>
    </w:p>
    <w:p>
      <w:pPr>
        <w:pStyle w:val="Heading2"/>
        <w:spacing w:after="140" w:before="320"/>
      </w:pPr>
      <w:r>
        <w:rPr>
          <w:rFonts w:ascii="Calibri" w:cs="Calibri" w:eastAsia="Calibri" w:hAnsi="Calibri"/>
          <w:b/>
          <w:bCs/>
          <w:color w:val="1F3864"/>
          <w:sz w:val="25"/>
          <w:szCs w:val="25"/>
        </w:rPr>
        <w:t xml:space="preserve">9.1 El ciclo de conversión de caja</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Trabajo realizado -&gt; WIP -&gt; Factura emitida -&gt; Cuentas por cobrar -&gt; Cobro</w:t>
            </w:r>
          </w:p>
          <w:p>
            <w:pPr>
              <w:spacing w:after="0" w:line="216"/>
            </w:pPr>
            <w:r>
              <w:rPr>
                <w:rFonts w:ascii="Consolas" w:cs="Consolas" w:eastAsia="Consolas" w:hAnsi="Consolas"/>
                <w:sz w:val="15"/>
                <w:szCs w:val="15"/>
              </w:rPr>
              <w:t xml:space="preserve">     dia 0        dia 0-45      dia 45           dia 45-105</w:t>
            </w:r>
          </w:p>
          <w:p>
            <w:pPr>
              <w:spacing w:after="0" w:line="216"/>
            </w:pPr>
            <w:r>
              <w:rPr>
                <w:rFonts w:ascii="Consolas" w:cs="Consolas" w:eastAsia="Consolas" w:hAnsi="Consolas"/>
                <w:sz w:val="15"/>
                <w:szCs w:val="15"/>
              </w:rPr>
              <w:t xml:space="preserve">                  |___________________ LOCKUP ___________________|</w:t>
            </w:r>
          </w:p>
        </w:tc>
      </w:tr>
    </w:tbl>
    <w:p>
      <w:pPr>
        <w:spacing w:after="140"/>
      </w:pPr>
    </w:p>
    <w:p>
      <w:pPr>
        <w:spacing w:after="140" w:line="276"/>
      </w:pPr>
      <w:r>
        <w:rPr>
          <w:b/>
          <w:bCs/>
          <w:sz w:val="21"/>
          <w:szCs w:val="21"/>
        </w:rPr>
        <w:t xml:space="preserve">Lockup = días de trabajo en curso + días de cuentas por cobrar.</w:t>
      </w:r>
      <w:r>
        <w:rPr>
          <w:sz w:val="21"/>
          <w:szCs w:val="21"/>
        </w:rPr>
        <w:t xml:space="preserve"> Es el indicador de salud financiera más importante de una firma y el más ignorado.</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400"/>
        <w:gridCol w:w="6960"/>
      </w:tblGrid>
      <w:tr>
        <w:trPr>
          <w:tblHeader/>
        </w:trPr>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Lockup</w:t>
            </w:r>
          </w:p>
        </w:tc>
        <w:tc>
          <w:tcPr>
            <w:tcW w:type="dxa" w:w="6960"/>
            <w:shd w:fill="1F3864" w:val="clear"/>
            <w:tcMar>
              <w:top w:type="dxa" w:w="90"/>
              <w:left w:type="dxa" w:w="110"/>
              <w:bottom w:type="dxa" w:w="90"/>
              <w:right w:type="dxa" w:w="110"/>
            </w:tcMar>
          </w:tcPr>
          <w:p>
            <w:pPr>
              <w:spacing w:after="0" w:line="250"/>
            </w:pPr>
            <w:r>
              <w:rPr>
                <w:b/>
                <w:bCs/>
                <w:color w:val="FFFFFF"/>
                <w:sz w:val="19"/>
                <w:szCs w:val="19"/>
              </w:rPr>
              <w:t xml:space="preserve">Lectura</w:t>
            </w:r>
          </w:p>
        </w:tc>
      </w:tr>
      <w:tr>
        <w:tc>
          <w:tcPr>
            <w:tcW w:type="dxa" w:w="2400"/>
            <w:shd w:fill="FFFFFF" w:val="clear"/>
            <w:tcMar>
              <w:top w:type="dxa" w:w="80"/>
              <w:left w:type="dxa" w:w="110"/>
              <w:bottom w:type="dxa" w:w="80"/>
              <w:right w:type="dxa" w:w="110"/>
            </w:tcMar>
            <w:vAlign w:val="center"/>
          </w:tcPr>
          <w:p>
            <w:pPr>
              <w:spacing w:after="0" w:line="250"/>
            </w:pPr>
            <w:r>
              <w:rPr>
                <w:sz w:val="19"/>
                <w:szCs w:val="19"/>
              </w:rPr>
              <w:t xml:space="preserve">Menos de 60 días</w:t>
            </w:r>
          </w:p>
        </w:tc>
        <w:tc>
          <w:tcPr>
            <w:tcW w:type="dxa" w:w="6960"/>
            <w:shd w:fill="FFFFFF" w:val="clear"/>
            <w:tcMar>
              <w:top w:type="dxa" w:w="80"/>
              <w:left w:type="dxa" w:w="110"/>
              <w:bottom w:type="dxa" w:w="80"/>
              <w:right w:type="dxa" w:w="110"/>
            </w:tcMar>
            <w:vAlign w:val="center"/>
          </w:tcPr>
          <w:p>
            <w:pPr>
              <w:spacing w:after="0" w:line="250"/>
            </w:pPr>
            <w:r>
              <w:rPr>
                <w:sz w:val="19"/>
                <w:szCs w:val="19"/>
              </w:rPr>
              <w:t xml:space="preserve">Excelente</w:t>
            </w:r>
          </w:p>
        </w:tc>
      </w:tr>
      <w:tr>
        <w:tc>
          <w:tcPr>
            <w:tcW w:type="dxa" w:w="2400"/>
            <w:shd w:fill="F5F7FA" w:val="clear"/>
            <w:tcMar>
              <w:top w:type="dxa" w:w="80"/>
              <w:left w:type="dxa" w:w="110"/>
              <w:bottom w:type="dxa" w:w="80"/>
              <w:right w:type="dxa" w:w="110"/>
            </w:tcMar>
            <w:vAlign w:val="center"/>
          </w:tcPr>
          <w:p>
            <w:pPr>
              <w:spacing w:after="0" w:line="250"/>
            </w:pPr>
            <w:r>
              <w:rPr>
                <w:sz w:val="19"/>
                <w:szCs w:val="19"/>
              </w:rPr>
              <w:t xml:space="preserve">60 – 90 días</w:t>
            </w:r>
          </w:p>
        </w:tc>
        <w:tc>
          <w:tcPr>
            <w:tcW w:type="dxa" w:w="6960"/>
            <w:shd w:fill="F5F7FA" w:val="clear"/>
            <w:tcMar>
              <w:top w:type="dxa" w:w="80"/>
              <w:left w:type="dxa" w:w="110"/>
              <w:bottom w:type="dxa" w:w="80"/>
              <w:right w:type="dxa" w:w="110"/>
            </w:tcMar>
            <w:vAlign w:val="center"/>
          </w:tcPr>
          <w:p>
            <w:pPr>
              <w:spacing w:after="0" w:line="250"/>
            </w:pPr>
            <w:r>
              <w:rPr>
                <w:sz w:val="19"/>
                <w:szCs w:val="19"/>
              </w:rPr>
              <w:t xml:space="preserve">Saludable</w:t>
            </w:r>
          </w:p>
        </w:tc>
      </w:tr>
      <w:tr>
        <w:tc>
          <w:tcPr>
            <w:tcW w:type="dxa" w:w="2400"/>
            <w:shd w:fill="FFFFFF" w:val="clear"/>
            <w:tcMar>
              <w:top w:type="dxa" w:w="80"/>
              <w:left w:type="dxa" w:w="110"/>
              <w:bottom w:type="dxa" w:w="80"/>
              <w:right w:type="dxa" w:w="110"/>
            </w:tcMar>
            <w:vAlign w:val="center"/>
          </w:tcPr>
          <w:p>
            <w:pPr>
              <w:spacing w:after="0" w:line="250"/>
            </w:pPr>
            <w:r>
              <w:rPr>
                <w:sz w:val="19"/>
                <w:szCs w:val="19"/>
              </w:rPr>
              <w:t xml:space="preserve">90 – 120 días</w:t>
            </w:r>
          </w:p>
        </w:tc>
        <w:tc>
          <w:tcPr>
            <w:tcW w:type="dxa" w:w="6960"/>
            <w:shd w:fill="FFFFFF" w:val="clear"/>
            <w:tcMar>
              <w:top w:type="dxa" w:w="80"/>
              <w:left w:type="dxa" w:w="110"/>
              <w:bottom w:type="dxa" w:w="80"/>
              <w:right w:type="dxa" w:w="110"/>
            </w:tcMar>
            <w:vAlign w:val="center"/>
          </w:tcPr>
          <w:p>
            <w:pPr>
              <w:spacing w:after="0" w:line="250"/>
            </w:pPr>
            <w:r>
              <w:rPr>
                <w:sz w:val="19"/>
                <w:szCs w:val="19"/>
              </w:rPr>
              <w:t xml:space="preserve">Aceptable, con un costo de capital real</w:t>
            </w:r>
          </w:p>
        </w:tc>
      </w:tr>
      <w:tr>
        <w:tc>
          <w:tcPr>
            <w:tcW w:type="dxa" w:w="2400"/>
            <w:shd w:fill="F5F7FA" w:val="clear"/>
            <w:tcMar>
              <w:top w:type="dxa" w:w="80"/>
              <w:left w:type="dxa" w:w="110"/>
              <w:bottom w:type="dxa" w:w="80"/>
              <w:right w:type="dxa" w:w="110"/>
            </w:tcMar>
            <w:vAlign w:val="center"/>
          </w:tcPr>
          <w:p>
            <w:pPr>
              <w:spacing w:after="0" w:line="250"/>
            </w:pPr>
            <w:r>
              <w:rPr>
                <w:sz w:val="19"/>
                <w:szCs w:val="19"/>
              </w:rPr>
              <w:t xml:space="preserve">Más de 120 días</w:t>
            </w:r>
          </w:p>
        </w:tc>
        <w:tc>
          <w:tcPr>
            <w:tcW w:type="dxa" w:w="6960"/>
            <w:shd w:fill="F5F7FA" w:val="clear"/>
            <w:tcMar>
              <w:top w:type="dxa" w:w="80"/>
              <w:left w:type="dxa" w:w="110"/>
              <w:bottom w:type="dxa" w:w="80"/>
              <w:right w:type="dxa" w:w="110"/>
            </w:tcMar>
            <w:vAlign w:val="center"/>
          </w:tcPr>
          <w:p>
            <w:pPr>
              <w:spacing w:after="0" w:line="250"/>
            </w:pPr>
            <w:r>
              <w:rPr>
                <w:sz w:val="19"/>
                <w:szCs w:val="19"/>
              </w:rPr>
              <w:t xml:space="preserve">La firma está financiando gratis a sus clientes</w:t>
            </w:r>
          </w:p>
        </w:tc>
      </w:tr>
    </w:tbl>
    <w:p>
      <w:pPr>
        <w:spacing w:after="140"/>
      </w:pPr>
    </w:p>
    <w:p>
      <w:pPr>
        <w:spacing w:after="140" w:line="276"/>
      </w:pPr>
      <w:r>
        <w:rPr>
          <w:sz w:val="21"/>
          <w:szCs w:val="21"/>
        </w:rPr>
        <w:t xml:space="preserve">Cada 10 días de lockup en una firma de $10 M de ingreso equivalen a unos </w:t>
      </w:r>
      <w:r>
        <w:rPr>
          <w:b/>
          <w:bCs/>
          <w:sz w:val="21"/>
          <w:szCs w:val="21"/>
        </w:rPr>
        <w:t xml:space="preserve">$274,000 de caja inmovilizada</w:t>
      </w:r>
      <w:r>
        <w:rPr>
          <w:sz w:val="21"/>
          <w:szCs w:val="21"/>
        </w:rPr>
        <w:t xml:space="preserve">. En una firma de $1 M, son ~$27,400 — que en una firma de $1 M puede ser la diferencia entre poder contratar y no poder.</w:t>
      </w:r>
    </w:p>
    <w:p>
      <w:pPr>
        <w:pStyle w:val="Heading2"/>
        <w:spacing w:after="140" w:before="320"/>
      </w:pPr>
      <w:r>
        <w:rPr>
          <w:rFonts w:ascii="Calibri" w:cs="Calibri" w:eastAsia="Calibri" w:hAnsi="Calibri"/>
          <w:b/>
          <w:bCs/>
          <w:color w:val="1F3864"/>
          <w:sz w:val="25"/>
          <w:szCs w:val="25"/>
        </w:rPr>
        <w:t xml:space="preserve">9.2 Fuentes de capital</w:t>
      </w:r>
    </w:p>
    <w:p>
      <w:pPr>
        <w:pStyle w:val="ListParagraph"/>
        <w:numPr>
          <w:ilvl w:val="0"/>
          <w:numId w:val="2"/>
        </w:numPr>
        <w:spacing w:after="70" w:line="264"/>
      </w:pPr>
      <w:r>
        <w:rPr>
          <w:b/>
          <w:bCs/>
          <w:sz w:val="21"/>
          <w:szCs w:val="21"/>
        </w:rPr>
        <w:t xml:space="preserve">Aportes de los propietarios</w:t>
      </w:r>
      <w:r>
        <w:rPr>
          <w:sz w:val="21"/>
          <w:szCs w:val="21"/>
        </w:rPr>
        <w:t xml:space="preserve">, proporcionales a la participación.</w:t>
      </w:r>
    </w:p>
    <w:p>
      <w:pPr>
        <w:pStyle w:val="ListParagraph"/>
        <w:numPr>
          <w:ilvl w:val="0"/>
          <w:numId w:val="2"/>
        </w:numPr>
        <w:spacing w:after="70" w:line="264"/>
      </w:pPr>
      <w:r>
        <w:rPr>
          <w:b/>
          <w:bCs/>
          <w:sz w:val="21"/>
          <w:szCs w:val="21"/>
        </w:rPr>
        <w:t xml:space="preserve">Línea de crédito revolvente</w:t>
      </w:r>
      <w:r>
        <w:rPr>
          <w:sz w:val="21"/>
          <w:szCs w:val="21"/>
        </w:rPr>
        <w:t xml:space="preserve"> para nómina y estacionalidad. Es la herramienta correcta para un negocio con ingresos irregulares y costos fijos regulares.</w:t>
      </w:r>
    </w:p>
    <w:p>
      <w:pPr>
        <w:pStyle w:val="ListParagraph"/>
        <w:numPr>
          <w:ilvl w:val="0"/>
          <w:numId w:val="2"/>
        </w:numPr>
        <w:spacing w:after="70" w:line="264"/>
      </w:pPr>
      <w:r>
        <w:rPr>
          <w:b/>
          <w:bCs/>
          <w:sz w:val="21"/>
          <w:szCs w:val="21"/>
        </w:rPr>
        <w:t xml:space="preserve">Utilidades retenidas</w:t>
      </w:r>
      <w:r>
        <w:rPr>
          <w:sz w:val="21"/>
          <w:szCs w:val="21"/>
        </w:rPr>
        <w:t xml:space="preserve"> — prácticamente inexistentes por la fiscalidad pass-through. Esta es la restricción estructural de la Parte 1.</w:t>
      </w:r>
    </w:p>
    <w:p>
      <w:pPr>
        <w:pStyle w:val="ListParagraph"/>
        <w:numPr>
          <w:ilvl w:val="0"/>
          <w:numId w:val="2"/>
        </w:numPr>
        <w:spacing w:after="70" w:line="264"/>
      </w:pPr>
      <w:r>
        <w:rPr>
          <w:b/>
          <w:bCs/>
          <w:sz w:val="21"/>
          <w:szCs w:val="21"/>
        </w:rPr>
        <w:t xml:space="preserve">Inversión externa de no abogados</w:t>
      </w:r>
      <w:r>
        <w:rPr>
          <w:sz w:val="21"/>
          <w:szCs w:val="21"/>
        </w:rPr>
        <w:t xml:space="preserve"> — prohibida en la mayoría de los estados, incluido Texas (Parte 14).</w:t>
      </w:r>
    </w:p>
    <w:p>
      <w:pPr>
        <w:pStyle w:val="Heading2"/>
        <w:spacing w:after="140" w:before="320"/>
      </w:pPr>
      <w:r>
        <w:rPr>
          <w:rFonts w:ascii="Calibri" w:cs="Calibri" w:eastAsia="Calibri" w:hAnsi="Calibri"/>
          <w:b/>
          <w:bCs/>
          <w:color w:val="1F3864"/>
          <w:sz w:val="25"/>
          <w:szCs w:val="25"/>
        </w:rPr>
        <w:t xml:space="preserve">9.3 La cuenta fiduciaria (IOLTA)</w:t>
      </w:r>
    </w:p>
    <w:p>
      <w:pPr>
        <w:spacing w:after="140" w:line="276"/>
      </w:pPr>
      <w:r>
        <w:rPr>
          <w:sz w:val="21"/>
          <w:szCs w:val="21"/>
        </w:rPr>
        <w:t xml:space="preserve">Los fondos del cliente —anticipos aún no devengados, fondos de acuerdos— se mantienen en una cuenta </w:t>
      </w:r>
      <w:r>
        <w:rPr>
          <w:b/>
          <w:bCs/>
          <w:sz w:val="21"/>
          <w:szCs w:val="21"/>
        </w:rPr>
        <w:t xml:space="preserve">IOLTA</w:t>
      </w:r>
      <w:r>
        <w:rPr>
          <w:sz w:val="21"/>
          <w:szCs w:val="21"/>
        </w:rPr>
        <w:t xml:space="preserve"> separada de la operativa. </w:t>
      </w:r>
      <w:r>
        <w:rPr>
          <w:b/>
          <w:bCs/>
          <w:sz w:val="21"/>
          <w:szCs w:val="21"/>
        </w:rPr>
        <w:t xml:space="preserve">No son ingreso de la firma hasta que se devengan.</w:t>
      </w:r>
    </w:p>
    <w:p>
      <w:pPr>
        <w:spacing w:after="8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Aplicación a nuestra firma — el punto de mayor riesgo operativo del documento</w:t>
            </w:r>
          </w:p>
          <w:p>
            <w:pPr>
              <w:spacing w:after="90" w:line="264"/>
            </w:pPr>
            <w:r>
              <w:rPr>
                <w:sz w:val="21"/>
                <w:szCs w:val="21"/>
              </w:rPr>
              <w:t xml:space="preserve">En una práctica de inmigración a precio cerrado con planes de pago, la gestión de la cuenta fiduciaria </w:t>
            </w:r>
            <w:r>
              <w:rPr>
                <w:b/>
                <w:bCs/>
                <w:sz w:val="21"/>
                <w:szCs w:val="21"/>
              </w:rPr>
              <w:t xml:space="preserve">no es un detalle contable: es el riesgo de licencia número uno.</w:t>
            </w:r>
          </w:p>
          <w:p>
            <w:pPr>
              <w:spacing w:after="90" w:line="264"/>
            </w:pPr>
            <w:r>
              <w:rPr>
                <w:sz w:val="21"/>
                <w:szCs w:val="21"/>
              </w:rPr>
              <w:t xml:space="preserve">La razón es estructural. El cliente paga por adelantado, a menudo en cuotas, por un trabajo que se entregará durante meses o años. Cada dólar recibido y aún no devengado es dinero del cliente, no de la firma. La tentación —y el error honesto más común en firmas pequeñas— es tratar la cuenta operativa y la fiduciaria como comunicantes cuando el mes viene apretado.</w:t>
            </w:r>
          </w:p>
          <w:p>
            <w:pPr>
              <w:spacing w:after="90" w:line="264"/>
            </w:pPr>
            <w:r>
              <w:rPr>
                <w:b/>
                <w:bCs/>
                <w:sz w:val="21"/>
                <w:szCs w:val="21"/>
              </w:rPr>
              <w:t xml:space="preserve">Los cuatro controles que deberían estar escritos y ser verificables:</w:t>
            </w:r>
          </w:p>
          <w:p>
            <w:pPr>
              <w:spacing w:after="90" w:line="264"/>
            </w:pPr>
            <w:r>
              <w:rPr>
                <w:b/>
                <w:bCs/>
                <w:sz w:val="21"/>
                <w:szCs w:val="21"/>
              </w:rPr>
              <w:t xml:space="preserve">1. Conciliación de tres vías, mensual y con fecha.</w:t>
            </w:r>
            <w:r>
              <w:rPr>
                <w:sz w:val="21"/>
                <w:szCs w:val="21"/>
              </w:rPr>
              <w:t xml:space="preserve"> Extracto bancario, libro mayor de la cuenta y suma de los saldos individuales por cliente. Los tres números deben coincidir. Si no coinciden, se investiga ese mes, no el siguiente.</w:t>
            </w:r>
          </w:p>
          <w:p>
            <w:pPr>
              <w:spacing w:after="90" w:line="264"/>
            </w:pPr>
            <w:r>
              <w:rPr>
                <w:b/>
                <w:bCs/>
                <w:sz w:val="21"/>
                <w:szCs w:val="21"/>
              </w:rPr>
              <w:t xml:space="preserve">2. Un criterio escrito de devengo.</w:t>
            </w:r>
            <w:r>
              <w:rPr>
                <w:sz w:val="21"/>
                <w:szCs w:val="21"/>
              </w:rPr>
              <w:t xml:space="preserve"> Definir por tipo de caso en qué hitos el honorario se considera ganado y puede transferirse a la operativa (por ejemplo: firma del contrato / preparación completa / presentación / resolución). Sin hitos escritos, la transferencia se hace por intuición y la intuición no se puede auditar.</w:t>
            </w:r>
          </w:p>
          <w:p>
            <w:pPr>
              <w:spacing w:after="90" w:line="264"/>
            </w:pPr>
            <w:r>
              <w:rPr>
                <w:b/>
                <w:bCs/>
                <w:sz w:val="21"/>
                <w:szCs w:val="21"/>
              </w:rPr>
              <w:t xml:space="preserve">3. Cero desembolsos desde la fiduciaria que no sean del cliente titular de esos fondos.</w:t>
            </w:r>
            <w:r>
              <w:rPr>
                <w:sz w:val="21"/>
                <w:szCs w:val="21"/>
              </w:rPr>
              <w:t xml:space="preserve"> Ni tasas de otro caso, ni gastos de la firma, ni siquiera temporalmente.</w:t>
            </w:r>
          </w:p>
          <w:p>
            <w:pPr>
              <w:spacing w:after="90" w:line="264"/>
            </w:pPr>
            <w:r>
              <w:rPr>
                <w:b/>
                <w:bCs/>
                <w:sz w:val="21"/>
                <w:szCs w:val="21"/>
              </w:rPr>
              <w:t xml:space="preserve">4. Separación de funciones donde sea posible.</w:t>
            </w:r>
            <w:r>
              <w:rPr>
                <w:sz w:val="21"/>
                <w:szCs w:val="21"/>
              </w:rPr>
              <w:t xml:space="preserve"> Quien concilia no debería ser quien transfiere. En un equipo pequeño no siempre se puede, pero se puede al menos hacer que un segundo par de ojos revise la conciliación mensual.</w:t>
            </w:r>
          </w:p>
          <w:p>
            <w:pPr>
              <w:spacing w:after="90" w:line="264"/>
            </w:pPr>
            <w:r>
              <w:rPr>
                <w:b/>
                <w:bCs/>
                <w:sz w:val="21"/>
                <w:szCs w:val="21"/>
              </w:rPr>
              <w:t xml:space="preserve">Nota sobre las tasas gubernamentales:</w:t>
            </w:r>
            <w:r>
              <w:rPr>
                <w:sz w:val="21"/>
                <w:szCs w:val="21"/>
              </w:rPr>
              <w:t xml:space="preserve"> el dinero que el cliente entrega para tasas de USCIS o EOIR es suyo hasta que se paga la tasa. Nunca es ingreso de la firma y no debe aparecer como tal en ninguna proyección.</w:t>
            </w:r>
          </w:p>
        </w:tc>
      </w:tr>
    </w:tbl>
    <w:p>
      <w:pPr>
        <w:spacing w:after="140"/>
      </w:pPr>
    </w:p>
    <w:p>
      <w:pPr>
        <w:pStyle w:val="Heading3"/>
        <w:spacing w:after="100" w:before="240"/>
      </w:pPr>
      <w:r>
        <w:rPr>
          <w:rFonts w:ascii="Calibri" w:cs="Calibri" w:eastAsia="Calibri" w:hAnsi="Calibri"/>
          <w:b/>
          <w:bCs/>
          <w:color w:val="44546A"/>
          <w:sz w:val="22"/>
          <w:szCs w:val="22"/>
        </w:rPr>
        <w:t xml:space="preserve">Implicación para las proyecciones</w:t>
      </w:r>
    </w:p>
    <w:p>
      <w:pPr>
        <w:spacing w:after="140" w:line="276"/>
      </w:pPr>
      <w:r>
        <w:rPr>
          <w:b/>
          <w:bCs/>
          <w:sz w:val="21"/>
          <w:szCs w:val="21"/>
        </w:rPr>
        <w:t xml:space="preserve">El saldo de la IOLTA no es liquidez de la firma.</w:t>
      </w:r>
      <w:r>
        <w:rPr>
          <w:sz w:val="21"/>
          <w:szCs w:val="21"/>
        </w:rPr>
        <w:t xml:space="preserve"> Una proyección de caja que lo incluya está inflada. La caja disponible es la de la cuenta operativa, punto.</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10. Tipologías de firma como modelos de negocio</w:t>
      </w:r>
    </w:p>
    <w:p>
      <w:pPr>
        <w:spacing w:after="140" w:line="276"/>
      </w:pPr>
      <w:r>
        <w:rPr>
          <w:sz w:val="21"/>
          <w:szCs w:val="21"/>
        </w:rPr>
        <w:t xml:space="preserve">La clasificación clásica del sector, ampliada con las variables que de verdad cambian el negocio.</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900"/>
        <w:gridCol w:w="1500"/>
        <w:gridCol w:w="1600"/>
        <w:gridCol w:w="1500"/>
        <w:gridCol w:w="1600"/>
        <w:gridCol w:w="1260"/>
      </w:tblGrid>
      <w:tr>
        <w:trPr>
          <w:tblHeader/>
        </w:trPr>
        <w:tc>
          <w:tcPr>
            <w:tcW w:type="dxa" w:w="1900"/>
            <w:shd w:fill="1F3864" w:val="clear"/>
            <w:tcMar>
              <w:top w:type="dxa" w:w="90"/>
              <w:left w:type="dxa" w:w="110"/>
              <w:bottom w:type="dxa" w:w="90"/>
              <w:right w:type="dxa" w:w="110"/>
            </w:tcMar>
          </w:tcPr>
          <w:p>
            <w:pPr>
              <w:spacing w:after="0" w:line="250"/>
            </w:pPr>
            <w:r>
              <w:rPr>
                <w:b/>
                <w:bCs/>
                <w:color w:val="FFFFFF"/>
                <w:sz w:val="19"/>
                <w:szCs w:val="19"/>
              </w:rPr>
              <w:t xml:space="preserve">Tipo</w:t>
            </w:r>
          </w:p>
        </w:tc>
        <w:tc>
          <w:tcPr>
            <w:tcW w:type="dxa" w:w="1500"/>
            <w:shd w:fill="1F3864" w:val="clear"/>
            <w:tcMar>
              <w:top w:type="dxa" w:w="90"/>
              <w:left w:type="dxa" w:w="110"/>
              <w:bottom w:type="dxa" w:w="90"/>
              <w:right w:type="dxa" w:w="110"/>
            </w:tcMar>
          </w:tcPr>
          <w:p>
            <w:pPr>
              <w:spacing w:after="0" w:line="250"/>
            </w:pPr>
            <w:r>
              <w:rPr>
                <w:b/>
                <w:bCs/>
                <w:color w:val="FFFFFF"/>
                <w:sz w:val="19"/>
                <w:szCs w:val="19"/>
              </w:rPr>
              <w:t xml:space="preserve">Tamaño</w:t>
            </w:r>
          </w:p>
        </w:tc>
        <w:tc>
          <w:tcPr>
            <w:tcW w:type="dxa" w:w="1600"/>
            <w:shd w:fill="1F3864" w:val="clear"/>
            <w:tcMar>
              <w:top w:type="dxa" w:w="90"/>
              <w:left w:type="dxa" w:w="110"/>
              <w:bottom w:type="dxa" w:w="90"/>
              <w:right w:type="dxa" w:w="110"/>
            </w:tcMar>
          </w:tcPr>
          <w:p>
            <w:pPr>
              <w:spacing w:after="0" w:line="250"/>
            </w:pPr>
            <w:r>
              <w:rPr>
                <w:b/>
                <w:bCs/>
                <w:color w:val="FFFFFF"/>
                <w:sz w:val="19"/>
                <w:szCs w:val="19"/>
              </w:rPr>
              <w:t xml:space="preserve">Modelo de ingreso</w:t>
            </w:r>
          </w:p>
        </w:tc>
        <w:tc>
          <w:tcPr>
            <w:tcW w:type="dxa" w:w="1500"/>
            <w:shd w:fill="1F3864" w:val="clear"/>
            <w:tcMar>
              <w:top w:type="dxa" w:w="90"/>
              <w:left w:type="dxa" w:w="110"/>
              <w:bottom w:type="dxa" w:w="90"/>
              <w:right w:type="dxa" w:w="110"/>
            </w:tcMar>
          </w:tcPr>
          <w:p>
            <w:pPr>
              <w:spacing w:after="0" w:line="250"/>
            </w:pPr>
            <w:r>
              <w:rPr>
                <w:b/>
                <w:bCs/>
                <w:color w:val="FFFFFF"/>
                <w:sz w:val="19"/>
                <w:szCs w:val="19"/>
              </w:rPr>
              <w:t xml:space="preserve">Apalancamiento</w:t>
            </w:r>
          </w:p>
        </w:tc>
        <w:tc>
          <w:tcPr>
            <w:tcW w:type="dxa" w:w="1600"/>
            <w:shd w:fill="1F3864" w:val="clear"/>
            <w:tcMar>
              <w:top w:type="dxa" w:w="90"/>
              <w:left w:type="dxa" w:w="110"/>
              <w:bottom w:type="dxa" w:w="90"/>
              <w:right w:type="dxa" w:w="110"/>
            </w:tcMar>
          </w:tcPr>
          <w:p>
            <w:pPr>
              <w:spacing w:after="0" w:line="250"/>
            </w:pPr>
            <w:r>
              <w:rPr>
                <w:b/>
                <w:bCs/>
                <w:color w:val="FFFFFF"/>
                <w:sz w:val="19"/>
                <w:szCs w:val="19"/>
              </w:rPr>
              <w:t xml:space="preserve">Marketing</w:t>
            </w:r>
          </w:p>
        </w:tc>
        <w:tc>
          <w:tcPr>
            <w:tcW w:type="dxa" w:w="1260"/>
            <w:shd w:fill="1F3864" w:val="clear"/>
            <w:tcMar>
              <w:top w:type="dxa" w:w="90"/>
              <w:left w:type="dxa" w:w="110"/>
              <w:bottom w:type="dxa" w:w="90"/>
              <w:right w:type="dxa" w:w="110"/>
            </w:tcMar>
          </w:tcPr>
          <w:p>
            <w:pPr>
              <w:spacing w:after="0" w:line="250"/>
            </w:pPr>
            <w:r>
              <w:rPr>
                <w:b/>
                <w:bCs/>
                <w:color w:val="FFFFFF"/>
                <w:sz w:val="19"/>
                <w:szCs w:val="19"/>
              </w:rPr>
              <w:t xml:space="preserve">Métrica dominante</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BigLaw</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500+ abogados, global</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Horas, portfolio</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Alto (4:1+)</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Rankings, paneles, relaciones</w:t>
            </w:r>
          </w:p>
        </w:tc>
        <w:tc>
          <w:tcPr>
            <w:tcW w:type="dxa" w:w="1260"/>
            <w:shd w:fill="FFFFFF" w:val="clear"/>
            <w:tcMar>
              <w:top w:type="dxa" w:w="80"/>
              <w:left w:type="dxa" w:w="110"/>
              <w:bottom w:type="dxa" w:w="80"/>
              <w:right w:type="dxa" w:w="110"/>
            </w:tcMar>
            <w:vAlign w:val="center"/>
          </w:tcPr>
          <w:p>
            <w:pPr>
              <w:spacing w:after="0" w:line="250"/>
            </w:pPr>
            <w:r>
              <w:rPr>
                <w:sz w:val="19"/>
                <w:szCs w:val="19"/>
              </w:rPr>
              <w:t xml:space="preserve">PEP, ingreso por abogado</w:t>
            </w:r>
          </w:p>
        </w:tc>
      </w:tr>
      <w:tr>
        <w:tc>
          <w:tcPr>
            <w:tcW w:type="dxa" w:w="1900"/>
            <w:shd w:fill="F5F7FA" w:val="clear"/>
            <w:tcMar>
              <w:top w:type="dxa" w:w="80"/>
              <w:left w:type="dxa" w:w="110"/>
              <w:bottom w:type="dxa" w:w="80"/>
              <w:right w:type="dxa" w:w="110"/>
            </w:tcMar>
            <w:vAlign w:val="center"/>
          </w:tcPr>
          <w:p>
            <w:pPr>
              <w:spacing w:after="0" w:line="250"/>
            </w:pPr>
            <w:r>
              <w:rPr>
                <w:b/>
                <w:bCs/>
                <w:sz w:val="19"/>
                <w:szCs w:val="19"/>
              </w:rPr>
              <w:t xml:space="preserve">Boutique</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5–50, un área</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Horas premium, éxito</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Bajo (1:1)</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Reputación, referidos de pares</w:t>
            </w:r>
          </w:p>
        </w:tc>
        <w:tc>
          <w:tcPr>
            <w:tcW w:type="dxa" w:w="1260"/>
            <w:shd w:fill="F5F7FA" w:val="clear"/>
            <w:tcMar>
              <w:top w:type="dxa" w:w="80"/>
              <w:left w:type="dxa" w:w="110"/>
              <w:bottom w:type="dxa" w:w="80"/>
              <w:right w:type="dxa" w:w="110"/>
            </w:tcMar>
            <w:vAlign w:val="center"/>
          </w:tcPr>
          <w:p>
            <w:pPr>
              <w:spacing w:after="0" w:line="250"/>
            </w:pPr>
            <w:r>
              <w:rPr>
                <w:sz w:val="19"/>
                <w:szCs w:val="19"/>
              </w:rPr>
              <w:t xml:space="preserve">Tarifa efectiva, margen por asunto</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Mid-size regional</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50–200, multiárea</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Mixto</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Medio (2:1)</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Comunidad empresarial local</w:t>
            </w:r>
          </w:p>
        </w:tc>
        <w:tc>
          <w:tcPr>
            <w:tcW w:type="dxa" w:w="1260"/>
            <w:shd w:fill="FFFFFF" w:val="clear"/>
            <w:tcMar>
              <w:top w:type="dxa" w:w="80"/>
              <w:left w:type="dxa" w:w="110"/>
              <w:bottom w:type="dxa" w:w="80"/>
              <w:right w:type="dxa" w:w="110"/>
            </w:tcMar>
            <w:vAlign w:val="center"/>
          </w:tcPr>
          <w:p>
            <w:pPr>
              <w:spacing w:after="0" w:line="250"/>
            </w:pPr>
            <w:r>
              <w:rPr>
                <w:sz w:val="19"/>
                <w:szCs w:val="19"/>
              </w:rPr>
              <w:t xml:space="preserve">Utilización, realización</w:t>
            </w:r>
          </w:p>
        </w:tc>
      </w:tr>
      <w:tr>
        <w:tc>
          <w:tcPr>
            <w:tcW w:type="dxa" w:w="1900"/>
            <w:shd w:fill="F5F7FA" w:val="clear"/>
            <w:tcMar>
              <w:top w:type="dxa" w:w="80"/>
              <w:left w:type="dxa" w:w="110"/>
              <w:bottom w:type="dxa" w:w="80"/>
              <w:right w:type="dxa" w:w="110"/>
            </w:tcMar>
            <w:vAlign w:val="center"/>
          </w:tcPr>
          <w:p>
            <w:pPr>
              <w:spacing w:after="0" w:line="250"/>
            </w:pPr>
            <w:r>
              <w:rPr>
                <w:b/>
                <w:bCs/>
                <w:sz w:val="19"/>
                <w:szCs w:val="19"/>
              </w:rPr>
              <w:t xml:space="preserve">Small / solo</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1–10</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Flat fee, horas</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Muy bajo</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Referidos, local, SEO</w:t>
            </w:r>
          </w:p>
        </w:tc>
        <w:tc>
          <w:tcPr>
            <w:tcW w:type="dxa" w:w="1260"/>
            <w:shd w:fill="F5F7FA" w:val="clear"/>
            <w:tcMar>
              <w:top w:type="dxa" w:w="80"/>
              <w:left w:type="dxa" w:w="110"/>
              <w:bottom w:type="dxa" w:w="80"/>
              <w:right w:type="dxa" w:w="110"/>
            </w:tcMar>
            <w:vAlign w:val="center"/>
          </w:tcPr>
          <w:p>
            <w:pPr>
              <w:spacing w:after="0" w:line="250"/>
            </w:pPr>
            <w:r>
              <w:rPr>
                <w:sz w:val="19"/>
                <w:szCs w:val="19"/>
              </w:rPr>
              <w:t xml:space="preserve">Ingreso por abogado, cobranza</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Plaintiff / contingencia</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5–100</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Contingencia</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Medio, con paralegales</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Publicidad masiva</w:t>
            </w:r>
          </w:p>
        </w:tc>
        <w:tc>
          <w:tcPr>
            <w:tcW w:type="dxa" w:w="1260"/>
            <w:shd w:fill="FFFFFF" w:val="clear"/>
            <w:tcMar>
              <w:top w:type="dxa" w:w="80"/>
              <w:left w:type="dxa" w:w="110"/>
              <w:bottom w:type="dxa" w:w="80"/>
              <w:right w:type="dxa" w:w="110"/>
            </w:tcMar>
            <w:vAlign w:val="center"/>
          </w:tcPr>
          <w:p>
            <w:pPr>
              <w:spacing w:after="0" w:line="250"/>
            </w:pPr>
            <w:r>
              <w:rPr>
                <w:sz w:val="19"/>
                <w:szCs w:val="19"/>
              </w:rPr>
              <w:t xml:space="preserve">Valor esperado de cartera</w:t>
            </w:r>
          </w:p>
        </w:tc>
      </w:tr>
      <w:tr>
        <w:tc>
          <w:tcPr>
            <w:tcW w:type="dxa" w:w="1900"/>
            <w:shd w:fill="F5F7FA" w:val="clear"/>
            <w:tcMar>
              <w:top w:type="dxa" w:w="80"/>
              <w:left w:type="dxa" w:w="110"/>
              <w:bottom w:type="dxa" w:w="80"/>
              <w:right w:type="dxa" w:w="110"/>
            </w:tcMar>
            <w:vAlign w:val="center"/>
          </w:tcPr>
          <w:p>
            <w:pPr>
              <w:spacing w:after="0" w:line="250"/>
            </w:pPr>
            <w:r>
              <w:rPr>
                <w:b/>
                <w:bCs/>
                <w:sz w:val="19"/>
                <w:szCs w:val="19"/>
              </w:rPr>
              <w:t xml:space="preserve">Consumidor de alto volumen</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5–100</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Flat fee</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Alto en paralegales</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SEO / PPC / comunidad</w:t>
            </w:r>
          </w:p>
        </w:tc>
        <w:tc>
          <w:tcPr>
            <w:tcW w:type="dxa" w:w="1260"/>
            <w:shd w:fill="F5F7FA" w:val="clear"/>
            <w:tcMar>
              <w:top w:type="dxa" w:w="80"/>
              <w:left w:type="dxa" w:w="110"/>
              <w:bottom w:type="dxa" w:w="80"/>
              <w:right w:type="dxa" w:w="110"/>
            </w:tcMar>
            <w:vAlign w:val="center"/>
          </w:tcPr>
          <w:p>
            <w:pPr>
              <w:spacing w:after="0" w:line="250"/>
            </w:pPr>
            <w:r>
              <w:rPr>
                <w:b/>
                <w:bCs/>
                <w:sz w:val="19"/>
                <w:szCs w:val="19"/>
              </w:rPr>
              <w:t xml:space="preserve">CAC, casos por mes, margen por caso</w:t>
            </w:r>
          </w:p>
        </w:tc>
      </w:tr>
      <w:tr>
        <w:tc>
          <w:tcPr>
            <w:tcW w:type="dxa" w:w="1900"/>
            <w:shd w:fill="FFFFFF" w:val="clear"/>
            <w:tcMar>
              <w:top w:type="dxa" w:w="80"/>
              <w:left w:type="dxa" w:w="110"/>
              <w:bottom w:type="dxa" w:w="80"/>
              <w:right w:type="dxa" w:w="110"/>
            </w:tcMar>
            <w:vAlign w:val="center"/>
          </w:tcPr>
          <w:p>
            <w:pPr>
              <w:spacing w:after="0" w:line="250"/>
            </w:pPr>
            <w:r>
              <w:rPr>
                <w:b/>
                <w:bCs/>
                <w:sz w:val="19"/>
                <w:szCs w:val="19"/>
              </w:rPr>
              <w:t xml:space="preserve">Virtual / distribuida</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Variable</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Reparto con el abogado</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Nulo</w:t>
            </w:r>
          </w:p>
        </w:tc>
        <w:tc>
          <w:tcPr>
            <w:tcW w:type="dxa" w:w="1600"/>
            <w:shd w:fill="FFFFFF" w:val="clear"/>
            <w:tcMar>
              <w:top w:type="dxa" w:w="80"/>
              <w:left w:type="dxa" w:w="110"/>
              <w:bottom w:type="dxa" w:w="80"/>
              <w:right w:type="dxa" w:w="110"/>
            </w:tcMar>
            <w:vAlign w:val="center"/>
          </w:tcPr>
          <w:p>
            <w:pPr>
              <w:spacing w:after="0" w:line="250"/>
            </w:pPr>
            <w:r>
              <w:rPr>
                <w:sz w:val="19"/>
                <w:szCs w:val="19"/>
              </w:rPr>
              <w:t xml:space="preserve">Marca de plataforma</w:t>
            </w:r>
          </w:p>
        </w:tc>
        <w:tc>
          <w:tcPr>
            <w:tcW w:type="dxa" w:w="1260"/>
            <w:shd w:fill="FFFFFF" w:val="clear"/>
            <w:tcMar>
              <w:top w:type="dxa" w:w="80"/>
              <w:left w:type="dxa" w:w="110"/>
              <w:bottom w:type="dxa" w:w="80"/>
              <w:right w:type="dxa" w:w="110"/>
            </w:tcMar>
            <w:vAlign w:val="center"/>
          </w:tcPr>
          <w:p>
            <w:pPr>
              <w:spacing w:after="0" w:line="250"/>
            </w:pPr>
            <w:r>
              <w:rPr>
                <w:sz w:val="19"/>
                <w:szCs w:val="19"/>
              </w:rPr>
              <w:t xml:space="preserve">% de retención de la plataforma</w:t>
            </w:r>
          </w:p>
        </w:tc>
      </w:tr>
      <w:tr>
        <w:tc>
          <w:tcPr>
            <w:tcW w:type="dxa" w:w="1900"/>
            <w:shd w:fill="F5F7FA" w:val="clear"/>
            <w:tcMar>
              <w:top w:type="dxa" w:w="80"/>
              <w:left w:type="dxa" w:w="110"/>
              <w:bottom w:type="dxa" w:w="80"/>
              <w:right w:type="dxa" w:w="110"/>
            </w:tcMar>
            <w:vAlign w:val="center"/>
          </w:tcPr>
          <w:p>
            <w:pPr>
              <w:spacing w:after="0" w:line="250"/>
            </w:pPr>
            <w:r>
              <w:rPr>
                <w:b/>
                <w:bCs/>
                <w:sz w:val="19"/>
                <w:szCs w:val="19"/>
              </w:rPr>
              <w:t xml:space="preserve">ALSP / servicios</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Variable</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Precio por unidad</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Muy alto, no abogados</w:t>
            </w:r>
          </w:p>
        </w:tc>
        <w:tc>
          <w:tcPr>
            <w:tcW w:type="dxa" w:w="1600"/>
            <w:shd w:fill="F5F7FA" w:val="clear"/>
            <w:tcMar>
              <w:top w:type="dxa" w:w="80"/>
              <w:left w:type="dxa" w:w="110"/>
              <w:bottom w:type="dxa" w:w="80"/>
              <w:right w:type="dxa" w:w="110"/>
            </w:tcMar>
            <w:vAlign w:val="center"/>
          </w:tcPr>
          <w:p>
            <w:pPr>
              <w:spacing w:after="0" w:line="250"/>
            </w:pPr>
            <w:r>
              <w:rPr>
                <w:sz w:val="19"/>
                <w:szCs w:val="19"/>
              </w:rPr>
              <w:t xml:space="preserve">B2B directo</w:t>
            </w:r>
          </w:p>
        </w:tc>
        <w:tc>
          <w:tcPr>
            <w:tcW w:type="dxa" w:w="1260"/>
            <w:shd w:fill="F5F7FA" w:val="clear"/>
            <w:tcMar>
              <w:top w:type="dxa" w:w="80"/>
              <w:left w:type="dxa" w:w="110"/>
              <w:bottom w:type="dxa" w:w="80"/>
              <w:right w:type="dxa" w:w="110"/>
            </w:tcMar>
            <w:vAlign w:val="center"/>
          </w:tcPr>
          <w:p>
            <w:pPr>
              <w:spacing w:after="0" w:line="250"/>
            </w:pPr>
            <w:r>
              <w:rPr>
                <w:sz w:val="19"/>
                <w:szCs w:val="19"/>
              </w:rPr>
              <w:t xml:space="preserve">Costo por unidad entregada</w:t>
            </w:r>
          </w:p>
        </w:tc>
      </w:tr>
    </w:tbl>
    <w:p>
      <w:pPr>
        <w:spacing w:after="160"/>
      </w:pPr>
    </w:p>
    <w:p>
      <w:pPr>
        <w:pStyle w:val="Heading3"/>
        <w:spacing w:after="100" w:before="240"/>
      </w:pPr>
      <w:r>
        <w:rPr>
          <w:rFonts w:ascii="Calibri" w:cs="Calibri" w:eastAsia="Calibri" w:hAnsi="Calibri"/>
          <w:b/>
          <w:bCs/>
          <w:color w:val="44546A"/>
          <w:sz w:val="22"/>
          <w:szCs w:val="22"/>
        </w:rPr>
        <w:t xml:space="preserve">Las cuatro categorías clásicas, descritas</w:t>
      </w:r>
    </w:p>
    <w:p>
      <w:pPr>
        <w:pStyle w:val="ListParagraph"/>
        <w:numPr>
          <w:ilvl w:val="0"/>
          <w:numId w:val="2"/>
        </w:numPr>
        <w:spacing w:after="70" w:line="264"/>
      </w:pPr>
      <w:r>
        <w:rPr>
          <w:b/>
          <w:bCs/>
          <w:sz w:val="21"/>
          <w:szCs w:val="21"/>
        </w:rPr>
        <w:t xml:space="preserve">BigLaw</w:t>
      </w:r>
      <w:r>
        <w:rPr>
          <w:sz w:val="21"/>
          <w:szCs w:val="21"/>
        </w:rPr>
        <w:t xml:space="preserve"> — grandes firmas globales de 500+ abogados. Salarios tabulados (</w:t>
      </w:r>
      <w:r>
        <w:rPr>
          <w:i/>
          <w:iCs/>
          <w:sz w:val="21"/>
          <w:szCs w:val="21"/>
        </w:rPr>
        <w:t xml:space="preserve">Cravath scale</w:t>
      </w:r>
      <w:r>
        <w:rPr>
          <w:sz w:val="21"/>
          <w:szCs w:val="21"/>
        </w:rPr>
        <w:t xml:space="preserve">), exigencia de ~2,000+ horas facturables al año, clientes corporativos multinacionales. Su negocio es </w:t>
      </w:r>
      <w:r>
        <w:rPr>
          <w:b/>
          <w:bCs/>
          <w:sz w:val="21"/>
          <w:szCs w:val="21"/>
        </w:rPr>
        <w:t xml:space="preserve">vender capacidad y cobertura de riesgo a escala</w:t>
      </w:r>
      <w:r>
        <w:rPr>
          <w:sz w:val="21"/>
          <w:szCs w:val="21"/>
        </w:rPr>
        <w:t xml:space="preserve">.</w:t>
      </w:r>
    </w:p>
    <w:p>
      <w:pPr>
        <w:pStyle w:val="ListParagraph"/>
        <w:numPr>
          <w:ilvl w:val="0"/>
          <w:numId w:val="2"/>
        </w:numPr>
        <w:spacing w:after="70" w:line="264"/>
      </w:pPr>
      <w:r>
        <w:rPr>
          <w:b/>
          <w:bCs/>
          <w:sz w:val="21"/>
          <w:szCs w:val="21"/>
        </w:rPr>
        <w:t xml:space="preserve">Boutique</w:t>
      </w:r>
      <w:r>
        <w:rPr>
          <w:sz w:val="21"/>
          <w:szCs w:val="21"/>
        </w:rPr>
        <w:t xml:space="preserve"> — firmas pequeñas o medianas especializadas en una sola área: litigio de patentes, inmigración corporativa, quiebras, antimonopolio. Abogados de alto nivel, servicio ultraespecializado, competencia directa con BigLaw en su nicho y a menor precio. Su negocio es </w:t>
      </w:r>
      <w:r>
        <w:rPr>
          <w:b/>
          <w:bCs/>
          <w:sz w:val="21"/>
          <w:szCs w:val="21"/>
        </w:rPr>
        <w:t xml:space="preserve">vender profundidad</w:t>
      </w:r>
      <w:r>
        <w:rPr>
          <w:sz w:val="21"/>
          <w:szCs w:val="21"/>
        </w:rPr>
        <w:t xml:space="preserve">.</w:t>
      </w:r>
    </w:p>
    <w:p>
      <w:pPr>
        <w:pStyle w:val="ListParagraph"/>
        <w:numPr>
          <w:ilvl w:val="0"/>
          <w:numId w:val="2"/>
        </w:numPr>
        <w:spacing w:after="70" w:line="264"/>
      </w:pPr>
      <w:r>
        <w:rPr>
          <w:b/>
          <w:bCs/>
          <w:sz w:val="21"/>
          <w:szCs w:val="21"/>
        </w:rPr>
        <w:t xml:space="preserve">Mid-size</w:t>
      </w:r>
      <w:r>
        <w:rPr>
          <w:sz w:val="21"/>
          <w:szCs w:val="21"/>
        </w:rPr>
        <w:t xml:space="preserve"> — firmas regionales de 50 a 200 abogados, multiárea, con cultura habitualmente más equilibrada. Su negocio es </w:t>
      </w:r>
      <w:r>
        <w:rPr>
          <w:b/>
          <w:bCs/>
          <w:sz w:val="21"/>
          <w:szCs w:val="21"/>
        </w:rPr>
        <w:t xml:space="preserve">ser suficientemente completa y suficientemente cercana</w:t>
      </w:r>
      <w:r>
        <w:rPr>
          <w:sz w:val="21"/>
          <w:szCs w:val="21"/>
        </w:rPr>
        <w:t xml:space="preserve">.</w:t>
      </w:r>
    </w:p>
    <w:p>
      <w:pPr>
        <w:pStyle w:val="ListParagraph"/>
        <w:numPr>
          <w:ilvl w:val="0"/>
          <w:numId w:val="2"/>
        </w:numPr>
        <w:spacing w:after="70" w:line="264"/>
      </w:pPr>
      <w:r>
        <w:rPr>
          <w:b/>
          <w:bCs/>
          <w:sz w:val="21"/>
          <w:szCs w:val="21"/>
        </w:rPr>
        <w:t xml:space="preserve">Solo / small</w:t>
      </w:r>
      <w:r>
        <w:rPr>
          <w:sz w:val="21"/>
          <w:szCs w:val="21"/>
        </w:rPr>
        <w:t xml:space="preserve"> — de 1 a 10 abogados, estructura plana, atención directa al consumidor o a la PYME. Su negocio es </w:t>
      </w:r>
      <w:r>
        <w:rPr>
          <w:b/>
          <w:bCs/>
          <w:sz w:val="21"/>
          <w:szCs w:val="21"/>
        </w:rPr>
        <w:t xml:space="preserve">la relación personal más un precio comprensible</w:t>
      </w:r>
      <w:r>
        <w:rPr>
          <w:sz w:val="21"/>
          <w:szCs w:val="21"/>
        </w:rPr>
        <w:t xml:space="preserve"> — y es el segmento donde la automatización cambia el margen más rápido.</w:t>
      </w:r>
    </w:p>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dónde estamos y hacia dónde se puede ir</w:t>
            </w:r>
          </w:p>
          <w:p>
            <w:pPr>
              <w:spacing w:after="90" w:line="264"/>
            </w:pPr>
            <w:r>
              <w:rPr>
                <w:b/>
                <w:bCs/>
                <w:sz w:val="21"/>
                <w:szCs w:val="21"/>
              </w:rPr>
              <w:t xml:space="preserve">Hoy somos</w:t>
            </w:r>
            <w:r>
              <w:rPr>
                <w:sz w:val="21"/>
                <w:szCs w:val="21"/>
              </w:rPr>
              <w:t xml:space="preserve"> una firma pequeña con vocación de </w:t>
            </w:r>
            <w:r>
              <w:rPr>
                <w:b/>
                <w:bCs/>
                <w:sz w:val="21"/>
                <w:szCs w:val="21"/>
              </w:rPr>
              <w:t xml:space="preserve">boutique de inmigración</w:t>
            </w:r>
            <w:r>
              <w:rPr>
                <w:sz w:val="21"/>
                <w:szCs w:val="21"/>
              </w:rPr>
              <w:t xml:space="preserve"> (profundidad técnica real en habeas y en defensa) operando con </w:t>
            </w:r>
            <w:r>
              <w:rPr>
                <w:b/>
                <w:bCs/>
                <w:sz w:val="21"/>
                <w:szCs w:val="21"/>
              </w:rPr>
              <w:t xml:space="preserve">economía de consumidor de volumen</w:t>
            </w:r>
            <w:r>
              <w:rPr>
                <w:sz w:val="21"/>
                <w:szCs w:val="21"/>
              </w:rPr>
              <w:t xml:space="preserve"> (precio cerrado, captación por marketing, entrega proceduralizada).</w:t>
            </w:r>
          </w:p>
          <w:p>
            <w:pPr>
              <w:spacing w:after="90" w:line="264"/>
            </w:pPr>
            <w:r>
              <w:rPr>
                <w:sz w:val="21"/>
                <w:szCs w:val="21"/>
              </w:rPr>
              <w:t xml:space="preserve">Esa combinación no es una contradicción — es una posición </w:t>
            </w:r>
            <w:r>
              <w:rPr>
                <w:b/>
                <w:bCs/>
                <w:sz w:val="21"/>
                <w:szCs w:val="21"/>
              </w:rPr>
              <w:t xml:space="preserve">poco común y defendible</w:t>
            </w:r>
            <w:r>
              <w:rPr>
                <w:sz w:val="21"/>
                <w:szCs w:val="21"/>
              </w:rPr>
              <w:t xml:space="preserve">, siempre que las dos mitades no se estorben. La forma de que se estorben es conocida: el trabajo de alta complejidad consume la capacidad sénior y el volumen se degrada; o el volumen consume la atención y el trabajo complejo se entrega tarde.</w:t>
            </w:r>
          </w:p>
          <w:p>
            <w:pPr>
              <w:spacing w:after="90" w:line="264"/>
            </w:pPr>
            <w:r>
              <w:rPr>
                <w:b/>
                <w:bCs/>
                <w:sz w:val="21"/>
                <w:szCs w:val="21"/>
              </w:rPr>
              <w:t xml:space="preserve">La solución estructural es separar las dos líneas de producción</w:t>
            </w:r>
            <w:r>
              <w:rPr>
                <w:sz w:val="21"/>
                <w:szCs w:val="21"/>
              </w:rPr>
              <w:t xml:space="preserve">, no separar las personas: procesos distintos, plazos distintos, criterios de aceptación distintos, y —sobre todo— </w:t>
            </w:r>
            <w:r>
              <w:rPr>
                <w:b/>
                <w:bCs/>
                <w:sz w:val="21"/>
                <w:szCs w:val="21"/>
              </w:rPr>
              <w:t xml:space="preserve">no meter los casos de volumen y los de complejidad en la misma cola de trabajo.</w:t>
            </w:r>
          </w:p>
          <w:p>
            <w:pPr>
              <w:spacing w:after="90" w:line="264"/>
            </w:pPr>
            <w:r>
              <w:rPr>
                <w:b/>
                <w:bCs/>
                <w:sz w:val="21"/>
                <w:szCs w:val="21"/>
              </w:rPr>
              <w:t xml:space="preserve">Los dos caminos de evolución posibles, y son excluyentes en el corto plazo:</w:t>
            </w:r>
          </w:p>
          <w:p>
            <w:pPr>
              <w:spacing w:after="90" w:line="264"/>
            </w:pPr>
            <w:r>
              <w:rPr>
                <w:b/>
                <w:bCs/>
                <w:sz w:val="21"/>
                <w:szCs w:val="21"/>
              </w:rPr>
              <w:t xml:space="preserve">Camino A — Escala de volumen.</w:t>
            </w:r>
            <w:r>
              <w:rPr>
                <w:sz w:val="21"/>
                <w:szCs w:val="21"/>
              </w:rPr>
              <w:t xml:space="preserve"> Doblar la máquina de casos repetibles, invertir en intake y automatización, crecer en paralegales antes que en abogados. Techo alto, margen por caso menor, exige disciplina operativa constante.</w:t>
            </w:r>
          </w:p>
          <w:p>
            <w:pPr>
              <w:spacing w:after="90" w:line="264"/>
            </w:pPr>
            <w:r>
              <w:rPr>
                <w:b/>
                <w:bCs/>
                <w:sz w:val="21"/>
                <w:szCs w:val="21"/>
              </w:rPr>
              <w:t xml:space="preserve">Camino B — Boutique de defensa y habeas.</w:t>
            </w:r>
            <w:r>
              <w:rPr>
                <w:sz w:val="21"/>
                <w:szCs w:val="21"/>
              </w:rPr>
              <w:t xml:space="preserve"> Menos casos, ticket mucho mayor, admisiones federales en distritos clave, reputación como activo principal. Techo más bajo en volumen, margen por caso muy superior, exige talento sénior escaso.</w:t>
            </w:r>
          </w:p>
          <w:p>
            <w:pPr>
              <w:spacing w:after="90" w:line="264"/>
            </w:pPr>
            <w:r>
              <w:rPr>
                <w:sz w:val="21"/>
                <w:szCs w:val="21"/>
              </w:rPr>
              <w:t xml:space="preserve">Se puede hacer B financiado por A, que es probablemente la ruta natural. Lo que no funciona es no elegir, porque cada camino pide una contratación distinta, un marketing distinto y un sistema de precios distinto.</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11. Business Model Canvas de la firma</w:t>
      </w:r>
    </w:p>
    <w:p>
      <w:pPr>
        <w:spacing w:after="140" w:line="276"/>
      </w:pPr>
      <w:r>
        <w:rPr>
          <w:sz w:val="21"/>
          <w:szCs w:val="21"/>
        </w:rPr>
        <w:t xml:space="preserve">Los nueve bloques del modelo, aplicados a nuestra firma.</w:t>
      </w:r>
    </w:p>
    <w:p>
      <w:pPr>
        <w:spacing w:after="80"/>
      </w:pP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200"/>
        <w:gridCol w:w="7160"/>
      </w:tblGrid>
      <w:tr>
        <w:trPr>
          <w:tblHeader/>
        </w:trPr>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Bloque</w:t>
            </w:r>
          </w:p>
        </w:tc>
        <w:tc>
          <w:tcPr>
            <w:tcW w:type="dxa" w:w="7160"/>
            <w:shd w:fill="1F3864" w:val="clear"/>
            <w:tcMar>
              <w:top w:type="dxa" w:w="90"/>
              <w:left w:type="dxa" w:w="110"/>
              <w:bottom w:type="dxa" w:w="90"/>
              <w:right w:type="dxa" w:w="110"/>
            </w:tcMar>
          </w:tcPr>
          <w:p>
            <w:pPr>
              <w:spacing w:after="0" w:line="250"/>
            </w:pPr>
            <w:r>
              <w:rPr>
                <w:b/>
                <w:bCs/>
                <w:color w:val="FFFFFF"/>
                <w:sz w:val="19"/>
                <w:szCs w:val="19"/>
              </w:rPr>
              <w:t xml:space="preserve">Contenido</w:t>
            </w:r>
          </w:p>
        </w:tc>
      </w:tr>
      <w:tr>
        <w:tc>
          <w:tcPr>
            <w:tcW w:type="dxa" w:w="2200"/>
            <w:shd w:fill="FFFFFF" w:val="clear"/>
            <w:tcMar>
              <w:top w:type="dxa" w:w="80"/>
              <w:left w:type="dxa" w:w="110"/>
              <w:bottom w:type="dxa" w:w="80"/>
              <w:right w:type="dxa" w:w="110"/>
            </w:tcMar>
            <w:vAlign w:val="center"/>
          </w:tcPr>
          <w:p>
            <w:pPr>
              <w:spacing w:after="0" w:line="250"/>
            </w:pPr>
            <w:r>
              <w:rPr>
                <w:b/>
                <w:bCs/>
                <w:sz w:val="19"/>
                <w:szCs w:val="19"/>
              </w:rPr>
              <w:t xml:space="preserve">1. Segmentos de cliente</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Familias en proceso de reunificación · Solicitantes de naturalización · Solicitantes de asilo · Personas en procedimiento de remoción · Personas detenidas y sus familias · Empleadores con necesidad de cumplimiento y patrocinio</w:t>
            </w:r>
          </w:p>
        </w:tc>
      </w:tr>
      <w:tr>
        <w:tc>
          <w:tcPr>
            <w:tcW w:type="dxa" w:w="2200"/>
            <w:shd w:fill="F5F7FA" w:val="clear"/>
            <w:tcMar>
              <w:top w:type="dxa" w:w="80"/>
              <w:left w:type="dxa" w:w="110"/>
              <w:bottom w:type="dxa" w:w="80"/>
              <w:right w:type="dxa" w:w="110"/>
            </w:tcMar>
            <w:vAlign w:val="center"/>
          </w:tcPr>
          <w:p>
            <w:pPr>
              <w:spacing w:after="0" w:line="250"/>
            </w:pPr>
            <w:r>
              <w:rPr>
                <w:b/>
                <w:bCs/>
                <w:sz w:val="19"/>
                <w:szCs w:val="19"/>
              </w:rPr>
              <w:t xml:space="preserve">2. Propuesta de valor</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Precio cerrado y conocido de antemano · Comunicación proactiva sobre el estado del caso · Competencia técnica demostrable en materia compleja (habeas, defensa) · Atención íntegramente en español, no solo en la conversación · Alcance nacional en trámites ante agencias federales</w:t>
            </w:r>
          </w:p>
        </w:tc>
      </w:tr>
      <w:tr>
        <w:tc>
          <w:tcPr>
            <w:tcW w:type="dxa" w:w="2200"/>
            <w:shd w:fill="FFFFFF" w:val="clear"/>
            <w:tcMar>
              <w:top w:type="dxa" w:w="80"/>
              <w:left w:type="dxa" w:w="110"/>
              <w:bottom w:type="dxa" w:w="80"/>
              <w:right w:type="dxa" w:w="110"/>
            </w:tcMar>
            <w:vAlign w:val="center"/>
          </w:tcPr>
          <w:p>
            <w:pPr>
              <w:spacing w:after="0" w:line="250"/>
            </w:pPr>
            <w:r>
              <w:rPr>
                <w:b/>
                <w:bCs/>
                <w:sz w:val="19"/>
                <w:szCs w:val="19"/>
              </w:rPr>
              <w:t xml:space="preserve">3. Canales</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Referidos de clientes · Comunidad y alianzas locales · SEO y contenido en español · Publicidad de pago · Redes sociales y video · Referidos de otros abogados</w:t>
            </w:r>
          </w:p>
        </w:tc>
      </w:tr>
      <w:tr>
        <w:tc>
          <w:tcPr>
            <w:tcW w:type="dxa" w:w="2200"/>
            <w:shd w:fill="F5F7FA" w:val="clear"/>
            <w:tcMar>
              <w:top w:type="dxa" w:w="80"/>
              <w:left w:type="dxa" w:w="110"/>
              <w:bottom w:type="dxa" w:w="80"/>
              <w:right w:type="dxa" w:w="110"/>
            </w:tcMar>
            <w:vAlign w:val="center"/>
          </w:tcPr>
          <w:p>
            <w:pPr>
              <w:spacing w:after="0" w:line="250"/>
            </w:pPr>
            <w:r>
              <w:rPr>
                <w:b/>
                <w:bCs/>
                <w:sz w:val="19"/>
                <w:szCs w:val="19"/>
              </w:rPr>
              <w:t xml:space="preserve">4. Relación con el cliente</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Consulta inicial estructurada · Portal o canal único de actualizaciones · Plan de pagos gestionado · Contacto posterior al cierre para renovaciones y referidos</w:t>
            </w:r>
          </w:p>
        </w:tc>
      </w:tr>
      <w:tr>
        <w:tc>
          <w:tcPr>
            <w:tcW w:type="dxa" w:w="2200"/>
            <w:shd w:fill="FFFFFF" w:val="clear"/>
            <w:tcMar>
              <w:top w:type="dxa" w:w="80"/>
              <w:left w:type="dxa" w:w="110"/>
              <w:bottom w:type="dxa" w:w="80"/>
              <w:right w:type="dxa" w:w="110"/>
            </w:tcMar>
            <w:vAlign w:val="center"/>
          </w:tcPr>
          <w:p>
            <w:pPr>
              <w:spacing w:after="0" w:line="250"/>
            </w:pPr>
            <w:r>
              <w:rPr>
                <w:b/>
                <w:bCs/>
                <w:sz w:val="19"/>
                <w:szCs w:val="19"/>
              </w:rPr>
              <w:t xml:space="preserve">5. Fuentes de ingreso</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Precio cerrado por tipo de caso (núcleo) · Servicios de alcance limitado (preparación de habeas) · Retainer de cumplimiento para empleadores (a desarrollar) · Plan de acompañamiento familiar (a desarrollar) · Formación y materiales (a desarrollar)</w:t>
            </w:r>
          </w:p>
        </w:tc>
      </w:tr>
      <w:tr>
        <w:tc>
          <w:tcPr>
            <w:tcW w:type="dxa" w:w="2200"/>
            <w:shd w:fill="F5F7FA" w:val="clear"/>
            <w:tcMar>
              <w:top w:type="dxa" w:w="80"/>
              <w:left w:type="dxa" w:w="110"/>
              <w:bottom w:type="dxa" w:w="80"/>
              <w:right w:type="dxa" w:w="110"/>
            </w:tcMar>
            <w:vAlign w:val="center"/>
          </w:tcPr>
          <w:p>
            <w:pPr>
              <w:spacing w:after="0" w:line="250"/>
            </w:pPr>
            <w:r>
              <w:rPr>
                <w:b/>
                <w:bCs/>
                <w:sz w:val="19"/>
                <w:szCs w:val="19"/>
              </w:rPr>
              <w:t xml:space="preserve">6. Recursos clave</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Licencia y buen estado del abogado titular · Admisiones federales · Reputación en la comunidad · Biblioteca de precedentes, guías de la BIA y plantillas · Paralegal formado en habeas federal · Capital de trabajo</w:t>
            </w:r>
          </w:p>
        </w:tc>
      </w:tr>
      <w:tr>
        <w:tc>
          <w:tcPr>
            <w:tcW w:type="dxa" w:w="2200"/>
            <w:shd w:fill="FFFFFF" w:val="clear"/>
            <w:tcMar>
              <w:top w:type="dxa" w:w="80"/>
              <w:left w:type="dxa" w:w="110"/>
              <w:bottom w:type="dxa" w:w="80"/>
              <w:right w:type="dxa" w:w="110"/>
            </w:tcMar>
            <w:vAlign w:val="center"/>
          </w:tcPr>
          <w:p>
            <w:pPr>
              <w:spacing w:after="0" w:line="250"/>
            </w:pPr>
            <w:r>
              <w:rPr>
                <w:b/>
                <w:bCs/>
                <w:sz w:val="19"/>
                <w:szCs w:val="19"/>
              </w:rPr>
              <w:t xml:space="preserve">7. Actividades clave</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Consulta y evaluación de elegibilidad · Preparación y presentación de solicitudes · Representación en corte de inmigración · Preparación de habeas y escritos federales · Gestión del conocimiento y automatización · Captación y conversión</w:t>
            </w:r>
          </w:p>
        </w:tc>
      </w:tr>
      <w:tr>
        <w:tc>
          <w:tcPr>
            <w:tcW w:type="dxa" w:w="2200"/>
            <w:shd w:fill="F5F7FA" w:val="clear"/>
            <w:tcMar>
              <w:top w:type="dxa" w:w="80"/>
              <w:left w:type="dxa" w:w="110"/>
              <w:bottom w:type="dxa" w:w="80"/>
              <w:right w:type="dxa" w:w="110"/>
            </w:tcMar>
            <w:vAlign w:val="center"/>
          </w:tcPr>
          <w:p>
            <w:pPr>
              <w:spacing w:after="0" w:line="250"/>
            </w:pPr>
            <w:r>
              <w:rPr>
                <w:b/>
                <w:bCs/>
                <w:sz w:val="19"/>
                <w:szCs w:val="19"/>
              </w:rPr>
              <w:t xml:space="preserve">8. Socios clave</w:t>
            </w:r>
          </w:p>
        </w:tc>
        <w:tc>
          <w:tcPr>
            <w:tcW w:type="dxa" w:w="7160"/>
            <w:shd w:fill="F5F7FA" w:val="clear"/>
            <w:tcMar>
              <w:top w:type="dxa" w:w="80"/>
              <w:left w:type="dxa" w:w="110"/>
              <w:bottom w:type="dxa" w:w="80"/>
              <w:right w:type="dxa" w:w="110"/>
            </w:tcMar>
            <w:vAlign w:val="center"/>
          </w:tcPr>
          <w:p>
            <w:pPr>
              <w:spacing w:after="0" w:line="250"/>
            </w:pPr>
            <w:r>
              <w:rPr>
                <w:sz w:val="19"/>
                <w:szCs w:val="19"/>
              </w:rPr>
              <w:t xml:space="preserve">Abogados corresponsales con admisión en distritos federales · Peritos (psicológicos, país de origen, médicos) · Traductores certificados · Proveedores de software de gestión de casos · Aseguradora de responsabilidad profesional · Banco (operativa, IOLTA y línea de crédito) · Organizaciones comunitarias</w:t>
            </w:r>
          </w:p>
        </w:tc>
      </w:tr>
      <w:tr>
        <w:tc>
          <w:tcPr>
            <w:tcW w:type="dxa" w:w="2200"/>
            <w:shd w:fill="FFFFFF" w:val="clear"/>
            <w:tcMar>
              <w:top w:type="dxa" w:w="80"/>
              <w:left w:type="dxa" w:w="110"/>
              <w:bottom w:type="dxa" w:w="80"/>
              <w:right w:type="dxa" w:w="110"/>
            </w:tcMar>
            <w:vAlign w:val="center"/>
          </w:tcPr>
          <w:p>
            <w:pPr>
              <w:spacing w:after="0" w:line="250"/>
            </w:pPr>
            <w:r>
              <w:rPr>
                <w:b/>
                <w:bCs/>
                <w:sz w:val="19"/>
                <w:szCs w:val="19"/>
              </w:rPr>
              <w:t xml:space="preserve">9. Estructura de costos</w:t>
            </w:r>
          </w:p>
        </w:tc>
        <w:tc>
          <w:tcPr>
            <w:tcW w:type="dxa" w:w="7160"/>
            <w:shd w:fill="FFFFFF" w:val="clear"/>
            <w:tcMar>
              <w:top w:type="dxa" w:w="80"/>
              <w:left w:type="dxa" w:w="110"/>
              <w:bottom w:type="dxa" w:w="80"/>
              <w:right w:type="dxa" w:w="110"/>
            </w:tcMar>
            <w:vAlign w:val="center"/>
          </w:tcPr>
          <w:p>
            <w:pPr>
              <w:spacing w:after="0" w:line="250"/>
            </w:pPr>
            <w:r>
              <w:rPr>
                <w:sz w:val="19"/>
                <w:szCs w:val="19"/>
              </w:rPr>
              <w:t xml:space="preserve">Nómina y contratistas (dominante) · Marketing y adquisición (estructural, ~15 %) · Tecnología y software · Ocupación · Seguro LPL · Tasas y desembolsos (pass-through, no son costo propio) · Formación y colegiación</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12. Unit economics: cuatro ejemplos trabajados</w:t>
      </w:r>
    </w:p>
    <w:p>
      <w:pPr>
        <w:spacing w:after="140" w:line="276"/>
      </w:pPr>
      <w:r>
        <w:rPr>
          <w:sz w:val="21"/>
          <w:szCs w:val="21"/>
        </w:rPr>
        <w:t xml:space="preserve">Los números que siguen son ilustrativos. Su función es enseñar la mecánica; los valores reales se sustituyen con los datos del Anexo A.</w:t>
      </w:r>
    </w:p>
    <w:p>
      <w:pPr>
        <w:pStyle w:val="Heading2"/>
        <w:spacing w:after="140" w:before="320"/>
      </w:pPr>
      <w:r>
        <w:rPr>
          <w:rFonts w:ascii="Calibri" w:cs="Calibri" w:eastAsia="Calibri" w:hAnsi="Calibri"/>
          <w:b/>
          <w:bCs/>
          <w:color w:val="1F3864"/>
          <w:sz w:val="25"/>
          <w:szCs w:val="25"/>
        </w:rPr>
        <w:t xml:space="preserve">12.1 Ejemplo A — Cómo se ve el modelo tradicional (referencia)</w:t>
      </w:r>
    </w:p>
    <w:p>
      <w:pPr>
        <w:spacing w:after="140" w:line="276"/>
      </w:pPr>
      <w:r>
        <w:rPr>
          <w:sz w:val="21"/>
          <w:szCs w:val="21"/>
        </w:rPr>
        <w:t xml:space="preserve">Un socio propietario de una firma corporativa mediana, para tener la referencia del modelo que no somos:</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Horas propias:  1,400 h x $850 x 0.90 realizacion   = $ 1,071,000</w:t>
            </w:r>
          </w:p>
          <w:p>
            <w:pPr>
              <w:spacing w:after="0" w:line="216"/>
            </w:pPr>
            <w:r>
              <w:rPr>
                <w:rFonts w:ascii="Consolas" w:cs="Consolas" w:eastAsia="Consolas" w:hAnsi="Consolas"/>
                <w:sz w:val="15"/>
                <w:szCs w:val="15"/>
              </w:rPr>
              <w:t xml:space="preserve">Margen de 4 asociados (Parte 3.2):  4 x $361,200    = $ 1,444,800</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Contribucion bruta                                    $ 2,515,800</w:t>
            </w:r>
          </w:p>
          <w:p>
            <w:pPr>
              <w:spacing w:after="0" w:line="216"/>
            </w:pPr>
            <w:r>
              <w:rPr>
                <w:rFonts w:ascii="Consolas" w:cs="Consolas" w:eastAsia="Consolas" w:hAnsi="Consolas"/>
                <w:sz w:val="15"/>
                <w:szCs w:val="15"/>
              </w:rPr>
              <w:t xml:space="preserve">- Overhead propio (espacio, apoyo, desarrollo)        -$   310,000</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Contribucion neta al fondo de utilidad                $ 2,205,800</w:t>
            </w:r>
          </w:p>
        </w:tc>
      </w:tr>
    </w:tbl>
    <w:p>
      <w:pPr>
        <w:spacing w:after="140"/>
      </w:pPr>
    </w:p>
    <w:p>
      <w:pPr>
        <w:spacing w:after="140" w:line="276"/>
      </w:pPr>
      <w:r>
        <w:rPr>
          <w:b/>
          <w:bCs/>
          <w:sz w:val="21"/>
          <w:szCs w:val="21"/>
        </w:rPr>
        <w:t xml:space="preserve">La lección:</w:t>
      </w:r>
      <w:r>
        <w:rPr>
          <w:sz w:val="21"/>
          <w:szCs w:val="21"/>
        </w:rPr>
        <w:t xml:space="preserve"> dos tercios de lo que aporta un socio no vienen de sus propias horas, sino de su capacidad de apalancar equipo y de originar trabajo. El que solo trabaja bien gana bien; el que además genera y delega gana en otra escala.</w:t>
      </w:r>
    </w:p>
    <w:p>
      <w:pPr>
        <w:pStyle w:val="Heading2"/>
        <w:spacing w:after="140" w:before="320"/>
      </w:pPr>
      <w:r>
        <w:rPr>
          <w:rFonts w:ascii="Calibri" w:cs="Calibri" w:eastAsia="Calibri" w:hAnsi="Calibri"/>
          <w:b/>
          <w:bCs/>
          <w:color w:val="1F3864"/>
          <w:sz w:val="25"/>
          <w:szCs w:val="25"/>
        </w:rPr>
        <w:t xml:space="preserve">12.2 Ejemplo B — Un caso de inmigración a precio cerrado</w:t>
      </w:r>
    </w:p>
    <w:p>
      <w:pPr>
        <w:spacing w:after="140" w:line="276"/>
      </w:pPr>
      <w:r>
        <w:rPr>
          <w:sz w:val="21"/>
          <w:szCs w:val="21"/>
        </w:rPr>
        <w:t xml:space="preserve">Este es nuestro producto típico. La palanca no es el precio: es el costo de entrega.</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Precio del encargo                                 $ 4,200</w:t>
            </w:r>
          </w:p>
          <w:p>
            <w:pPr>
              <w:spacing w:after="0" w:line="216"/>
            </w:pPr>
            <w:r>
              <w:rPr>
                <w:rFonts w:ascii="Consolas" w:cs="Consolas" w:eastAsia="Consolas" w:hAnsi="Consolas"/>
                <w:sz w:val="15"/>
                <w:szCs w:val="15"/>
              </w:rPr>
              <w:t xml:space="preserve">- CAC mezclado (SEO + pago + referidos)            -$   650</w:t>
            </w:r>
          </w:p>
          <w:p>
            <w:pPr>
              <w:spacing w:after="0" w:line="216"/>
            </w:pPr>
            <w:r>
              <w:rPr>
                <w:rFonts w:ascii="Consolas" w:cs="Consolas" w:eastAsia="Consolas" w:hAnsi="Consolas"/>
                <w:sz w:val="15"/>
                <w:szCs w:val="15"/>
              </w:rPr>
              <w:t xml:space="preserve">- Costo de entrega (abogado 2 h + paralegal 4.5 h) -$   780</w:t>
            </w:r>
          </w:p>
          <w:p>
            <w:pPr>
              <w:spacing w:after="0" w:line="216"/>
            </w:pPr>
            <w:r>
              <w:rPr>
                <w:rFonts w:ascii="Consolas" w:cs="Consolas" w:eastAsia="Consolas" w:hAnsi="Consolas"/>
                <w:sz w:val="15"/>
                <w:szCs w:val="15"/>
              </w:rPr>
              <w:t xml:space="preserve">- Overhead asignado                                -$   840</w:t>
            </w:r>
          </w:p>
          <w:p>
            <w:pPr>
              <w:spacing w:after="0" w:line="216"/>
            </w:pPr>
            <w:r>
              <w:rPr>
                <w:rFonts w:ascii="Consolas" w:cs="Consolas" w:eastAsia="Consolas" w:hAnsi="Consolas"/>
                <w:sz w:val="15"/>
                <w:szCs w:val="15"/>
              </w:rPr>
              <w:t xml:space="preserve">  Tasas gubernamentales: pass-through, neutro          n/a</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Margen de contribucion por caso                    $ 1,930   (46 %)</w:t>
            </w:r>
          </w:p>
        </w:tc>
      </w:tr>
    </w:tbl>
    <w:p>
      <w:pPr>
        <w:spacing w:after="120"/>
      </w:pPr>
    </w:p>
    <w:p>
      <w:pPr>
        <w:spacing w:after="140" w:line="276"/>
      </w:pPr>
      <w:r>
        <w:rPr>
          <w:b/>
          <w:bCs/>
          <w:sz w:val="21"/>
          <w:szCs w:val="21"/>
        </w:rPr>
        <w:t xml:space="preserve">Ahora la misma cuenta con el proceso mejorado</w:t>
      </w:r>
      <w:r>
        <w:rPr>
          <w:sz w:val="21"/>
          <w:szCs w:val="21"/>
        </w:rPr>
        <w:t xml:space="preserve"> — mismo precio, mismo cliente, mismo resultado:</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Precio del encargo                                 $ 4,200</w:t>
            </w:r>
          </w:p>
          <w:p>
            <w:pPr>
              <w:spacing w:after="0" w:line="216"/>
            </w:pPr>
            <w:r>
              <w:rPr>
                <w:rFonts w:ascii="Consolas" w:cs="Consolas" w:eastAsia="Consolas" w:hAnsi="Consolas"/>
                <w:sz w:val="15"/>
                <w:szCs w:val="15"/>
              </w:rPr>
              <w:t xml:space="preserve">- CAC (mas peso de referidos)                      -$   450</w:t>
            </w:r>
          </w:p>
          <w:p>
            <w:pPr>
              <w:spacing w:after="0" w:line="216"/>
            </w:pPr>
            <w:r>
              <w:rPr>
                <w:rFonts w:ascii="Consolas" w:cs="Consolas" w:eastAsia="Consolas" w:hAnsi="Consolas"/>
                <w:sz w:val="15"/>
                <w:szCs w:val="15"/>
              </w:rPr>
              <w:t xml:space="preserve">- Costo de entrega (abogado 1 h + paralegal 3.5 h) -$   520</w:t>
            </w:r>
          </w:p>
          <w:p>
            <w:pPr>
              <w:spacing w:after="0" w:line="216"/>
            </w:pPr>
            <w:r>
              <w:rPr>
                <w:rFonts w:ascii="Consolas" w:cs="Consolas" w:eastAsia="Consolas" w:hAnsi="Consolas"/>
                <w:sz w:val="15"/>
                <w:szCs w:val="15"/>
              </w:rPr>
              <w:t xml:space="preserve">- Overhead asignado                                -$   840</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Margen de contribucion por caso                    $ 2,390   (57 %)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Diferencia por caso:  +$460   -&gt;  +24 % de margen</w:t>
            </w:r>
          </w:p>
          <w:p>
            <w:pPr>
              <w:spacing w:after="0" w:line="216"/>
            </w:pPr>
            <w:r>
              <w:rPr>
                <w:rFonts w:ascii="Consolas" w:cs="Consolas" w:eastAsia="Consolas" w:hAnsi="Consolas"/>
                <w:sz w:val="15"/>
                <w:szCs w:val="15"/>
              </w:rPr>
              <w:t xml:space="preserve">A 45 casos/mes:       +$248,400 al ano, sin subir precios</w:t>
            </w:r>
          </w:p>
        </w:tc>
      </w:tr>
    </w:tbl>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Este es el argumento central del documento</w:t>
            </w:r>
          </w:p>
          <w:p>
            <w:pPr>
              <w:spacing w:after="90" w:line="264"/>
            </w:pPr>
            <w:r>
              <w:rPr>
                <w:sz w:val="21"/>
                <w:szCs w:val="21"/>
              </w:rPr>
              <w:t xml:space="preserve">No subimos el precio. No conseguimos más clientes. No trabajamos más horas. </w:t>
            </w:r>
            <w:r>
              <w:rPr>
                <w:b/>
                <w:bCs/>
                <w:sz w:val="21"/>
                <w:szCs w:val="21"/>
              </w:rPr>
              <w:t xml:space="preserve">Movimos dos números operativos</w:t>
            </w:r>
            <w:r>
              <w:rPr>
                <w:sz w:val="21"/>
                <w:szCs w:val="21"/>
              </w:rPr>
              <w:t xml:space="preserve"> —el peso del canal de referidos y las horas de entrega— y el margen anual subió casi un cuarto de millón.</w:t>
            </w:r>
          </w:p>
          <w:p>
            <w:pPr>
              <w:spacing w:after="90" w:line="264"/>
            </w:pPr>
            <w:r>
              <w:rPr>
                <w:sz w:val="21"/>
                <w:szCs w:val="21"/>
              </w:rPr>
              <w:t xml:space="preserve">En un modelo de hora facturable, reducir las horas de entrega </w:t>
            </w:r>
            <w:r>
              <w:rPr>
                <w:b/>
                <w:bCs/>
                <w:sz w:val="21"/>
                <w:szCs w:val="21"/>
              </w:rPr>
              <w:t xml:space="preserve">reduce</w:t>
            </w:r>
            <w:r>
              <w:rPr>
                <w:sz w:val="21"/>
                <w:szCs w:val="21"/>
              </w:rPr>
              <w:t xml:space="preserve"> el ingreso. En nuestro modelo, lo aumenta. Es literalmente la ventaja estructural del precio cerrado, y es la razón por la que invertir en proceso y automatización tiene aquí un retorno que en una firma de horas no tendría.</w:t>
            </w:r>
          </w:p>
        </w:tc>
      </w:tr>
    </w:tbl>
    <w:p>
      <w:pPr>
        <w:spacing w:after="160"/>
      </w:pPr>
    </w:p>
    <w:p>
      <w:pPr>
        <w:pStyle w:val="Heading2"/>
        <w:spacing w:after="140" w:before="320"/>
      </w:pPr>
      <w:r>
        <w:rPr>
          <w:rFonts w:ascii="Calibri" w:cs="Calibri" w:eastAsia="Calibri" w:hAnsi="Calibri"/>
          <w:b/>
          <w:bCs/>
          <w:color w:val="1F3864"/>
          <w:sz w:val="25"/>
          <w:szCs w:val="25"/>
        </w:rPr>
        <w:t xml:space="preserve">12.3 Ejemplo C — El producto de alcance limitado (preparación de habeas)</w:t>
      </w:r>
    </w:p>
    <w:p>
      <w:pPr>
        <w:spacing w:after="140" w:line="276"/>
      </w:pPr>
      <w:r>
        <w:rPr>
          <w:sz w:val="21"/>
          <w:szCs w:val="21"/>
        </w:rPr>
        <w:t xml:space="preserve">Un producto de servicio limitado, altamente repetible, ejecutado por paralegal con supervisión de abogado:</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Precio del encargo                                 $ 2,800</w:t>
            </w:r>
          </w:p>
          <w:p>
            <w:pPr>
              <w:spacing w:after="0" w:line="216"/>
            </w:pPr>
            <w:r>
              <w:rPr>
                <w:rFonts w:ascii="Consolas" w:cs="Consolas" w:eastAsia="Consolas" w:hAnsi="Consolas"/>
                <w:sz w:val="15"/>
                <w:szCs w:val="15"/>
              </w:rPr>
              <w:t xml:space="preserve">- CAC (mayoritariamente referido y comunidad)      -$   300</w:t>
            </w:r>
          </w:p>
          <w:p>
            <w:pPr>
              <w:spacing w:after="0" w:line="216"/>
            </w:pPr>
            <w:r>
              <w:rPr>
                <w:rFonts w:ascii="Consolas" w:cs="Consolas" w:eastAsia="Consolas" w:hAnsi="Consolas"/>
                <w:sz w:val="15"/>
                <w:szCs w:val="15"/>
              </w:rPr>
              <w:t xml:space="preserve">- Preparacion (paralegal 8 h a $34/h cargado)      -$   272</w:t>
            </w:r>
          </w:p>
          <w:p>
            <w:pPr>
              <w:spacing w:after="0" w:line="216"/>
            </w:pPr>
            <w:r>
              <w:rPr>
                <w:rFonts w:ascii="Consolas" w:cs="Consolas" w:eastAsia="Consolas" w:hAnsi="Consolas"/>
                <w:sz w:val="15"/>
                <w:szCs w:val="15"/>
              </w:rPr>
              <w:t xml:space="preserve">- Supervision y revision (abogado 1.5 h)           -$   180</w:t>
            </w:r>
          </w:p>
          <w:p>
            <w:pPr>
              <w:spacing w:after="0" w:line="216"/>
            </w:pPr>
            <w:r>
              <w:rPr>
                <w:rFonts w:ascii="Consolas" w:cs="Consolas" w:eastAsia="Consolas" w:hAnsi="Consolas"/>
                <w:sz w:val="15"/>
                <w:szCs w:val="15"/>
              </w:rPr>
              <w:t xml:space="preserve">- Overhead asignado                                -$   560</w:t>
            </w:r>
          </w:p>
          <w:p>
            <w:pPr>
              <w:spacing w:after="0" w:line="216"/>
            </w:pPr>
            <w:r>
              <w:rPr>
                <w:rFonts w:ascii="Consolas" w:cs="Consolas" w:eastAsia="Consolas" w:hAnsi="Consolas"/>
                <w:sz w:val="15"/>
                <w:szCs w:val="15"/>
              </w:rPr>
              <w:t xml:space="preserve">--------------------------------------------------------</w:t>
            </w:r>
          </w:p>
          <w:p>
            <w:pPr>
              <w:spacing w:after="0" w:line="216"/>
            </w:pPr>
            <w:r>
              <w:rPr>
                <w:rFonts w:ascii="Consolas" w:cs="Consolas" w:eastAsia="Consolas" w:hAnsi="Consolas"/>
                <w:sz w:val="15"/>
                <w:szCs w:val="15"/>
              </w:rPr>
              <w:t xml:space="preserve">Margen de contribucion                             $ 1,488   (53 %)</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Con biblioteca de precedentes madura y automatizacion:</w:t>
            </w:r>
          </w:p>
          <w:p>
            <w:pPr>
              <w:spacing w:after="0" w:line="216"/>
            </w:pPr>
            <w:r>
              <w:rPr>
                <w:rFonts w:ascii="Consolas" w:cs="Consolas" w:eastAsia="Consolas" w:hAnsi="Consolas"/>
                <w:sz w:val="15"/>
                <w:szCs w:val="15"/>
              </w:rPr>
              <w:t xml:space="preserve">Preparacion baja a 5 h, supervision a 1 h  -&gt;  margen $1,714  (61 %)</w:t>
            </w:r>
          </w:p>
        </w:tc>
      </w:tr>
    </w:tbl>
    <w:p>
      <w:pPr>
        <w:spacing w:after="140"/>
      </w:pPr>
    </w:p>
    <w:p>
      <w:pPr>
        <w:pStyle w:val="ListParagraph"/>
        <w:numPr>
          <w:ilvl w:val="0"/>
          <w:numId w:val="2"/>
        </w:numPr>
        <w:spacing w:after="70" w:line="264"/>
      </w:pPr>
      <w:r>
        <w:rPr>
          <w:b/>
          <w:bCs/>
          <w:sz w:val="21"/>
          <w:szCs w:val="21"/>
        </w:rPr>
        <w:t xml:space="preserve">Por qué este producto es económicamente atractivo:</w:t>
      </w:r>
      <w:r>
        <w:rPr>
          <w:sz w:val="21"/>
          <w:szCs w:val="21"/>
        </w:rPr>
        <w:t xml:space="preserve"> entregable acotado, sin comparecencias, sin calendario judicial que gestionar, sin la restricción de admisión en el distrito, y con una curva de aprendizaje que se captura en plantillas. Cada caso hace más barato al siguiente.</w:t>
      </w:r>
    </w:p>
    <w:p>
      <w:pPr>
        <w:pStyle w:val="ListParagraph"/>
        <w:numPr>
          <w:ilvl w:val="0"/>
          <w:numId w:val="2"/>
        </w:numPr>
        <w:spacing w:after="70" w:line="264"/>
      </w:pPr>
      <w:r>
        <w:rPr>
          <w:b/>
          <w:bCs/>
          <w:sz w:val="21"/>
          <w:szCs w:val="21"/>
        </w:rPr>
        <w:t xml:space="preserve">Su límite real no es económico, es de cumplimiento:</w:t>
      </w:r>
      <w:r>
        <w:rPr>
          <w:sz w:val="21"/>
          <w:szCs w:val="21"/>
        </w:rPr>
        <w:t xml:space="preserve"> ver el punto de verificación de la Parte 4.2. Antes de escalar este producto conviene tener la matriz por distrito resuelta, porque escalar primero y verificar después convierte una casilla pendiente en un problema multiplicado.</w:t>
      </w:r>
    </w:p>
    <w:p>
      <w:pPr>
        <w:pStyle w:val="Heading2"/>
        <w:spacing w:after="140" w:before="320"/>
      </w:pPr>
      <w:r>
        <w:rPr>
          <w:rFonts w:ascii="Calibri" w:cs="Calibri" w:eastAsia="Calibri" w:hAnsi="Calibri"/>
          <w:b/>
          <w:bCs/>
          <w:color w:val="1F3864"/>
          <w:sz w:val="25"/>
          <w:szCs w:val="25"/>
        </w:rPr>
        <w:t xml:space="preserve">12.4 Ejemplo D — La firma completa: punto de equilibrio y palancas</w:t>
      </w:r>
    </w:p>
    <w:tbl>
      <w:tblPr>
        <w:tblW w:type="dxa" w:w="9360"/>
        <w:tblBorders>
          <w:top w:val="single" w:color="C7D0DC" w:sz="4"/>
          <w:left w:val="single" w:color="C7D0DC" w:sz="4"/>
          <w:bottom w:val="single" w:color="C7D0DC" w:sz="4"/>
          <w:right w:val="single" w:color="C7D0DC" w:sz="4"/>
          <w:insideH w:val="none" w:color="FFFFFF" w:sz="0"/>
          <w:insideV w:val="none" w:color="FFFFFF" w:sz="0"/>
        </w:tblBorders>
      </w:tblPr>
      <w:tblGrid>
        <w:gridCol w:w="9360"/>
      </w:tblGrid>
      <w:tr>
        <w:tc>
          <w:tcPr>
            <w:tcW w:type="dxa" w:w="9360"/>
            <w:shd w:fill="F5F7FA" w:val="clear"/>
            <w:tcMar>
              <w:top w:type="dxa" w:w="140"/>
              <w:left w:type="dxa" w:w="180"/>
              <w:bottom w:type="dxa" w:w="140"/>
              <w:right w:type="dxa" w:w="140"/>
            </w:tcMar>
          </w:tcPr>
          <w:p>
            <w:pPr>
              <w:spacing w:after="0" w:line="216"/>
            </w:pPr>
            <w:r>
              <w:rPr>
                <w:rFonts w:ascii="Consolas" w:cs="Consolas" w:eastAsia="Consolas" w:hAnsi="Consolas"/>
                <w:sz w:val="15"/>
                <w:szCs w:val="15"/>
              </w:rPr>
              <w:t xml:space="preserve">A escala de firma</w:t>
            </w:r>
          </w:p>
          <w:p>
            <w:pPr>
              <w:spacing w:after="0" w:line="216"/>
            </w:pPr>
            <w:r>
              <w:rPr>
                <w:rFonts w:ascii="Consolas" w:cs="Consolas" w:eastAsia="Consolas" w:hAnsi="Consolas"/>
                <w:sz w:val="15"/>
                <w:szCs w:val="15"/>
              </w:rPr>
              <w:t xml:space="preserve">  Casos nuevos al mes                                     45</w:t>
            </w:r>
          </w:p>
          <w:p>
            <w:pPr>
              <w:spacing w:after="0" w:line="216"/>
            </w:pPr>
            <w:r>
              <w:rPr>
                <w:rFonts w:ascii="Consolas" w:cs="Consolas" w:eastAsia="Consolas" w:hAnsi="Consolas"/>
                <w:sz w:val="15"/>
                <w:szCs w:val="15"/>
              </w:rPr>
              <w:t xml:space="preserve">  Precio promedio                                    $ 4,200</w:t>
            </w:r>
          </w:p>
          <w:p>
            <w:pPr>
              <w:spacing w:after="0" w:line="216"/>
            </w:pPr>
            <w:r>
              <w:rPr>
                <w:rFonts w:ascii="Consolas" w:cs="Consolas" w:eastAsia="Consolas" w:hAnsi="Consolas"/>
                <w:sz w:val="15"/>
                <w:szCs w:val="15"/>
              </w:rPr>
              <w:t xml:space="preserve">  Ingreso anual                                      $ 2.27 M</w:t>
            </w:r>
          </w:p>
          <w:p>
            <w:pPr>
              <w:spacing w:after="0" w:line="216"/>
            </w:pPr>
            <w:r>
              <w:rPr>
                <w:rFonts w:ascii="Consolas" w:cs="Consolas" w:eastAsia="Consolas" w:hAnsi="Consolas"/>
                <w:sz w:val="15"/>
                <w:szCs w:val="15"/>
              </w:rPr>
              <w:t xml:space="preserve">  Margen de contribucion anual (a $1,930/caso)       $ 1.04 M</w:t>
            </w:r>
          </w:p>
          <w:p>
            <w:pPr>
              <w:spacing w:after="0" w:line="216"/>
            </w:pPr>
            <w:r>
              <w:rPr>
                <w:rFonts w:ascii="Consolas" w:cs="Consolas" w:eastAsia="Consolas" w:hAnsi="Consolas"/>
                <w:sz w:val="15"/>
                <w:szCs w:val="15"/>
              </w:rPr>
              <w:t xml:space="preserve">  Costos fijos anuales                               $ 600,000</w:t>
            </w:r>
          </w:p>
          <w:p>
            <w:pPr>
              <w:spacing w:after="0" w:line="216"/>
            </w:pPr>
            <w:r>
              <w:rPr>
                <w:rFonts w:ascii="Consolas" w:cs="Consolas" w:eastAsia="Consolas" w:hAnsi="Consolas"/>
                <w:sz w:val="15"/>
                <w:szCs w:val="15"/>
              </w:rPr>
              <w:t xml:space="preserve">  Utilidad operativa                                 $ 442,000</w:t>
            </w:r>
          </w:p>
          <w:p>
            <w:pPr>
              <w:spacing w:after="0" w:line="216"/>
            </w:pPr>
            <w:r>
              <w:rPr>
                <w:rFonts w:ascii="Consolas" w:cs="Consolas" w:eastAsia="Consolas" w:hAnsi="Consolas"/>
                <w:sz w:val="15"/>
                <w:szCs w:val="15"/>
              </w:rPr>
              <w:t xml:space="preserve"> </w:t>
            </w:r>
          </w:p>
          <w:p>
            <w:pPr>
              <w:spacing w:after="0" w:line="216"/>
            </w:pPr>
            <w:r>
              <w:rPr>
                <w:rFonts w:ascii="Consolas" w:cs="Consolas" w:eastAsia="Consolas" w:hAnsi="Consolas"/>
                <w:sz w:val="15"/>
                <w:szCs w:val="15"/>
              </w:rPr>
              <w:t xml:space="preserve">  Casos necesarios para cubrir los costos fijos:</w:t>
            </w:r>
          </w:p>
          <w:p>
            <w:pPr>
              <w:spacing w:after="0" w:line="216"/>
            </w:pPr>
            <w:r>
              <w:rPr>
                <w:rFonts w:ascii="Consolas" w:cs="Consolas" w:eastAsia="Consolas" w:hAnsi="Consolas"/>
                <w:sz w:val="15"/>
                <w:szCs w:val="15"/>
              </w:rPr>
              <w:t xml:space="preserve">     $600,000 / $1,930 = 311 casos/ano  ~  26 casos/mes</w:t>
            </w:r>
          </w:p>
        </w:tc>
      </w:tr>
    </w:tbl>
    <w:p>
      <w:pPr>
        <w:spacing w:after="140"/>
      </w:pPr>
    </w:p>
    <w:p>
      <w:pPr>
        <w:spacing w:after="140" w:line="276"/>
      </w:pPr>
      <w:r>
        <w:rPr>
          <w:b/>
          <w:bCs/>
          <w:sz w:val="21"/>
          <w:szCs w:val="21"/>
        </w:rPr>
        <w:t xml:space="preserve">Las cuatro palancas, ordenadas por impacto real:</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500"/>
        <w:gridCol w:w="2100"/>
        <w:gridCol w:w="1500"/>
        <w:gridCol w:w="3160"/>
        <w:gridCol w:w="2100"/>
      </w:tblGrid>
      <w:tr>
        <w:trPr>
          <w:tblHeader/>
        </w:trPr>
        <w:tc>
          <w:tcPr>
            <w:tcW w:type="dxa" w:w="500"/>
            <w:shd w:fill="1F3864" w:val="clear"/>
            <w:tcMar>
              <w:top w:type="dxa" w:w="90"/>
              <w:left w:type="dxa" w:w="110"/>
              <w:bottom w:type="dxa" w:w="90"/>
              <w:right w:type="dxa" w:w="110"/>
            </w:tcMar>
          </w:tcPr>
          <w:p>
            <w:pPr>
              <w:spacing w:after="0" w:line="250"/>
            </w:pPr>
            <w:r>
              <w:rPr>
                <w:b/>
                <w:bCs/>
                <w:color w:val="FFFFFF"/>
                <w:sz w:val="19"/>
                <w:szCs w:val="19"/>
              </w:rPr>
              <w:t xml:space="preserve">#</w:t>
            </w:r>
          </w:p>
        </w:tc>
        <w:tc>
          <w:tcPr>
            <w:tcW w:type="dxa" w:w="2100"/>
            <w:shd w:fill="1F3864" w:val="clear"/>
            <w:tcMar>
              <w:top w:type="dxa" w:w="90"/>
              <w:left w:type="dxa" w:w="110"/>
              <w:bottom w:type="dxa" w:w="90"/>
              <w:right w:type="dxa" w:w="110"/>
            </w:tcMar>
          </w:tcPr>
          <w:p>
            <w:pPr>
              <w:spacing w:after="0" w:line="250"/>
            </w:pPr>
            <w:r>
              <w:rPr>
                <w:b/>
                <w:bCs/>
                <w:color w:val="FFFFFF"/>
                <w:sz w:val="19"/>
                <w:szCs w:val="19"/>
              </w:rPr>
              <w:t xml:space="preserve">Palanca</w:t>
            </w:r>
          </w:p>
        </w:tc>
        <w:tc>
          <w:tcPr>
            <w:tcW w:type="dxa" w:w="1500"/>
            <w:shd w:fill="1F3864" w:val="clear"/>
            <w:tcMar>
              <w:top w:type="dxa" w:w="90"/>
              <w:left w:type="dxa" w:w="110"/>
              <w:bottom w:type="dxa" w:w="90"/>
              <w:right w:type="dxa" w:w="110"/>
            </w:tcMar>
          </w:tcPr>
          <w:p>
            <w:pPr>
              <w:spacing w:after="0" w:line="250"/>
            </w:pPr>
            <w:r>
              <w:rPr>
                <w:b/>
                <w:bCs/>
                <w:color w:val="FFFFFF"/>
                <w:sz w:val="19"/>
                <w:szCs w:val="19"/>
              </w:rPr>
              <w:t xml:space="preserve">Movimiento</w:t>
            </w:r>
          </w:p>
        </w:tc>
        <w:tc>
          <w:tcPr>
            <w:tcW w:type="dxa" w:w="3160"/>
            <w:shd w:fill="1F3864" w:val="clear"/>
            <w:tcMar>
              <w:top w:type="dxa" w:w="90"/>
              <w:left w:type="dxa" w:w="110"/>
              <w:bottom w:type="dxa" w:w="90"/>
              <w:right w:type="dxa" w:w="110"/>
            </w:tcMar>
          </w:tcPr>
          <w:p>
            <w:pPr>
              <w:spacing w:after="0" w:line="250"/>
            </w:pPr>
            <w:r>
              <w:rPr>
                <w:b/>
                <w:bCs/>
                <w:color w:val="FFFFFF"/>
                <w:sz w:val="19"/>
                <w:szCs w:val="19"/>
              </w:rPr>
              <w:t xml:space="preserve">Efecto</w:t>
            </w:r>
          </w:p>
        </w:tc>
        <w:tc>
          <w:tcPr>
            <w:tcW w:type="dxa" w:w="2100"/>
            <w:shd w:fill="1F3864" w:val="clear"/>
            <w:tcMar>
              <w:top w:type="dxa" w:w="90"/>
              <w:left w:type="dxa" w:w="110"/>
              <w:bottom w:type="dxa" w:w="90"/>
              <w:right w:type="dxa" w:w="110"/>
            </w:tcMar>
          </w:tcPr>
          <w:p>
            <w:pPr>
              <w:spacing w:after="0" w:line="250"/>
            </w:pPr>
            <w:r>
              <w:rPr>
                <w:b/>
                <w:bCs/>
                <w:color w:val="FFFFFF"/>
                <w:sz w:val="19"/>
                <w:szCs w:val="19"/>
              </w:rPr>
              <w:t xml:space="preserve">¿Cuesta dinero?</w:t>
            </w:r>
          </w:p>
        </w:tc>
      </w:tr>
      <w:tr>
        <w:tc>
          <w:tcPr>
            <w:tcW w:type="dxa" w:w="500"/>
            <w:shd w:fill="FFFFFF" w:val="clear"/>
            <w:tcMar>
              <w:top w:type="dxa" w:w="80"/>
              <w:left w:type="dxa" w:w="110"/>
              <w:bottom w:type="dxa" w:w="80"/>
              <w:right w:type="dxa" w:w="110"/>
            </w:tcMar>
            <w:vAlign w:val="center"/>
          </w:tcPr>
          <w:p>
            <w:pPr>
              <w:spacing w:after="0" w:line="250"/>
            </w:pPr>
            <w:r>
              <w:rPr>
                <w:sz w:val="19"/>
                <w:szCs w:val="19"/>
              </w:rPr>
              <w:t xml:space="preserve">1</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Conversión de la consulta</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35 % → 45 %</w:t>
            </w:r>
          </w:p>
        </w:tc>
        <w:tc>
          <w:tcPr>
            <w:tcW w:type="dxa" w:w="3160"/>
            <w:shd w:fill="FFFFFF" w:val="clear"/>
            <w:tcMar>
              <w:top w:type="dxa" w:w="80"/>
              <w:left w:type="dxa" w:w="110"/>
              <w:bottom w:type="dxa" w:w="80"/>
              <w:right w:type="dxa" w:w="110"/>
            </w:tcMar>
            <w:vAlign w:val="center"/>
          </w:tcPr>
          <w:p>
            <w:pPr>
              <w:spacing w:after="0" w:line="250"/>
            </w:pPr>
            <w:r>
              <w:rPr>
                <w:b/>
                <w:bCs/>
                <w:sz w:val="19"/>
                <w:szCs w:val="19"/>
              </w:rPr>
              <w:t xml:space="preserve">+29 % de casos</w:t>
            </w:r>
            <w:r>
              <w:rPr>
                <w:sz w:val="19"/>
                <w:szCs w:val="19"/>
              </w:rPr>
              <w:t xml:space="preserve"> con el mismo gasto de marketing</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No — es proceso y disponibilidad</w:t>
            </w:r>
          </w:p>
        </w:tc>
      </w:tr>
      <w:tr>
        <w:tc>
          <w:tcPr>
            <w:tcW w:type="dxa" w:w="500"/>
            <w:shd w:fill="F5F7FA" w:val="clear"/>
            <w:tcMar>
              <w:top w:type="dxa" w:w="80"/>
              <w:left w:type="dxa" w:w="110"/>
              <w:bottom w:type="dxa" w:w="80"/>
              <w:right w:type="dxa" w:w="110"/>
            </w:tcMar>
            <w:vAlign w:val="center"/>
          </w:tcPr>
          <w:p>
            <w:pPr>
              <w:spacing w:after="0" w:line="250"/>
            </w:pPr>
            <w:r>
              <w:rPr>
                <w:sz w:val="19"/>
                <w:szCs w:val="19"/>
              </w:rPr>
              <w:t xml:space="preserve">2</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Horas de entrega</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6.5 h → 4.5 h</w:t>
            </w:r>
          </w:p>
        </w:tc>
        <w:tc>
          <w:tcPr>
            <w:tcW w:type="dxa" w:w="3160"/>
            <w:shd w:fill="F5F7FA" w:val="clear"/>
            <w:tcMar>
              <w:top w:type="dxa" w:w="80"/>
              <w:left w:type="dxa" w:w="110"/>
              <w:bottom w:type="dxa" w:w="80"/>
              <w:right w:type="dxa" w:w="110"/>
            </w:tcMar>
            <w:vAlign w:val="center"/>
          </w:tcPr>
          <w:p>
            <w:pPr>
              <w:spacing w:after="0" w:line="250"/>
            </w:pPr>
            <w:r>
              <w:rPr>
                <w:sz w:val="19"/>
                <w:szCs w:val="19"/>
              </w:rPr>
              <w:t xml:space="preserve">+$210 por caso (+11 %)</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Inversión inicial en plantillas y formación</w:t>
            </w:r>
          </w:p>
        </w:tc>
      </w:tr>
      <w:tr>
        <w:tc>
          <w:tcPr>
            <w:tcW w:type="dxa" w:w="500"/>
            <w:shd w:fill="FFFFFF" w:val="clear"/>
            <w:tcMar>
              <w:top w:type="dxa" w:w="80"/>
              <w:left w:type="dxa" w:w="110"/>
              <w:bottom w:type="dxa" w:w="80"/>
              <w:right w:type="dxa" w:w="110"/>
            </w:tcMar>
            <w:vAlign w:val="center"/>
          </w:tcPr>
          <w:p>
            <w:pPr>
              <w:spacing w:after="0" w:line="250"/>
            </w:pPr>
            <w:r>
              <w:rPr>
                <w:sz w:val="19"/>
                <w:szCs w:val="19"/>
              </w:rPr>
              <w:t xml:space="preserve">3</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Precio</w:t>
            </w:r>
          </w:p>
        </w:tc>
        <w:tc>
          <w:tcPr>
            <w:tcW w:type="dxa" w:w="1500"/>
            <w:shd w:fill="FFFFFF" w:val="clear"/>
            <w:tcMar>
              <w:top w:type="dxa" w:w="80"/>
              <w:left w:type="dxa" w:w="110"/>
              <w:bottom w:type="dxa" w:w="80"/>
              <w:right w:type="dxa" w:w="110"/>
            </w:tcMar>
            <w:vAlign w:val="center"/>
          </w:tcPr>
          <w:p>
            <w:pPr>
              <w:spacing w:after="0" w:line="250"/>
            </w:pPr>
            <w:r>
              <w:rPr>
                <w:sz w:val="19"/>
                <w:szCs w:val="19"/>
              </w:rPr>
              <w:t xml:space="preserve">+8 %</w:t>
            </w:r>
          </w:p>
        </w:tc>
        <w:tc>
          <w:tcPr>
            <w:tcW w:type="dxa" w:w="3160"/>
            <w:shd w:fill="FFFFFF" w:val="clear"/>
            <w:tcMar>
              <w:top w:type="dxa" w:w="80"/>
              <w:left w:type="dxa" w:w="110"/>
              <w:bottom w:type="dxa" w:w="80"/>
              <w:right w:type="dxa" w:w="110"/>
            </w:tcMar>
            <w:vAlign w:val="center"/>
          </w:tcPr>
          <w:p>
            <w:pPr>
              <w:spacing w:after="0" w:line="250"/>
            </w:pPr>
            <w:r>
              <w:rPr>
                <w:sz w:val="19"/>
                <w:szCs w:val="19"/>
              </w:rPr>
              <w:t xml:space="preserve">+$336 por caso (+17 %)</w:t>
            </w:r>
          </w:p>
        </w:tc>
        <w:tc>
          <w:tcPr>
            <w:tcW w:type="dxa" w:w="2100"/>
            <w:shd w:fill="FFFFFF" w:val="clear"/>
            <w:tcMar>
              <w:top w:type="dxa" w:w="80"/>
              <w:left w:type="dxa" w:w="110"/>
              <w:bottom w:type="dxa" w:w="80"/>
              <w:right w:type="dxa" w:w="110"/>
            </w:tcMar>
            <w:vAlign w:val="center"/>
          </w:tcPr>
          <w:p>
            <w:pPr>
              <w:spacing w:after="0" w:line="250"/>
            </w:pPr>
            <w:r>
              <w:rPr>
                <w:sz w:val="19"/>
                <w:szCs w:val="19"/>
              </w:rPr>
              <w:t xml:space="preserve">No, pero tiene riesgo comercial</w:t>
            </w:r>
          </w:p>
        </w:tc>
      </w:tr>
      <w:tr>
        <w:tc>
          <w:tcPr>
            <w:tcW w:type="dxa" w:w="500"/>
            <w:shd w:fill="F5F7FA" w:val="clear"/>
            <w:tcMar>
              <w:top w:type="dxa" w:w="80"/>
              <w:left w:type="dxa" w:w="110"/>
              <w:bottom w:type="dxa" w:w="80"/>
              <w:right w:type="dxa" w:w="110"/>
            </w:tcMar>
            <w:vAlign w:val="center"/>
          </w:tcPr>
          <w:p>
            <w:pPr>
              <w:spacing w:after="0" w:line="250"/>
            </w:pPr>
            <w:r>
              <w:rPr>
                <w:sz w:val="19"/>
                <w:szCs w:val="19"/>
              </w:rPr>
              <w:t xml:space="preserve">4</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CAC</w:t>
            </w:r>
          </w:p>
        </w:tc>
        <w:tc>
          <w:tcPr>
            <w:tcW w:type="dxa" w:w="1500"/>
            <w:shd w:fill="F5F7FA" w:val="clear"/>
            <w:tcMar>
              <w:top w:type="dxa" w:w="80"/>
              <w:left w:type="dxa" w:w="110"/>
              <w:bottom w:type="dxa" w:w="80"/>
              <w:right w:type="dxa" w:w="110"/>
            </w:tcMar>
            <w:vAlign w:val="center"/>
          </w:tcPr>
          <w:p>
            <w:pPr>
              <w:spacing w:after="0" w:line="250"/>
            </w:pPr>
            <w:r>
              <w:rPr>
                <w:sz w:val="19"/>
                <w:szCs w:val="19"/>
              </w:rPr>
              <w:t xml:space="preserve">$650 → $450</w:t>
            </w:r>
          </w:p>
        </w:tc>
        <w:tc>
          <w:tcPr>
            <w:tcW w:type="dxa" w:w="3160"/>
            <w:shd w:fill="F5F7FA" w:val="clear"/>
            <w:tcMar>
              <w:top w:type="dxa" w:w="80"/>
              <w:left w:type="dxa" w:w="110"/>
              <w:bottom w:type="dxa" w:w="80"/>
              <w:right w:type="dxa" w:w="110"/>
            </w:tcMar>
            <w:vAlign w:val="center"/>
          </w:tcPr>
          <w:p>
            <w:pPr>
              <w:spacing w:after="0" w:line="250"/>
            </w:pPr>
            <w:r>
              <w:rPr>
                <w:sz w:val="19"/>
                <w:szCs w:val="19"/>
              </w:rPr>
              <w:t xml:space="preserve">+$200 por caso (+10 %)</w:t>
            </w:r>
          </w:p>
        </w:tc>
        <w:tc>
          <w:tcPr>
            <w:tcW w:type="dxa" w:w="2100"/>
            <w:shd w:fill="F5F7FA" w:val="clear"/>
            <w:tcMar>
              <w:top w:type="dxa" w:w="80"/>
              <w:left w:type="dxa" w:w="110"/>
              <w:bottom w:type="dxa" w:w="80"/>
              <w:right w:type="dxa" w:w="110"/>
            </w:tcMar>
            <w:vAlign w:val="center"/>
          </w:tcPr>
          <w:p>
            <w:pPr>
              <w:spacing w:after="0" w:line="250"/>
            </w:pPr>
            <w:r>
              <w:rPr>
                <w:sz w:val="19"/>
                <w:szCs w:val="19"/>
              </w:rPr>
              <w:t xml:space="preserve">No — es mezcla de canal hacia referidos</w:t>
            </w:r>
          </w:p>
        </w:tc>
      </w:tr>
    </w:tbl>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La palanca número 1 es casi siempre la más grande y casi nunca la que se atiende</w:t>
            </w:r>
          </w:p>
          <w:p>
            <w:pPr>
              <w:spacing w:after="90" w:line="264"/>
            </w:pPr>
            <w:r>
              <w:rPr>
                <w:sz w:val="21"/>
                <w:szCs w:val="21"/>
              </w:rPr>
              <w:t xml:space="preserve">Aumentar la conversión de consulta del 35 % al 45 % produce el mismo efecto que aumentar el presupuesto de marketing en un 29 % — y no cuesta nada, porque ese dinero </w:t>
            </w:r>
            <w:r>
              <w:rPr>
                <w:b/>
                <w:bCs/>
                <w:sz w:val="21"/>
                <w:szCs w:val="21"/>
              </w:rPr>
              <w:t xml:space="preserve">ya se gastó</w:t>
            </w:r>
            <w:r>
              <w:rPr>
                <w:sz w:val="21"/>
                <w:szCs w:val="21"/>
              </w:rPr>
              <w:t xml:space="preserve"> en generar la consulta.</w:t>
            </w:r>
          </w:p>
          <w:p>
            <w:pPr>
              <w:spacing w:after="90" w:line="264"/>
            </w:pPr>
            <w:r>
              <w:rPr>
                <w:sz w:val="21"/>
                <w:szCs w:val="21"/>
              </w:rPr>
              <w:t xml:space="preserve">Los tres puntos donde se pierde, por orden de frecuencia: </w:t>
            </w:r>
            <w:r>
              <w:rPr>
                <w:b/>
                <w:bCs/>
                <w:sz w:val="21"/>
                <w:szCs w:val="21"/>
              </w:rPr>
              <w:t xml:space="preserve">el tiempo de respuesta</w:t>
            </w:r>
            <w:r>
              <w:rPr>
                <w:sz w:val="21"/>
                <w:szCs w:val="21"/>
              </w:rPr>
              <w:t xml:space="preserve"> (una consulta contestada en una hora convierte mucho mejor que una contestada al día siguiente), </w:t>
            </w:r>
            <w:r>
              <w:rPr>
                <w:b/>
                <w:bCs/>
                <w:sz w:val="21"/>
                <w:szCs w:val="21"/>
              </w:rPr>
              <w:t xml:space="preserve">quién atiende</w:t>
            </w:r>
            <w:r>
              <w:rPr>
                <w:sz w:val="21"/>
                <w:szCs w:val="21"/>
              </w:rPr>
              <w:t xml:space="preserve"> (la persona equivocada entre dos audiencias), y </w:t>
            </w:r>
            <w:r>
              <w:rPr>
                <w:b/>
                <w:bCs/>
                <w:sz w:val="21"/>
                <w:szCs w:val="21"/>
              </w:rPr>
              <w:t xml:space="preserve">si se pide el cierre</w:t>
            </w:r>
            <w:r>
              <w:rPr>
                <w:sz w:val="21"/>
                <w:szCs w:val="21"/>
              </w:rPr>
              <w:t xml:space="preserve"> (muchas consultas terminan en «piénselo y nos llama» en lugar de en una decisión).</w:t>
            </w:r>
          </w:p>
          <w:p>
            <w:pPr>
              <w:spacing w:after="90" w:line="264"/>
            </w:pPr>
            <w:r>
              <w:rPr>
                <w:sz w:val="21"/>
                <w:szCs w:val="21"/>
              </w:rPr>
              <w:t xml:space="preserve">Antes de gastar un dólar más en publicidad, medir estos tres.</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13. Cuadro de mando</w:t>
      </w:r>
    </w:p>
    <w:p>
      <w:pPr>
        <w:pStyle w:val="Heading2"/>
        <w:spacing w:after="140" w:before="320"/>
      </w:pPr>
      <w:r>
        <w:rPr>
          <w:rFonts w:ascii="Calibri" w:cs="Calibri" w:eastAsia="Calibri" w:hAnsi="Calibri"/>
          <w:b/>
          <w:bCs/>
          <w:color w:val="1F3864"/>
          <w:sz w:val="25"/>
          <w:szCs w:val="25"/>
        </w:rPr>
        <w:t xml:space="preserve">13.1 El panel completo</w:t>
      </w:r>
    </w:p>
    <w:p>
      <w:pPr>
        <w:pStyle w:val="Heading3"/>
        <w:spacing w:after="100" w:before="240"/>
      </w:pPr>
      <w:r>
        <w:rPr>
          <w:rFonts w:ascii="Calibri" w:cs="Calibri" w:eastAsia="Calibri" w:hAnsi="Calibri"/>
          <w:b/>
          <w:bCs/>
          <w:color w:val="44546A"/>
          <w:sz w:val="22"/>
          <w:szCs w:val="22"/>
        </w:rPr>
        <w:t xml:space="preserve">Financieros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200"/>
        <w:gridCol w:w="3400"/>
        <w:gridCol w:w="3760"/>
      </w:tblGrid>
      <w:tr>
        <w:trPr>
          <w:tblHeader/>
        </w:trPr>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Indicador</w:t>
            </w:r>
          </w:p>
        </w:tc>
        <w:tc>
          <w:tcPr>
            <w:tcW w:type="dxa" w:w="3400"/>
            <w:shd w:fill="1F3864" w:val="clear"/>
            <w:tcMar>
              <w:top w:type="dxa" w:w="90"/>
              <w:left w:type="dxa" w:w="110"/>
              <w:bottom w:type="dxa" w:w="90"/>
              <w:right w:type="dxa" w:w="110"/>
            </w:tcMar>
          </w:tcPr>
          <w:p>
            <w:pPr>
              <w:spacing w:after="0" w:line="250"/>
            </w:pPr>
            <w:r>
              <w:rPr>
                <w:b/>
                <w:bCs/>
                <w:color w:val="FFFFFF"/>
                <w:sz w:val="19"/>
                <w:szCs w:val="19"/>
              </w:rPr>
              <w:t xml:space="preserve">Definición</w:t>
            </w:r>
          </w:p>
        </w:tc>
        <w:tc>
          <w:tcPr>
            <w:tcW w:type="dxa" w:w="3760"/>
            <w:shd w:fill="1F3864" w:val="clear"/>
            <w:tcMar>
              <w:top w:type="dxa" w:w="90"/>
              <w:left w:type="dxa" w:w="110"/>
              <w:bottom w:type="dxa" w:w="90"/>
              <w:right w:type="dxa" w:w="110"/>
            </w:tcMar>
          </w:tcPr>
          <w:p>
            <w:pPr>
              <w:spacing w:after="0" w:line="250"/>
            </w:pPr>
            <w:r>
              <w:rPr>
                <w:b/>
                <w:bCs/>
                <w:color w:val="FFFFFF"/>
                <w:sz w:val="19"/>
                <w:szCs w:val="19"/>
              </w:rPr>
              <w:t xml:space="preserve">Por qué importa</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Ingreso por abogado</w:t>
            </w:r>
          </w:p>
        </w:tc>
        <w:tc>
          <w:tcPr>
            <w:tcW w:type="dxa" w:w="3400"/>
            <w:shd w:fill="FFFFFF" w:val="clear"/>
            <w:tcMar>
              <w:top w:type="dxa" w:w="80"/>
              <w:left w:type="dxa" w:w="110"/>
              <w:bottom w:type="dxa" w:w="80"/>
              <w:right w:type="dxa" w:w="110"/>
            </w:tcMar>
            <w:vAlign w:val="center"/>
          </w:tcPr>
          <w:p>
            <w:pPr>
              <w:spacing w:after="0" w:line="250"/>
            </w:pPr>
            <w:r>
              <w:rPr>
                <w:sz w:val="19"/>
                <w:szCs w:val="19"/>
              </w:rPr>
              <w:t xml:space="preserve">Ingreso ÷ número de abogados</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Comparabilidad y productividad</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Utilidad por propietario</w:t>
            </w:r>
          </w:p>
        </w:tc>
        <w:tc>
          <w:tcPr>
            <w:tcW w:type="dxa" w:w="3400"/>
            <w:shd w:fill="F5F7FA" w:val="clear"/>
            <w:tcMar>
              <w:top w:type="dxa" w:w="80"/>
              <w:left w:type="dxa" w:w="110"/>
              <w:bottom w:type="dxa" w:w="80"/>
              <w:right w:type="dxa" w:w="110"/>
            </w:tcMar>
            <w:vAlign w:val="center"/>
          </w:tcPr>
          <w:p>
            <w:pPr>
              <w:spacing w:after="0" w:line="250"/>
            </w:pPr>
            <w:r>
              <w:rPr>
                <w:sz w:val="19"/>
                <w:szCs w:val="19"/>
              </w:rPr>
              <w:t xml:space="preserve">Utilidad ÷ número de propietarios</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La métrica de referencia del sector (PEP)</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Margen operativo</w:t>
            </w:r>
          </w:p>
        </w:tc>
        <w:tc>
          <w:tcPr>
            <w:tcW w:type="dxa" w:w="3400"/>
            <w:shd w:fill="FFFFFF" w:val="clear"/>
            <w:tcMar>
              <w:top w:type="dxa" w:w="80"/>
              <w:left w:type="dxa" w:w="110"/>
              <w:bottom w:type="dxa" w:w="80"/>
              <w:right w:type="dxa" w:w="110"/>
            </w:tcMar>
            <w:vAlign w:val="center"/>
          </w:tcPr>
          <w:p>
            <w:pPr>
              <w:spacing w:after="0" w:line="250"/>
            </w:pPr>
            <w:r>
              <w:rPr>
                <w:sz w:val="19"/>
                <w:szCs w:val="19"/>
              </w:rPr>
              <w:t xml:space="preserve">Utilidad ÷ ingreso</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Salud del modelo</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Realización de cobro</w:t>
            </w:r>
          </w:p>
        </w:tc>
        <w:tc>
          <w:tcPr>
            <w:tcW w:type="dxa" w:w="3400"/>
            <w:shd w:fill="F5F7FA" w:val="clear"/>
            <w:tcMar>
              <w:top w:type="dxa" w:w="80"/>
              <w:left w:type="dxa" w:w="110"/>
              <w:bottom w:type="dxa" w:w="80"/>
              <w:right w:type="dxa" w:w="110"/>
            </w:tcMar>
            <w:vAlign w:val="center"/>
          </w:tcPr>
          <w:p>
            <w:pPr>
              <w:spacing w:after="0" w:line="250"/>
            </w:pPr>
            <w:r>
              <w:rPr>
                <w:sz w:val="19"/>
                <w:szCs w:val="19"/>
              </w:rPr>
              <w:t xml:space="preserve">Cobrado ÷ facturado o comprometido</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La fuga más común</w:t>
            </w:r>
          </w:p>
        </w:tc>
      </w:tr>
      <w:tr>
        <w:tc>
          <w:tcPr>
            <w:tcW w:type="dxa" w:w="2200"/>
            <w:shd w:fill="FFFFFF" w:val="clear"/>
            <w:tcMar>
              <w:top w:type="dxa" w:w="80"/>
              <w:left w:type="dxa" w:w="110"/>
              <w:bottom w:type="dxa" w:w="80"/>
              <w:right w:type="dxa" w:w="110"/>
            </w:tcMar>
            <w:vAlign w:val="center"/>
          </w:tcPr>
          <w:p>
            <w:pPr>
              <w:spacing w:after="0" w:line="250"/>
            </w:pPr>
            <w:r>
              <w:rPr>
                <w:sz w:val="19"/>
                <w:szCs w:val="19"/>
              </w:rPr>
              <w:t xml:space="preserve">Lockup</w:t>
            </w:r>
          </w:p>
        </w:tc>
        <w:tc>
          <w:tcPr>
            <w:tcW w:type="dxa" w:w="3400"/>
            <w:shd w:fill="FFFFFF" w:val="clear"/>
            <w:tcMar>
              <w:top w:type="dxa" w:w="80"/>
              <w:left w:type="dxa" w:w="110"/>
              <w:bottom w:type="dxa" w:w="80"/>
              <w:right w:type="dxa" w:w="110"/>
            </w:tcMar>
            <w:vAlign w:val="center"/>
          </w:tcPr>
          <w:p>
            <w:pPr>
              <w:spacing w:after="0" w:line="250"/>
            </w:pPr>
            <w:r>
              <w:rPr>
                <w:sz w:val="19"/>
                <w:szCs w:val="19"/>
              </w:rPr>
              <w:t xml:space="preserve">Días de trabajo en curso + días por cobrar</w:t>
            </w:r>
          </w:p>
        </w:tc>
        <w:tc>
          <w:tcPr>
            <w:tcW w:type="dxa" w:w="3760"/>
            <w:shd w:fill="FFFFFF" w:val="clear"/>
            <w:tcMar>
              <w:top w:type="dxa" w:w="80"/>
              <w:left w:type="dxa" w:w="110"/>
              <w:bottom w:type="dxa" w:w="80"/>
              <w:right w:type="dxa" w:w="110"/>
            </w:tcMar>
            <w:vAlign w:val="center"/>
          </w:tcPr>
          <w:p>
            <w:pPr>
              <w:spacing w:after="0" w:line="250"/>
            </w:pPr>
            <w:r>
              <w:rPr>
                <w:sz w:val="19"/>
                <w:szCs w:val="19"/>
              </w:rPr>
              <w:t xml:space="preserve">La caja real</w:t>
            </w:r>
          </w:p>
        </w:tc>
      </w:tr>
      <w:tr>
        <w:tc>
          <w:tcPr>
            <w:tcW w:type="dxa" w:w="2200"/>
            <w:shd w:fill="F5F7FA" w:val="clear"/>
            <w:tcMar>
              <w:top w:type="dxa" w:w="80"/>
              <w:left w:type="dxa" w:w="110"/>
              <w:bottom w:type="dxa" w:w="80"/>
              <w:right w:type="dxa" w:w="110"/>
            </w:tcMar>
            <w:vAlign w:val="center"/>
          </w:tcPr>
          <w:p>
            <w:pPr>
              <w:spacing w:after="0" w:line="250"/>
            </w:pPr>
            <w:r>
              <w:rPr>
                <w:sz w:val="19"/>
                <w:szCs w:val="19"/>
              </w:rPr>
              <w:t xml:space="preserve">Margen por tipo de caso</w:t>
            </w:r>
          </w:p>
        </w:tc>
        <w:tc>
          <w:tcPr>
            <w:tcW w:type="dxa" w:w="3400"/>
            <w:shd w:fill="F5F7FA" w:val="clear"/>
            <w:tcMar>
              <w:top w:type="dxa" w:w="80"/>
              <w:left w:type="dxa" w:w="110"/>
              <w:bottom w:type="dxa" w:w="80"/>
              <w:right w:type="dxa" w:w="110"/>
            </w:tcMar>
            <w:vAlign w:val="center"/>
          </w:tcPr>
          <w:p>
            <w:pPr>
              <w:spacing w:after="0" w:line="250"/>
            </w:pPr>
            <w:r>
              <w:rPr>
                <w:sz w:val="19"/>
                <w:szCs w:val="19"/>
              </w:rPr>
              <w:t xml:space="preserve">Utilidad del caso ÷ precio del caso</w:t>
            </w:r>
          </w:p>
        </w:tc>
        <w:tc>
          <w:tcPr>
            <w:tcW w:type="dxa" w:w="3760"/>
            <w:shd w:fill="F5F7FA" w:val="clear"/>
            <w:tcMar>
              <w:top w:type="dxa" w:w="80"/>
              <w:left w:type="dxa" w:w="110"/>
              <w:bottom w:type="dxa" w:w="80"/>
              <w:right w:type="dxa" w:w="110"/>
            </w:tcMar>
            <w:vAlign w:val="center"/>
          </w:tcPr>
          <w:p>
            <w:pPr>
              <w:spacing w:after="0" w:line="250"/>
            </w:pPr>
            <w:r>
              <w:rPr>
                <w:sz w:val="19"/>
                <w:szCs w:val="19"/>
              </w:rPr>
              <w:t xml:space="preserve">Dice qué producto sostiene la firma</w:t>
            </w:r>
          </w:p>
        </w:tc>
      </w:tr>
    </w:tbl>
    <w:p>
      <w:pPr>
        <w:spacing w:after="140"/>
      </w:pPr>
    </w:p>
    <w:p>
      <w:pPr>
        <w:pStyle w:val="Heading3"/>
        <w:spacing w:after="100" w:before="240"/>
      </w:pPr>
      <w:r>
        <w:rPr>
          <w:rFonts w:ascii="Calibri" w:cs="Calibri" w:eastAsia="Calibri" w:hAnsi="Calibri"/>
          <w:b/>
          <w:bCs/>
          <w:color w:val="44546A"/>
          <w:sz w:val="22"/>
          <w:szCs w:val="22"/>
        </w:rPr>
        <w:t xml:space="preserve">Operativos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3400"/>
        <w:gridCol w:w="5960"/>
      </w:tblGrid>
      <w:tr>
        <w:trPr>
          <w:tblHeader/>
        </w:trPr>
        <w:tc>
          <w:tcPr>
            <w:tcW w:type="dxa" w:w="3400"/>
            <w:shd w:fill="1F3864" w:val="clear"/>
            <w:tcMar>
              <w:top w:type="dxa" w:w="90"/>
              <w:left w:type="dxa" w:w="110"/>
              <w:bottom w:type="dxa" w:w="90"/>
              <w:right w:type="dxa" w:w="110"/>
            </w:tcMar>
          </w:tcPr>
          <w:p>
            <w:pPr>
              <w:spacing w:after="0" w:line="250"/>
            </w:pPr>
            <w:r>
              <w:rPr>
                <w:b/>
                <w:bCs/>
                <w:color w:val="FFFFFF"/>
                <w:sz w:val="19"/>
                <w:szCs w:val="19"/>
              </w:rPr>
              <w:t xml:space="preserve">Indicador</w:t>
            </w:r>
          </w:p>
        </w:tc>
        <w:tc>
          <w:tcPr>
            <w:tcW w:type="dxa" w:w="5960"/>
            <w:shd w:fill="1F3864" w:val="clear"/>
            <w:tcMar>
              <w:top w:type="dxa" w:w="90"/>
              <w:left w:type="dxa" w:w="110"/>
              <w:bottom w:type="dxa" w:w="90"/>
              <w:right w:type="dxa" w:w="110"/>
            </w:tcMar>
          </w:tcPr>
          <w:p>
            <w:pPr>
              <w:spacing w:after="0" w:line="250"/>
            </w:pPr>
            <w:r>
              <w:rPr>
                <w:b/>
                <w:bCs/>
                <w:color w:val="FFFFFF"/>
                <w:sz w:val="19"/>
                <w:szCs w:val="19"/>
              </w:rPr>
              <w:t xml:space="preserve">Definición</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Casos activos por persona</w:t>
            </w:r>
          </w:p>
        </w:tc>
        <w:tc>
          <w:tcPr>
            <w:tcW w:type="dxa" w:w="5960"/>
            <w:shd w:fill="FFFFFF" w:val="clear"/>
            <w:tcMar>
              <w:top w:type="dxa" w:w="80"/>
              <w:left w:type="dxa" w:w="110"/>
              <w:bottom w:type="dxa" w:w="80"/>
              <w:right w:type="dxa" w:w="110"/>
            </w:tcMar>
            <w:vAlign w:val="center"/>
          </w:tcPr>
          <w:p>
            <w:pPr>
              <w:spacing w:after="0" w:line="250"/>
            </w:pPr>
            <w:r>
              <w:rPr>
                <w:sz w:val="19"/>
                <w:szCs w:val="19"/>
              </w:rPr>
              <w:t xml:space="preserve">Carga real de trabajo; predice la calidad antes de que se caiga</w:t>
            </w:r>
          </w:p>
        </w:tc>
      </w:tr>
      <w:tr>
        <w:tc>
          <w:tcPr>
            <w:tcW w:type="dxa" w:w="3400"/>
            <w:shd w:fill="F5F7FA" w:val="clear"/>
            <w:tcMar>
              <w:top w:type="dxa" w:w="80"/>
              <w:left w:type="dxa" w:w="110"/>
              <w:bottom w:type="dxa" w:w="80"/>
              <w:right w:type="dxa" w:w="110"/>
            </w:tcMar>
            <w:vAlign w:val="center"/>
          </w:tcPr>
          <w:p>
            <w:pPr>
              <w:spacing w:after="0" w:line="250"/>
            </w:pPr>
            <w:r>
              <w:rPr>
                <w:sz w:val="19"/>
                <w:szCs w:val="19"/>
              </w:rPr>
              <w:t xml:space="preserve">Horas de entrega por tipo de caso</w:t>
            </w:r>
          </w:p>
        </w:tc>
        <w:tc>
          <w:tcPr>
            <w:tcW w:type="dxa" w:w="5960"/>
            <w:shd w:fill="F5F7FA" w:val="clear"/>
            <w:tcMar>
              <w:top w:type="dxa" w:w="80"/>
              <w:left w:type="dxa" w:w="110"/>
              <w:bottom w:type="dxa" w:w="80"/>
              <w:right w:type="dxa" w:w="110"/>
            </w:tcMar>
            <w:vAlign w:val="center"/>
          </w:tcPr>
          <w:p>
            <w:pPr>
              <w:spacing w:after="0" w:line="250"/>
            </w:pPr>
            <w:r>
              <w:rPr>
                <w:sz w:val="19"/>
                <w:szCs w:val="19"/>
              </w:rPr>
              <w:t xml:space="preserve">La palanca 2 de la Parte 12</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Tasa de reproceso</w:t>
            </w:r>
          </w:p>
        </w:tc>
        <w:tc>
          <w:tcPr>
            <w:tcW w:type="dxa" w:w="5960"/>
            <w:shd w:fill="FFFFFF" w:val="clear"/>
            <w:tcMar>
              <w:top w:type="dxa" w:w="80"/>
              <w:left w:type="dxa" w:w="110"/>
              <w:bottom w:type="dxa" w:w="80"/>
              <w:right w:type="dxa" w:w="110"/>
            </w:tcMar>
            <w:vAlign w:val="center"/>
          </w:tcPr>
          <w:p>
            <w:pPr>
              <w:spacing w:after="0" w:line="250"/>
            </w:pPr>
            <w:r>
              <w:rPr>
                <w:sz w:val="19"/>
                <w:szCs w:val="19"/>
              </w:rPr>
              <w:t xml:space="preserve">% de casos con RFE, rechazo por forma o corrección evitable</w:t>
            </w:r>
          </w:p>
        </w:tc>
      </w:tr>
      <w:tr>
        <w:tc>
          <w:tcPr>
            <w:tcW w:type="dxa" w:w="3400"/>
            <w:shd w:fill="F5F7FA" w:val="clear"/>
            <w:tcMar>
              <w:top w:type="dxa" w:w="80"/>
              <w:left w:type="dxa" w:w="110"/>
              <w:bottom w:type="dxa" w:w="80"/>
              <w:right w:type="dxa" w:w="110"/>
            </w:tcMar>
            <w:vAlign w:val="center"/>
          </w:tcPr>
          <w:p>
            <w:pPr>
              <w:spacing w:after="0" w:line="250"/>
            </w:pPr>
            <w:r>
              <w:rPr>
                <w:sz w:val="19"/>
                <w:szCs w:val="19"/>
              </w:rPr>
              <w:t xml:space="preserve">Desbordamiento de alcance</w:t>
            </w:r>
          </w:p>
        </w:tc>
        <w:tc>
          <w:tcPr>
            <w:tcW w:type="dxa" w:w="5960"/>
            <w:shd w:fill="F5F7FA" w:val="clear"/>
            <w:tcMar>
              <w:top w:type="dxa" w:w="80"/>
              <w:left w:type="dxa" w:w="110"/>
              <w:bottom w:type="dxa" w:w="80"/>
              <w:right w:type="dxa" w:w="110"/>
            </w:tcMar>
            <w:vAlign w:val="center"/>
          </w:tcPr>
          <w:p>
            <w:pPr>
              <w:spacing w:after="0" w:line="250"/>
            </w:pPr>
            <w:r>
              <w:rPr>
                <w:sz w:val="19"/>
                <w:szCs w:val="19"/>
              </w:rPr>
              <w:t xml:space="preserve">% de casos que excedieron el trabajo cotizado</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Ciclo del caso</w:t>
            </w:r>
          </w:p>
        </w:tc>
        <w:tc>
          <w:tcPr>
            <w:tcW w:type="dxa" w:w="5960"/>
            <w:shd w:fill="FFFFFF" w:val="clear"/>
            <w:tcMar>
              <w:top w:type="dxa" w:w="80"/>
              <w:left w:type="dxa" w:w="110"/>
              <w:bottom w:type="dxa" w:w="80"/>
              <w:right w:type="dxa" w:w="110"/>
            </w:tcMar>
            <w:vAlign w:val="center"/>
          </w:tcPr>
          <w:p>
            <w:pPr>
              <w:spacing w:after="0" w:line="250"/>
            </w:pPr>
            <w:r>
              <w:rPr>
                <w:sz w:val="19"/>
                <w:szCs w:val="19"/>
              </w:rPr>
              <w:t xml:space="preserve">Días desde la firma hasta la presentación (lo que controlamos)</w:t>
            </w:r>
          </w:p>
        </w:tc>
      </w:tr>
    </w:tbl>
    <w:p>
      <w:pPr>
        <w:spacing w:after="140"/>
      </w:pPr>
    </w:p>
    <w:p>
      <w:pPr>
        <w:pStyle w:val="Heading3"/>
        <w:spacing w:after="100" w:before="240"/>
      </w:pPr>
      <w:r>
        <w:rPr>
          <w:rFonts w:ascii="Calibri" w:cs="Calibri" w:eastAsia="Calibri" w:hAnsi="Calibri"/>
          <w:b/>
          <w:bCs/>
          <w:color w:val="44546A"/>
          <w:sz w:val="22"/>
          <w:szCs w:val="22"/>
        </w:rPr>
        <w:t xml:space="preserve">Comerciales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3400"/>
        <w:gridCol w:w="5960"/>
      </w:tblGrid>
      <w:tr>
        <w:trPr>
          <w:tblHeader/>
        </w:trPr>
        <w:tc>
          <w:tcPr>
            <w:tcW w:type="dxa" w:w="3400"/>
            <w:shd w:fill="1F3864" w:val="clear"/>
            <w:tcMar>
              <w:top w:type="dxa" w:w="90"/>
              <w:left w:type="dxa" w:w="110"/>
              <w:bottom w:type="dxa" w:w="90"/>
              <w:right w:type="dxa" w:w="110"/>
            </w:tcMar>
          </w:tcPr>
          <w:p>
            <w:pPr>
              <w:spacing w:after="0" w:line="250"/>
            </w:pPr>
            <w:r>
              <w:rPr>
                <w:b/>
                <w:bCs/>
                <w:color w:val="FFFFFF"/>
                <w:sz w:val="19"/>
                <w:szCs w:val="19"/>
              </w:rPr>
              <w:t xml:space="preserve">Indicador</w:t>
            </w:r>
          </w:p>
        </w:tc>
        <w:tc>
          <w:tcPr>
            <w:tcW w:type="dxa" w:w="5960"/>
            <w:shd w:fill="1F3864" w:val="clear"/>
            <w:tcMar>
              <w:top w:type="dxa" w:w="90"/>
              <w:left w:type="dxa" w:w="110"/>
              <w:bottom w:type="dxa" w:w="90"/>
              <w:right w:type="dxa" w:w="110"/>
            </w:tcMar>
          </w:tcPr>
          <w:p>
            <w:pPr>
              <w:spacing w:after="0" w:line="250"/>
            </w:pPr>
            <w:r>
              <w:rPr>
                <w:b/>
                <w:bCs/>
                <w:color w:val="FFFFFF"/>
                <w:sz w:val="19"/>
                <w:szCs w:val="19"/>
              </w:rPr>
              <w:t xml:space="preserve">Definición</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CAC por canal</w:t>
            </w:r>
          </w:p>
        </w:tc>
        <w:tc>
          <w:tcPr>
            <w:tcW w:type="dxa" w:w="5960"/>
            <w:shd w:fill="FFFFFF" w:val="clear"/>
            <w:tcMar>
              <w:top w:type="dxa" w:w="80"/>
              <w:left w:type="dxa" w:w="110"/>
              <w:bottom w:type="dxa" w:w="80"/>
              <w:right w:type="dxa" w:w="110"/>
            </w:tcMar>
            <w:vAlign w:val="center"/>
          </w:tcPr>
          <w:p>
            <w:pPr>
              <w:spacing w:after="0" w:line="250"/>
            </w:pPr>
            <w:r>
              <w:rPr>
                <w:sz w:val="19"/>
                <w:szCs w:val="19"/>
              </w:rPr>
              <w:t xml:space="preserve">Gasto del canal ÷ casos firmados de ese canal</w:t>
            </w:r>
          </w:p>
        </w:tc>
      </w:tr>
      <w:tr>
        <w:tc>
          <w:tcPr>
            <w:tcW w:type="dxa" w:w="3400"/>
            <w:shd w:fill="F5F7FA" w:val="clear"/>
            <w:tcMar>
              <w:top w:type="dxa" w:w="80"/>
              <w:left w:type="dxa" w:w="110"/>
              <w:bottom w:type="dxa" w:w="80"/>
              <w:right w:type="dxa" w:w="110"/>
            </w:tcMar>
            <w:vAlign w:val="center"/>
          </w:tcPr>
          <w:p>
            <w:pPr>
              <w:spacing w:after="0" w:line="250"/>
            </w:pPr>
            <w:r>
              <w:rPr>
                <w:sz w:val="19"/>
                <w:szCs w:val="19"/>
              </w:rPr>
              <w:t xml:space="preserve">Tasa de conversión de consulta</w:t>
            </w:r>
          </w:p>
        </w:tc>
        <w:tc>
          <w:tcPr>
            <w:tcW w:type="dxa" w:w="5960"/>
            <w:shd w:fill="F5F7FA" w:val="clear"/>
            <w:tcMar>
              <w:top w:type="dxa" w:w="80"/>
              <w:left w:type="dxa" w:w="110"/>
              <w:bottom w:type="dxa" w:w="80"/>
              <w:right w:type="dxa" w:w="110"/>
            </w:tcMar>
            <w:vAlign w:val="center"/>
          </w:tcPr>
          <w:p>
            <w:pPr>
              <w:spacing w:after="0" w:line="250"/>
            </w:pPr>
            <w:r>
              <w:rPr>
                <w:sz w:val="19"/>
                <w:szCs w:val="19"/>
              </w:rPr>
              <w:t xml:space="preserve">Casos firmados ÷ consultas atendidas</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Tiempo de primera respuesta</w:t>
            </w:r>
          </w:p>
        </w:tc>
        <w:tc>
          <w:tcPr>
            <w:tcW w:type="dxa" w:w="5960"/>
            <w:shd w:fill="FFFFFF" w:val="clear"/>
            <w:tcMar>
              <w:top w:type="dxa" w:w="80"/>
              <w:left w:type="dxa" w:w="110"/>
              <w:bottom w:type="dxa" w:w="80"/>
              <w:right w:type="dxa" w:w="110"/>
            </w:tcMar>
            <w:vAlign w:val="center"/>
          </w:tcPr>
          <w:p>
            <w:pPr>
              <w:spacing w:after="0" w:line="250"/>
            </w:pPr>
            <w:r>
              <w:rPr>
                <w:sz w:val="19"/>
                <w:szCs w:val="19"/>
              </w:rPr>
              <w:t xml:space="preserve">Minutos u horas entre contacto y primera respuesta humana</w:t>
            </w:r>
          </w:p>
        </w:tc>
      </w:tr>
      <w:tr>
        <w:tc>
          <w:tcPr>
            <w:tcW w:type="dxa" w:w="3400"/>
            <w:shd w:fill="F5F7FA" w:val="clear"/>
            <w:tcMar>
              <w:top w:type="dxa" w:w="80"/>
              <w:left w:type="dxa" w:w="110"/>
              <w:bottom w:type="dxa" w:w="80"/>
              <w:right w:type="dxa" w:w="110"/>
            </w:tcMar>
            <w:vAlign w:val="center"/>
          </w:tcPr>
          <w:p>
            <w:pPr>
              <w:spacing w:after="0" w:line="250"/>
            </w:pPr>
            <w:r>
              <w:rPr>
                <w:sz w:val="19"/>
                <w:szCs w:val="19"/>
              </w:rPr>
              <w:t xml:space="preserve">% de ingreso por referido</w:t>
            </w:r>
          </w:p>
        </w:tc>
        <w:tc>
          <w:tcPr>
            <w:tcW w:type="dxa" w:w="5960"/>
            <w:shd w:fill="F5F7FA" w:val="clear"/>
            <w:tcMar>
              <w:top w:type="dxa" w:w="80"/>
              <w:left w:type="dxa" w:w="110"/>
              <w:bottom w:type="dxa" w:w="80"/>
              <w:right w:type="dxa" w:w="110"/>
            </w:tcMar>
            <w:vAlign w:val="center"/>
          </w:tcPr>
          <w:p>
            <w:pPr>
              <w:spacing w:after="0" w:line="250"/>
            </w:pPr>
            <w:r>
              <w:rPr>
                <w:sz w:val="19"/>
                <w:szCs w:val="19"/>
              </w:rPr>
              <w:t xml:space="preserve">La salud del canal más barato</w:t>
            </w:r>
          </w:p>
        </w:tc>
      </w:tr>
      <w:tr>
        <w:tc>
          <w:tcPr>
            <w:tcW w:type="dxa" w:w="3400"/>
            <w:shd w:fill="FFFFFF" w:val="clear"/>
            <w:tcMar>
              <w:top w:type="dxa" w:w="80"/>
              <w:left w:type="dxa" w:w="110"/>
              <w:bottom w:type="dxa" w:w="80"/>
              <w:right w:type="dxa" w:w="110"/>
            </w:tcMar>
            <w:vAlign w:val="center"/>
          </w:tcPr>
          <w:p>
            <w:pPr>
              <w:spacing w:after="0" w:line="250"/>
            </w:pPr>
            <w:r>
              <w:rPr>
                <w:sz w:val="19"/>
                <w:szCs w:val="19"/>
              </w:rPr>
              <w:t xml:space="preserve">Valor de vida del cliente (LTV)</w:t>
            </w:r>
          </w:p>
        </w:tc>
        <w:tc>
          <w:tcPr>
            <w:tcW w:type="dxa" w:w="5960"/>
            <w:shd w:fill="FFFFFF" w:val="clear"/>
            <w:tcMar>
              <w:top w:type="dxa" w:w="80"/>
              <w:left w:type="dxa" w:w="110"/>
              <w:bottom w:type="dxa" w:w="80"/>
              <w:right w:type="dxa" w:w="110"/>
            </w:tcMar>
            <w:vAlign w:val="center"/>
          </w:tcPr>
          <w:p>
            <w:pPr>
              <w:spacing w:after="0" w:line="250"/>
            </w:pPr>
            <w:r>
              <w:rPr>
                <w:sz w:val="19"/>
                <w:szCs w:val="19"/>
              </w:rPr>
              <w:t xml:space="preserve">Margen acumulado esperado por cliente, incluidos referidos</w:t>
            </w:r>
          </w:p>
        </w:tc>
      </w:tr>
      <w:tr>
        <w:tc>
          <w:tcPr>
            <w:tcW w:type="dxa" w:w="3400"/>
            <w:shd w:fill="F5F7FA" w:val="clear"/>
            <w:tcMar>
              <w:top w:type="dxa" w:w="80"/>
              <w:left w:type="dxa" w:w="110"/>
              <w:bottom w:type="dxa" w:w="80"/>
              <w:right w:type="dxa" w:w="110"/>
            </w:tcMar>
            <w:vAlign w:val="center"/>
          </w:tcPr>
          <w:p>
            <w:pPr>
              <w:spacing w:after="0" w:line="250"/>
            </w:pPr>
            <w:r>
              <w:rPr>
                <w:sz w:val="19"/>
                <w:szCs w:val="19"/>
              </w:rPr>
              <w:t xml:space="preserve">Relación LTV : CAC</w:t>
            </w:r>
          </w:p>
        </w:tc>
        <w:tc>
          <w:tcPr>
            <w:tcW w:type="dxa" w:w="5960"/>
            <w:shd w:fill="F5F7FA" w:val="clear"/>
            <w:tcMar>
              <w:top w:type="dxa" w:w="80"/>
              <w:left w:type="dxa" w:w="110"/>
              <w:bottom w:type="dxa" w:w="80"/>
              <w:right w:type="dxa" w:w="110"/>
            </w:tcMar>
            <w:vAlign w:val="center"/>
          </w:tcPr>
          <w:p>
            <w:pPr>
              <w:spacing w:after="0" w:line="250"/>
            </w:pPr>
            <w:r>
              <w:rPr>
                <w:sz w:val="19"/>
                <w:szCs w:val="19"/>
              </w:rPr>
              <w:t xml:space="preserve">Referencia sana: superior a 3 : 1</w:t>
            </w:r>
          </w:p>
        </w:tc>
      </w:tr>
    </w:tbl>
    <w:p>
      <w:pPr>
        <w:spacing w:after="16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los cinco números del lunes por la mañana</w:t>
            </w:r>
          </w:p>
          <w:p>
            <w:pPr>
              <w:spacing w:after="90" w:line="264"/>
            </w:pPr>
            <w:r>
              <w:rPr>
                <w:sz w:val="21"/>
                <w:szCs w:val="21"/>
              </w:rPr>
              <w:t xml:space="preserve">Un panel de veinte indicadores no se mira. Uno de cinco, sí. Estos cinco explican casi todo lo que puede ir bien o mal:</w:t>
            </w:r>
          </w:p>
          <w:p>
            <w:pPr>
              <w:spacing w:after="90" w:line="264"/>
            </w:pPr>
            <w:r>
              <w:rPr>
                <w:b/>
                <w:bCs/>
                <w:sz w:val="21"/>
                <w:szCs w:val="21"/>
              </w:rPr>
              <w:t xml:space="preserve">1. Casos firmados en el mes</w:t>
            </w:r>
            <w:r>
              <w:rPr>
                <w:sz w:val="21"/>
                <w:szCs w:val="21"/>
              </w:rPr>
              <w:t xml:space="preserve"> — la máquina de arriba del embudo.</w:t>
            </w:r>
          </w:p>
          <w:p>
            <w:pPr>
              <w:spacing w:after="90" w:line="264"/>
            </w:pPr>
            <w:r>
              <w:rPr>
                <w:b/>
                <w:bCs/>
                <w:sz w:val="21"/>
                <w:szCs w:val="21"/>
              </w:rPr>
              <w:t xml:space="preserve">2. Tasa de conversión de consulta</w:t>
            </w:r>
            <w:r>
              <w:rPr>
                <w:sz w:val="21"/>
                <w:szCs w:val="21"/>
              </w:rPr>
              <w:t xml:space="preserve"> — la palanca de mayor retorno de la firma.</w:t>
            </w:r>
          </w:p>
          <w:p>
            <w:pPr>
              <w:spacing w:after="90" w:line="264"/>
            </w:pPr>
            <w:r>
              <w:rPr>
                <w:b/>
                <w:bCs/>
                <w:sz w:val="21"/>
                <w:szCs w:val="21"/>
              </w:rPr>
              <w:t xml:space="preserve">3. Caja operativa disponible y semanas de nómina que cubre</w:t>
            </w:r>
            <w:r>
              <w:rPr>
                <w:sz w:val="21"/>
                <w:szCs w:val="21"/>
              </w:rPr>
              <w:t xml:space="preserve"> — no el saldo total, y nunca incluyendo la IOLTA.</w:t>
            </w:r>
          </w:p>
          <w:p>
            <w:pPr>
              <w:spacing w:after="90" w:line="264"/>
            </w:pPr>
            <w:r>
              <w:rPr>
                <w:b/>
                <w:bCs/>
                <w:sz w:val="21"/>
                <w:szCs w:val="21"/>
              </w:rPr>
              <w:t xml:space="preserve">4. Cobros del mes frente a lo comprometido en planes de pago</w:t>
            </w:r>
            <w:r>
              <w:rPr>
                <w:sz w:val="21"/>
                <w:szCs w:val="21"/>
              </w:rPr>
              <w:t xml:space="preserve"> — nuestra realización de cobro.</w:t>
            </w:r>
          </w:p>
          <w:p>
            <w:pPr>
              <w:spacing w:after="90" w:line="264"/>
            </w:pPr>
            <w:r>
              <w:rPr>
                <w:b/>
                <w:bCs/>
                <w:sz w:val="21"/>
                <w:szCs w:val="21"/>
              </w:rPr>
              <w:t xml:space="preserve">5. Margen de contribución por tipo de caso</w:t>
            </w:r>
            <w:r>
              <w:rPr>
                <w:sz w:val="21"/>
                <w:szCs w:val="21"/>
              </w:rPr>
              <w:t xml:space="preserve"> — el número que dice qué producto empujar y cuál revisar.</w:t>
            </w:r>
          </w:p>
          <w:p>
            <w:pPr>
              <w:spacing w:after="90" w:line="264"/>
            </w:pPr>
            <w:r>
              <w:rPr>
                <w:sz w:val="21"/>
                <w:szCs w:val="21"/>
              </w:rPr>
              <w:t xml:space="preserve">Media hoja, una vez al mes, misma fecha. La disciplina de mirarlos vale más que la sofisticación de calcularlos.</w:t>
            </w:r>
          </w:p>
          <w:p>
            <w:pPr>
              <w:spacing w:after="90" w:line="264"/>
            </w:pPr>
            <w:r>
              <w:rPr>
                <w:b/>
                <w:bCs/>
                <w:sz w:val="21"/>
                <w:szCs w:val="21"/>
              </w:rPr>
              <w:t xml:space="preserve">Y dos señales de alarma que hay que vigilar aparte:</w:t>
            </w:r>
            <w:r>
              <w:rPr>
                <w:sz w:val="21"/>
                <w:szCs w:val="21"/>
              </w:rPr>
              <w:t xml:space="preserve"> la </w:t>
            </w:r>
            <w:r>
              <w:rPr>
                <w:b/>
                <w:bCs/>
                <w:sz w:val="21"/>
                <w:szCs w:val="21"/>
              </w:rPr>
              <w:t xml:space="preserve">concentración de canal</w:t>
            </w:r>
            <w:r>
              <w:rPr>
                <w:sz w:val="21"/>
                <w:szCs w:val="21"/>
              </w:rPr>
              <w:t xml:space="preserve"> (si el 70 % de los casos viene de una sola fuente, esa fuente es un punto único de fallo) y el </w:t>
            </w:r>
            <w:r>
              <w:rPr>
                <w:b/>
                <w:bCs/>
                <w:sz w:val="21"/>
                <w:szCs w:val="21"/>
              </w:rPr>
              <w:t xml:space="preserve">lockup creciente</w:t>
            </w:r>
            <w:r>
              <w:rPr>
                <w:sz w:val="21"/>
                <w:szCs w:val="21"/>
              </w:rPr>
              <w:t xml:space="preserve">, que es el primer síntoma de casi cualquier problema de gestión, mucho antes de que se vea en la utilidad.</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14. Riesgos y restricciones regulatorias</w:t>
      </w:r>
    </w:p>
    <w:p>
      <w:pPr>
        <w:spacing w:after="140" w:line="276"/>
      </w:pPr>
      <w:r>
        <w:rPr>
          <w:sz w:val="21"/>
          <w:szCs w:val="21"/>
        </w:rPr>
        <w:t xml:space="preserve">Estas no son notas al pie. </w:t>
      </w:r>
      <w:r>
        <w:rPr>
          <w:b/>
          <w:bCs/>
          <w:sz w:val="21"/>
          <w:szCs w:val="21"/>
        </w:rPr>
        <w:t xml:space="preserve">Son las que hacen que este modelo de negocio no pueda copiar el de una empresa de servicios normal.</w:t>
      </w:r>
      <w:r>
        <w:rPr>
          <w:sz w:val="21"/>
          <w:szCs w:val="21"/>
        </w:rPr>
        <w:t xml:space="preserve"> Un inversor que lea el resto del documento sin esta parte sacará conclusiones equivocadas sobre por qué el sector se comporta como se comporta.</w:t>
      </w:r>
    </w:p>
    <w:p>
      <w:pPr>
        <w:pStyle w:val="Heading2"/>
        <w:spacing w:after="140" w:before="320"/>
      </w:pPr>
      <w:r>
        <w:rPr>
          <w:rFonts w:ascii="Calibri" w:cs="Calibri" w:eastAsia="Calibri" w:hAnsi="Calibri"/>
          <w:b/>
          <w:bCs/>
          <w:color w:val="1F3864"/>
          <w:sz w:val="25"/>
          <w:szCs w:val="25"/>
        </w:rPr>
        <w:t xml:space="preserve">14.1 Las restricciones que definen el sector</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400"/>
        <w:gridCol w:w="3100"/>
        <w:gridCol w:w="3860"/>
      </w:tblGrid>
      <w:tr>
        <w:trPr>
          <w:tblHeader/>
        </w:trPr>
        <w:tc>
          <w:tcPr>
            <w:tcW w:type="dxa" w:w="2400"/>
            <w:shd w:fill="1F3864" w:val="clear"/>
            <w:tcMar>
              <w:top w:type="dxa" w:w="90"/>
              <w:left w:type="dxa" w:w="110"/>
              <w:bottom w:type="dxa" w:w="90"/>
              <w:right w:type="dxa" w:w="110"/>
            </w:tcMar>
          </w:tcPr>
          <w:p>
            <w:pPr>
              <w:spacing w:after="0" w:line="250"/>
            </w:pPr>
            <w:r>
              <w:rPr>
                <w:b/>
                <w:bCs/>
                <w:color w:val="FFFFFF"/>
                <w:sz w:val="19"/>
                <w:szCs w:val="19"/>
              </w:rPr>
              <w:t xml:space="preserve">Restricción</w:t>
            </w:r>
          </w:p>
        </w:tc>
        <w:tc>
          <w:tcPr>
            <w:tcW w:type="dxa" w:w="3100"/>
            <w:shd w:fill="1F3864" w:val="clear"/>
            <w:tcMar>
              <w:top w:type="dxa" w:w="90"/>
              <w:left w:type="dxa" w:w="110"/>
              <w:bottom w:type="dxa" w:w="90"/>
              <w:right w:type="dxa" w:w="110"/>
            </w:tcMar>
          </w:tcPr>
          <w:p>
            <w:pPr>
              <w:spacing w:after="0" w:line="250"/>
            </w:pPr>
            <w:r>
              <w:rPr>
                <w:b/>
                <w:bCs/>
                <w:color w:val="FFFFFF"/>
                <w:sz w:val="19"/>
                <w:szCs w:val="19"/>
              </w:rPr>
              <w:t xml:space="preserve">Qué prohíbe o exige</w:t>
            </w:r>
          </w:p>
        </w:tc>
        <w:tc>
          <w:tcPr>
            <w:tcW w:type="dxa" w:w="3860"/>
            <w:shd w:fill="1F3864" w:val="clear"/>
            <w:tcMar>
              <w:top w:type="dxa" w:w="90"/>
              <w:left w:type="dxa" w:w="110"/>
              <w:bottom w:type="dxa" w:w="90"/>
              <w:right w:type="dxa" w:w="110"/>
            </w:tcMar>
          </w:tcPr>
          <w:p>
            <w:pPr>
              <w:spacing w:after="0" w:line="250"/>
            </w:pPr>
            <w:r>
              <w:rPr>
                <w:b/>
                <w:bCs/>
                <w:color w:val="FFFFFF"/>
                <w:sz w:val="19"/>
                <w:szCs w:val="19"/>
              </w:rPr>
              <w:t xml:space="preserve">Consecuencia para el modelo</w:t>
            </w:r>
          </w:p>
        </w:tc>
      </w:tr>
      <w:tr>
        <w:tc>
          <w:tcPr>
            <w:tcW w:type="dxa" w:w="2400"/>
            <w:shd w:fill="FFFFFF" w:val="clear"/>
            <w:tcMar>
              <w:top w:type="dxa" w:w="80"/>
              <w:left w:type="dxa" w:w="110"/>
              <w:bottom w:type="dxa" w:w="80"/>
              <w:right w:type="dxa" w:w="110"/>
            </w:tcMar>
            <w:vAlign w:val="center"/>
          </w:tcPr>
          <w:p>
            <w:pPr>
              <w:spacing w:after="0" w:line="250"/>
            </w:pPr>
            <w:r>
              <w:rPr>
                <w:b/>
                <w:bCs/>
                <w:sz w:val="19"/>
                <w:szCs w:val="19"/>
              </w:rPr>
              <w:t xml:space="preserve">Independencia profesional</w:t>
            </w:r>
          </w:p>
          <w:p>
            <w:pPr>
              <w:spacing w:after="0" w:line="250"/>
            </w:pPr>
            <w:r>
              <w:rPr>
                <w:sz w:val="19"/>
                <w:szCs w:val="19"/>
              </w:rPr>
              <w:t xml:space="preserve">(reparto de honorarios y propiedad por no abogados)</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Compartir honorarios con no abogados; que un no abogado sea dueño de la firma</w:t>
            </w:r>
          </w:p>
        </w:tc>
        <w:tc>
          <w:tcPr>
            <w:tcW w:type="dxa" w:w="3860"/>
            <w:shd w:fill="FFFFFF" w:val="clear"/>
            <w:tcMar>
              <w:top w:type="dxa" w:w="80"/>
              <w:left w:type="dxa" w:w="110"/>
              <w:bottom w:type="dxa" w:w="80"/>
              <w:right w:type="dxa" w:w="110"/>
            </w:tcMar>
            <w:vAlign w:val="center"/>
          </w:tcPr>
          <w:p>
            <w:pPr>
              <w:spacing w:after="0" w:line="250"/>
            </w:pPr>
            <w:r>
              <w:rPr>
                <w:b/>
                <w:bCs/>
                <w:sz w:val="19"/>
                <w:szCs w:val="19"/>
              </w:rPr>
              <w:t xml:space="preserve">No hay capital de riesgo, no hay salida a bolsa, no hay inversores externos.</w:t>
            </w:r>
            <w:r>
              <w:rPr>
                <w:sz w:val="19"/>
                <w:szCs w:val="19"/>
              </w:rPr>
              <w:t xml:space="preserve"> El crecimiento se autofinancia. Es la restricción más determinante de todas</w:t>
            </w:r>
          </w:p>
        </w:tc>
      </w:tr>
      <w:tr>
        <w:tc>
          <w:tcPr>
            <w:tcW w:type="dxa" w:w="2400"/>
            <w:shd w:fill="F5F7FA" w:val="clear"/>
            <w:tcMar>
              <w:top w:type="dxa" w:w="80"/>
              <w:left w:type="dxa" w:w="110"/>
              <w:bottom w:type="dxa" w:w="80"/>
              <w:right w:type="dxa" w:w="110"/>
            </w:tcMar>
            <w:vAlign w:val="center"/>
          </w:tcPr>
          <w:p>
            <w:pPr>
              <w:spacing w:after="0" w:line="250"/>
            </w:pPr>
            <w:r>
              <w:rPr>
                <w:b/>
                <w:bCs/>
                <w:sz w:val="19"/>
                <w:szCs w:val="19"/>
              </w:rPr>
              <w:t xml:space="preserve">Práctica no autorizada del derecho (UPL)</w:t>
            </w:r>
          </w:p>
        </w:tc>
        <w:tc>
          <w:tcPr>
            <w:tcW w:type="dxa" w:w="3100"/>
            <w:shd w:fill="F5F7FA" w:val="clear"/>
            <w:tcMar>
              <w:top w:type="dxa" w:w="80"/>
              <w:left w:type="dxa" w:w="110"/>
              <w:bottom w:type="dxa" w:w="80"/>
              <w:right w:type="dxa" w:w="110"/>
            </w:tcMar>
            <w:vAlign w:val="center"/>
          </w:tcPr>
          <w:p>
            <w:pPr>
              <w:spacing w:after="0" w:line="250"/>
            </w:pPr>
            <w:r>
              <w:rPr>
                <w:sz w:val="19"/>
                <w:szCs w:val="19"/>
              </w:rPr>
              <w:t xml:space="preserve">Que un no abogado dé asesoría legal</w:t>
            </w:r>
          </w:p>
        </w:tc>
        <w:tc>
          <w:tcPr>
            <w:tcW w:type="dxa" w:w="3860"/>
            <w:shd w:fill="F5F7FA" w:val="clear"/>
            <w:tcMar>
              <w:top w:type="dxa" w:w="80"/>
              <w:left w:type="dxa" w:w="110"/>
              <w:bottom w:type="dxa" w:w="80"/>
              <w:right w:type="dxa" w:w="110"/>
            </w:tcMar>
            <w:vAlign w:val="center"/>
          </w:tcPr>
          <w:p>
            <w:pPr>
              <w:spacing w:after="0" w:line="250"/>
            </w:pPr>
            <w:r>
              <w:rPr>
                <w:sz w:val="19"/>
                <w:szCs w:val="19"/>
              </w:rPr>
              <w:t xml:space="preserve">Limita cuánto se puede delegar en personal y en software. Define el borde del producto</w:t>
            </w:r>
          </w:p>
        </w:tc>
      </w:tr>
      <w:tr>
        <w:tc>
          <w:tcPr>
            <w:tcW w:type="dxa" w:w="2400"/>
            <w:shd w:fill="FFFFFF" w:val="clear"/>
            <w:tcMar>
              <w:top w:type="dxa" w:w="80"/>
              <w:left w:type="dxa" w:w="110"/>
              <w:bottom w:type="dxa" w:w="80"/>
              <w:right w:type="dxa" w:w="110"/>
            </w:tcMar>
            <w:vAlign w:val="center"/>
          </w:tcPr>
          <w:p>
            <w:pPr>
              <w:spacing w:after="0" w:line="250"/>
            </w:pPr>
            <w:r>
              <w:rPr>
                <w:b/>
                <w:bCs/>
                <w:sz w:val="19"/>
                <w:szCs w:val="19"/>
              </w:rPr>
              <w:t xml:space="preserve">Publicidad y captación</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Afirmaciones engañosas; contacto directo no solicitado con ánimo de lucro</w:t>
            </w:r>
          </w:p>
        </w:tc>
        <w:tc>
          <w:tcPr>
            <w:tcW w:type="dxa" w:w="3860"/>
            <w:shd w:fill="FFFFFF" w:val="clear"/>
            <w:tcMar>
              <w:top w:type="dxa" w:w="80"/>
              <w:left w:type="dxa" w:w="110"/>
              <w:bottom w:type="dxa" w:w="80"/>
              <w:right w:type="dxa" w:w="110"/>
            </w:tcMar>
            <w:vAlign w:val="center"/>
          </w:tcPr>
          <w:p>
            <w:pPr>
              <w:spacing w:after="0" w:line="250"/>
            </w:pPr>
            <w:r>
              <w:rPr>
                <w:sz w:val="19"/>
                <w:szCs w:val="19"/>
              </w:rPr>
              <w:t xml:space="preserve">Condiciona todo el marketing, especialmente al consumidor</w:t>
            </w:r>
          </w:p>
        </w:tc>
      </w:tr>
      <w:tr>
        <w:tc>
          <w:tcPr>
            <w:tcW w:type="dxa" w:w="2400"/>
            <w:shd w:fill="F5F7FA" w:val="clear"/>
            <w:tcMar>
              <w:top w:type="dxa" w:w="80"/>
              <w:left w:type="dxa" w:w="110"/>
              <w:bottom w:type="dxa" w:w="80"/>
              <w:right w:type="dxa" w:w="110"/>
            </w:tcMar>
            <w:vAlign w:val="center"/>
          </w:tcPr>
          <w:p>
            <w:pPr>
              <w:spacing w:after="0" w:line="250"/>
            </w:pPr>
            <w:r>
              <w:rPr>
                <w:b/>
                <w:bCs/>
                <w:sz w:val="19"/>
                <w:szCs w:val="19"/>
              </w:rPr>
              <w:t xml:space="preserve">Honorarios</w:t>
            </w:r>
          </w:p>
        </w:tc>
        <w:tc>
          <w:tcPr>
            <w:tcW w:type="dxa" w:w="3100"/>
            <w:shd w:fill="F5F7FA" w:val="clear"/>
            <w:tcMar>
              <w:top w:type="dxa" w:w="80"/>
              <w:left w:type="dxa" w:w="110"/>
              <w:bottom w:type="dxa" w:w="80"/>
              <w:right w:type="dxa" w:w="110"/>
            </w:tcMar>
            <w:vAlign w:val="center"/>
          </w:tcPr>
          <w:p>
            <w:pPr>
              <w:spacing w:after="0" w:line="250"/>
            </w:pPr>
            <w:r>
              <w:rPr>
                <w:sz w:val="19"/>
                <w:szCs w:val="19"/>
              </w:rPr>
              <w:t xml:space="preserve">Honorarios irrazonables; exige forma escrita en ciertos supuestos</w:t>
            </w:r>
          </w:p>
        </w:tc>
        <w:tc>
          <w:tcPr>
            <w:tcW w:type="dxa" w:w="3860"/>
            <w:shd w:fill="F5F7FA" w:val="clear"/>
            <w:tcMar>
              <w:top w:type="dxa" w:w="80"/>
              <w:left w:type="dxa" w:w="110"/>
              <w:bottom w:type="dxa" w:w="80"/>
              <w:right w:type="dxa" w:w="110"/>
            </w:tcMar>
            <w:vAlign w:val="center"/>
          </w:tcPr>
          <w:p>
            <w:pPr>
              <w:spacing w:after="0" w:line="250"/>
            </w:pPr>
            <w:r>
              <w:rPr>
                <w:sz w:val="19"/>
                <w:szCs w:val="19"/>
              </w:rPr>
              <w:t xml:space="preserve">El acuerdo de honorarios debe ser escrito, específico y comprensible</w:t>
            </w:r>
          </w:p>
        </w:tc>
      </w:tr>
      <w:tr>
        <w:tc>
          <w:tcPr>
            <w:tcW w:type="dxa" w:w="2400"/>
            <w:shd w:fill="FFFFFF" w:val="clear"/>
            <w:tcMar>
              <w:top w:type="dxa" w:w="80"/>
              <w:left w:type="dxa" w:w="110"/>
              <w:bottom w:type="dxa" w:w="80"/>
              <w:right w:type="dxa" w:w="110"/>
            </w:tcMar>
            <w:vAlign w:val="center"/>
          </w:tcPr>
          <w:p>
            <w:pPr>
              <w:spacing w:after="0" w:line="250"/>
            </w:pPr>
            <w:r>
              <w:rPr>
                <w:b/>
                <w:bCs/>
                <w:sz w:val="19"/>
                <w:szCs w:val="19"/>
              </w:rPr>
              <w:t xml:space="preserve">Conflictos de interés</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Representación adversa; se imputan a toda la firma</w:t>
            </w:r>
          </w:p>
        </w:tc>
        <w:tc>
          <w:tcPr>
            <w:tcW w:type="dxa" w:w="3860"/>
            <w:shd w:fill="FFFFFF" w:val="clear"/>
            <w:tcMar>
              <w:top w:type="dxa" w:w="80"/>
              <w:left w:type="dxa" w:w="110"/>
              <w:bottom w:type="dxa" w:w="80"/>
              <w:right w:type="dxa" w:w="110"/>
            </w:tcMar>
            <w:vAlign w:val="center"/>
          </w:tcPr>
          <w:p>
            <w:pPr>
              <w:spacing w:after="0" w:line="250"/>
            </w:pPr>
            <w:r>
              <w:rPr>
                <w:sz w:val="19"/>
                <w:szCs w:val="19"/>
              </w:rPr>
              <w:t xml:space="preserve">Cada cliente nuevo </w:t>
            </w:r>
            <w:r>
              <w:rPr>
                <w:b/>
                <w:bCs/>
                <w:sz w:val="19"/>
                <w:szCs w:val="19"/>
              </w:rPr>
              <w:t xml:space="preserve">cierra la puerta</w:t>
            </w:r>
            <w:r>
              <w:rPr>
                <w:sz w:val="19"/>
                <w:szCs w:val="19"/>
              </w:rPr>
              <w:t xml:space="preserve"> a determinados clientes futuros</w:t>
            </w:r>
          </w:p>
        </w:tc>
      </w:tr>
      <w:tr>
        <w:tc>
          <w:tcPr>
            <w:tcW w:type="dxa" w:w="2400"/>
            <w:shd w:fill="F5F7FA" w:val="clear"/>
            <w:tcMar>
              <w:top w:type="dxa" w:w="80"/>
              <w:left w:type="dxa" w:w="110"/>
              <w:bottom w:type="dxa" w:w="80"/>
              <w:right w:type="dxa" w:w="110"/>
            </w:tcMar>
            <w:vAlign w:val="center"/>
          </w:tcPr>
          <w:p>
            <w:pPr>
              <w:spacing w:after="0" w:line="250"/>
            </w:pPr>
            <w:r>
              <w:rPr>
                <w:b/>
                <w:bCs/>
                <w:sz w:val="19"/>
                <w:szCs w:val="19"/>
              </w:rPr>
              <w:t xml:space="preserve">Confidencialidad</w:t>
            </w:r>
          </w:p>
        </w:tc>
        <w:tc>
          <w:tcPr>
            <w:tcW w:type="dxa" w:w="3100"/>
            <w:shd w:fill="F5F7FA" w:val="clear"/>
            <w:tcMar>
              <w:top w:type="dxa" w:w="80"/>
              <w:left w:type="dxa" w:w="110"/>
              <w:bottom w:type="dxa" w:w="80"/>
              <w:right w:type="dxa" w:w="110"/>
            </w:tcMar>
            <w:vAlign w:val="center"/>
          </w:tcPr>
          <w:p>
            <w:pPr>
              <w:spacing w:after="0" w:line="250"/>
            </w:pPr>
            <w:r>
              <w:rPr>
                <w:sz w:val="19"/>
                <w:szCs w:val="19"/>
              </w:rPr>
              <w:t xml:space="preserve">Divulgación de información del cliente</w:t>
            </w:r>
          </w:p>
        </w:tc>
        <w:tc>
          <w:tcPr>
            <w:tcW w:type="dxa" w:w="3860"/>
            <w:shd w:fill="F5F7FA" w:val="clear"/>
            <w:tcMar>
              <w:top w:type="dxa" w:w="80"/>
              <w:left w:type="dxa" w:w="110"/>
              <w:bottom w:type="dxa" w:w="80"/>
              <w:right w:type="dxa" w:w="110"/>
            </w:tcMar>
            <w:vAlign w:val="center"/>
          </w:tcPr>
          <w:p>
            <w:pPr>
              <w:spacing w:after="0" w:line="250"/>
            </w:pPr>
            <w:r>
              <w:rPr>
                <w:sz w:val="19"/>
                <w:szCs w:val="19"/>
              </w:rPr>
              <w:t xml:space="preserve">Determina qué herramientas de nube y de IA son admisibles y con qué configuración</w:t>
            </w:r>
          </w:p>
        </w:tc>
      </w:tr>
      <w:tr>
        <w:tc>
          <w:tcPr>
            <w:tcW w:type="dxa" w:w="2400"/>
            <w:shd w:fill="FFFFFF" w:val="clear"/>
            <w:tcMar>
              <w:top w:type="dxa" w:w="80"/>
              <w:left w:type="dxa" w:w="110"/>
              <w:bottom w:type="dxa" w:w="80"/>
              <w:right w:type="dxa" w:w="110"/>
            </w:tcMar>
            <w:vAlign w:val="center"/>
          </w:tcPr>
          <w:p>
            <w:pPr>
              <w:spacing w:after="0" w:line="250"/>
            </w:pPr>
            <w:r>
              <w:rPr>
                <w:b/>
                <w:bCs/>
                <w:sz w:val="19"/>
                <w:szCs w:val="19"/>
              </w:rPr>
              <w:t xml:space="preserve">Bienes del cliente</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Mezclar fondos del cliente con los de la firma</w:t>
            </w:r>
          </w:p>
        </w:tc>
        <w:tc>
          <w:tcPr>
            <w:tcW w:type="dxa" w:w="3860"/>
            <w:shd w:fill="FFFFFF" w:val="clear"/>
            <w:tcMar>
              <w:top w:type="dxa" w:w="80"/>
              <w:left w:type="dxa" w:w="110"/>
              <w:bottom w:type="dxa" w:w="80"/>
              <w:right w:type="dxa" w:w="110"/>
            </w:tcMar>
            <w:vAlign w:val="center"/>
          </w:tcPr>
          <w:p>
            <w:pPr>
              <w:spacing w:after="0" w:line="250"/>
            </w:pPr>
            <w:r>
              <w:rPr>
                <w:sz w:val="19"/>
                <w:szCs w:val="19"/>
              </w:rPr>
              <w:t xml:space="preserve">Cuenta fiduciaria obligatoria; el error contable es materia disciplinaria (Parte 9.3)</w:t>
            </w:r>
          </w:p>
        </w:tc>
      </w:tr>
      <w:tr>
        <w:tc>
          <w:tcPr>
            <w:tcW w:type="dxa" w:w="2400"/>
            <w:shd w:fill="F5F7FA" w:val="clear"/>
            <w:tcMar>
              <w:top w:type="dxa" w:w="80"/>
              <w:left w:type="dxa" w:w="110"/>
              <w:bottom w:type="dxa" w:w="80"/>
              <w:right w:type="dxa" w:w="110"/>
            </w:tcMar>
            <w:vAlign w:val="center"/>
          </w:tcPr>
          <w:p>
            <w:pPr>
              <w:spacing w:after="0" w:line="250"/>
            </w:pPr>
            <w:r>
              <w:rPr>
                <w:b/>
                <w:bCs/>
                <w:sz w:val="19"/>
                <w:szCs w:val="19"/>
              </w:rPr>
              <w:t xml:space="preserve">Supervisión</w:t>
            </w:r>
          </w:p>
        </w:tc>
        <w:tc>
          <w:tcPr>
            <w:tcW w:type="dxa" w:w="3100"/>
            <w:shd w:fill="F5F7FA" w:val="clear"/>
            <w:tcMar>
              <w:top w:type="dxa" w:w="80"/>
              <w:left w:type="dxa" w:w="110"/>
              <w:bottom w:type="dxa" w:w="80"/>
              <w:right w:type="dxa" w:w="110"/>
            </w:tcMar>
            <w:vAlign w:val="center"/>
          </w:tcPr>
          <w:p>
            <w:pPr>
              <w:spacing w:after="0" w:line="250"/>
            </w:pPr>
            <w:r>
              <w:rPr>
                <w:sz w:val="19"/>
                <w:szCs w:val="19"/>
              </w:rPr>
              <w:t xml:space="preserve">Responsabilidad del abogado por el trabajo de asistentes no abogados</w:t>
            </w:r>
          </w:p>
        </w:tc>
        <w:tc>
          <w:tcPr>
            <w:tcW w:type="dxa" w:w="3860"/>
            <w:shd w:fill="F5F7FA" w:val="clear"/>
            <w:tcMar>
              <w:top w:type="dxa" w:w="80"/>
              <w:left w:type="dxa" w:w="110"/>
              <w:bottom w:type="dxa" w:w="80"/>
              <w:right w:type="dxa" w:w="110"/>
            </w:tcMar>
            <w:vAlign w:val="center"/>
          </w:tcPr>
          <w:p>
            <w:pPr>
              <w:spacing w:after="0" w:line="250"/>
            </w:pPr>
            <w:r>
              <w:rPr>
                <w:sz w:val="19"/>
                <w:szCs w:val="19"/>
              </w:rPr>
              <w:t xml:space="preserve">Se aplica al paralegal — y por analogía, a las salidas de un sistema automatizado</w:t>
            </w:r>
          </w:p>
        </w:tc>
      </w:tr>
      <w:tr>
        <w:tc>
          <w:tcPr>
            <w:tcW w:type="dxa" w:w="2400"/>
            <w:shd w:fill="FFFFFF" w:val="clear"/>
            <w:tcMar>
              <w:top w:type="dxa" w:w="80"/>
              <w:left w:type="dxa" w:w="110"/>
              <w:bottom w:type="dxa" w:w="80"/>
              <w:right w:type="dxa" w:w="110"/>
            </w:tcMar>
            <w:vAlign w:val="center"/>
          </w:tcPr>
          <w:p>
            <w:pPr>
              <w:spacing w:after="0" w:line="250"/>
            </w:pPr>
            <w:r>
              <w:rPr>
                <w:b/>
                <w:bCs/>
                <w:sz w:val="19"/>
                <w:szCs w:val="19"/>
              </w:rPr>
              <w:t xml:space="preserve">Práctica multijurisdiccional</w:t>
            </w:r>
          </w:p>
        </w:tc>
        <w:tc>
          <w:tcPr>
            <w:tcW w:type="dxa" w:w="3100"/>
            <w:shd w:fill="FFFFFF" w:val="clear"/>
            <w:tcMar>
              <w:top w:type="dxa" w:w="80"/>
              <w:left w:type="dxa" w:w="110"/>
              <w:bottom w:type="dxa" w:w="80"/>
              <w:right w:type="dxa" w:w="110"/>
            </w:tcMar>
            <w:vAlign w:val="center"/>
          </w:tcPr>
          <w:p>
            <w:pPr>
              <w:spacing w:after="0" w:line="250"/>
            </w:pPr>
            <w:r>
              <w:rPr>
                <w:sz w:val="19"/>
                <w:szCs w:val="19"/>
              </w:rPr>
              <w:t xml:space="preserve">Ejercer donde no se está admitido</w:t>
            </w:r>
          </w:p>
        </w:tc>
        <w:tc>
          <w:tcPr>
            <w:tcW w:type="dxa" w:w="3860"/>
            <w:shd w:fill="FFFFFF" w:val="clear"/>
            <w:tcMar>
              <w:top w:type="dxa" w:w="80"/>
              <w:left w:type="dxa" w:w="110"/>
              <w:bottom w:type="dxa" w:w="80"/>
              <w:right w:type="dxa" w:w="110"/>
            </w:tcMar>
            <w:vAlign w:val="center"/>
          </w:tcPr>
          <w:p>
            <w:pPr>
              <w:spacing w:after="0" w:line="250"/>
            </w:pPr>
            <w:r>
              <w:rPr>
                <w:sz w:val="19"/>
                <w:szCs w:val="19"/>
              </w:rPr>
              <w:t xml:space="preserve">Limita la expansión; obliga a co-counsel en corte federal</w:t>
            </w:r>
          </w:p>
        </w:tc>
      </w:tr>
    </w:tbl>
    <w:p>
      <w:pPr>
        <w:spacing w:after="16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Nota de precisión sobre la numeración de las reglas</w:t>
            </w:r>
          </w:p>
          <w:p>
            <w:pPr>
              <w:spacing w:after="90" w:line="264"/>
            </w:pPr>
            <w:r>
              <w:rPr>
                <w:sz w:val="21"/>
                <w:szCs w:val="21"/>
              </w:rPr>
              <w:t xml:space="preserve">La mayoría de la literatura sobre firmas legales cita las </w:t>
            </w:r>
            <w:r>
              <w:rPr>
                <w:b/>
                <w:bCs/>
                <w:sz w:val="21"/>
                <w:szCs w:val="21"/>
              </w:rPr>
              <w:t xml:space="preserve">ABA Model Rules</w:t>
            </w:r>
            <w:r>
              <w:rPr>
                <w:sz w:val="21"/>
                <w:szCs w:val="21"/>
              </w:rPr>
              <w:t xml:space="preserve">, que son un modelo, no derecho vigente en ningún sitio. Lo que nos obliga a nosotros son las </w:t>
            </w:r>
            <w:r>
              <w:rPr>
                <w:b/>
                <w:bCs/>
                <w:sz w:val="21"/>
                <w:szCs w:val="21"/>
              </w:rPr>
              <w:t xml:space="preserve">Texas Disciplinary Rules of Professional Conduct</w:t>
            </w:r>
            <w:r>
              <w:rPr>
                <w:sz w:val="21"/>
                <w:szCs w:val="21"/>
              </w:rPr>
              <w:t xml:space="preserve">, cuya numeración </w:t>
            </w:r>
            <w:r>
              <w:rPr>
                <w:b/>
                <w:bCs/>
                <w:sz w:val="21"/>
                <w:szCs w:val="21"/>
              </w:rPr>
              <w:t xml:space="preserve">no coincide</w:t>
            </w:r>
            <w:r>
              <w:rPr>
                <w:sz w:val="21"/>
                <w:szCs w:val="21"/>
              </w:rPr>
              <w:t xml:space="preserve"> con la del modelo ABA en varios puntos relevantes: la custodia de bienes del cliente y la confidencialidad, por ejemplo, están numeradas distinto en Texas que en el modelo ABA.</w:t>
            </w:r>
          </w:p>
          <w:p>
            <w:pPr>
              <w:spacing w:after="90" w:line="264"/>
            </w:pPr>
            <w:r>
              <w:rPr>
                <w:sz w:val="21"/>
                <w:szCs w:val="21"/>
              </w:rPr>
              <w:t xml:space="preserve">Por eso este documento describe las restricciones </w:t>
            </w:r>
            <w:r>
              <w:rPr>
                <w:b/>
                <w:bCs/>
                <w:sz w:val="21"/>
                <w:szCs w:val="21"/>
              </w:rPr>
              <w:t xml:space="preserve">por su contenido y no por su número</w:t>
            </w:r>
            <w:r>
              <w:rPr>
                <w:sz w:val="21"/>
                <w:szCs w:val="21"/>
              </w:rPr>
              <w:t xml:space="preserve">. Antes de apoyar cualquier decisión operativa en una de ellas, hay que leer el texto vigente de la regla de Texas correspondiente, más la normativa federal aplicable a la práctica ante EOIR y USCIS. Las reglas cambian; el contenido conceptual de esta tabla cambia mucho más despacio.</w:t>
            </w:r>
          </w:p>
        </w:tc>
      </w:tr>
    </w:tbl>
    <w:p>
      <w:pPr>
        <w:spacing w:after="160"/>
      </w:pPr>
    </w:p>
    <w:p>
      <w:pPr>
        <w:pStyle w:val="Heading2"/>
        <w:spacing w:after="140" w:before="320"/>
      </w:pPr>
      <w:r>
        <w:rPr>
          <w:rFonts w:ascii="Calibri" w:cs="Calibri" w:eastAsia="Calibri" w:hAnsi="Calibri"/>
          <w:b/>
          <w:bCs/>
          <w:color w:val="1F3864"/>
          <w:sz w:val="25"/>
          <w:szCs w:val="25"/>
        </w:rPr>
        <w:t xml:space="preserve">14.2 Las excepciones que están reescribiendo el sector</w:t>
      </w:r>
    </w:p>
    <w:p>
      <w:pPr>
        <w:spacing w:after="140" w:line="276"/>
      </w:pPr>
      <w:r>
        <w:rPr>
          <w:sz w:val="21"/>
          <w:szCs w:val="21"/>
        </w:rPr>
        <w:t xml:space="preserve">La prohibición de propiedad externa se ha empezado a agrietar, y ahí es por donde está entrando capital institucional a un sector que llevaba un siglo cerrado:</w:t>
      </w:r>
    </w:p>
    <w:p>
      <w:pPr>
        <w:pStyle w:val="ListParagraph"/>
        <w:numPr>
          <w:ilvl w:val="0"/>
          <w:numId w:val="2"/>
        </w:numPr>
        <w:spacing w:after="70" w:line="264"/>
      </w:pPr>
      <w:r>
        <w:rPr>
          <w:b/>
          <w:bCs/>
          <w:sz w:val="21"/>
          <w:szCs w:val="21"/>
        </w:rPr>
        <w:t xml:space="preserve">Arizona</w:t>
      </w:r>
      <w:r>
        <w:rPr>
          <w:sz w:val="21"/>
          <w:szCs w:val="21"/>
        </w:rPr>
        <w:t xml:space="preserve"> eliminó su versión de la regla de independencia profesional y permite </w:t>
      </w:r>
      <w:r>
        <w:rPr>
          <w:b/>
          <w:bCs/>
          <w:sz w:val="21"/>
          <w:szCs w:val="21"/>
        </w:rPr>
        <w:t xml:space="preserve">Alternative Business Structures (ABS)</w:t>
      </w:r>
      <w:r>
        <w:rPr>
          <w:sz w:val="21"/>
          <w:szCs w:val="21"/>
        </w:rPr>
        <w:t xml:space="preserve"> con propiedad de no abogados.</w:t>
      </w:r>
    </w:p>
    <w:p>
      <w:pPr>
        <w:pStyle w:val="ListParagraph"/>
        <w:numPr>
          <w:ilvl w:val="0"/>
          <w:numId w:val="2"/>
        </w:numPr>
        <w:spacing w:after="70" w:line="264"/>
      </w:pPr>
      <w:r>
        <w:rPr>
          <w:b/>
          <w:bCs/>
          <w:sz w:val="21"/>
          <w:szCs w:val="21"/>
        </w:rPr>
        <w:t xml:space="preserve">Utah</w:t>
      </w:r>
      <w:r>
        <w:rPr>
          <w:sz w:val="21"/>
          <w:szCs w:val="21"/>
        </w:rPr>
        <w:t xml:space="preserve"> ha operado un </w:t>
      </w:r>
      <w:r>
        <w:rPr>
          <w:i/>
          <w:iCs/>
          <w:sz w:val="21"/>
          <w:szCs w:val="21"/>
        </w:rPr>
        <w:t xml:space="preserve">regulatory sandbox</w:t>
      </w:r>
      <w:r>
        <w:rPr>
          <w:sz w:val="21"/>
          <w:szCs w:val="21"/>
        </w:rPr>
        <w:t xml:space="preserve"> con entidades autorizadas de propiedad mixta.</w:t>
      </w:r>
    </w:p>
    <w:p>
      <w:pPr>
        <w:pStyle w:val="ListParagraph"/>
        <w:numPr>
          <w:ilvl w:val="0"/>
          <w:numId w:val="2"/>
        </w:numPr>
        <w:spacing w:after="70" w:line="264"/>
      </w:pPr>
      <w:r>
        <w:rPr>
          <w:b/>
          <w:bCs/>
          <w:sz w:val="21"/>
          <w:szCs w:val="21"/>
        </w:rPr>
        <w:t xml:space="preserve">Washington D.C.</w:t>
      </w:r>
      <w:r>
        <w:rPr>
          <w:sz w:val="21"/>
          <w:szCs w:val="21"/>
        </w:rPr>
        <w:t xml:space="preserve"> admite desde hace décadas una participación limitada de no abogados que trabajen en la firma.</w:t>
      </w:r>
    </w:p>
    <w:p>
      <w:pPr>
        <w:spacing w:after="140" w:line="276"/>
      </w:pPr>
      <w:r>
        <w:rPr>
          <w:b/>
          <w:bCs/>
          <w:sz w:val="21"/>
          <w:szCs w:val="21"/>
        </w:rPr>
        <w:t xml:space="preserve">Texas no es una de ellas.</w:t>
      </w:r>
      <w:r>
        <w:rPr>
          <w:sz w:val="21"/>
          <w:szCs w:val="21"/>
        </w:rPr>
        <w:t xml:space="preserve"> Para nosotros la restricción sigue íntegra, y conviene tenerlo claro antes de plantear cualquier estructura que involucre socios capitalistas no abogados. Estas jurisdicciones importan como lugar donde observar qué modelos funcionan cuando se levanta la restricción, no como algo que podamos aprovechar hoy desde Texas. Verificar el estado actual antes de basar cualquier decisión en ello.</w:t>
      </w:r>
    </w:p>
    <w:p>
      <w:pPr>
        <w:pStyle w:val="Heading2"/>
        <w:spacing w:after="140" w:before="320"/>
      </w:pPr>
      <w:r>
        <w:rPr>
          <w:rFonts w:ascii="Calibri" w:cs="Calibri" w:eastAsia="Calibri" w:hAnsi="Calibri"/>
          <w:b/>
          <w:bCs/>
          <w:color w:val="1F3864"/>
          <w:sz w:val="25"/>
          <w:szCs w:val="25"/>
        </w:rPr>
        <w:t xml:space="preserve">14.3 Riesgos específicos de la práctica de inmigración</w:t>
      </w:r>
    </w:p>
    <w:p>
      <w:pPr>
        <w:pStyle w:val="ListParagraph"/>
        <w:numPr>
          <w:ilvl w:val="0"/>
          <w:numId w:val="2"/>
        </w:numPr>
        <w:spacing w:after="70" w:line="264"/>
      </w:pPr>
      <w:r>
        <w:rPr>
          <w:b/>
          <w:bCs/>
          <w:sz w:val="21"/>
          <w:szCs w:val="21"/>
        </w:rPr>
        <w:t xml:space="preserve">Competencia ilegal («notarios» y consultores no autorizados).</w:t>
      </w:r>
      <w:r>
        <w:rPr>
          <w:sz w:val="21"/>
          <w:szCs w:val="21"/>
        </w:rPr>
        <w:t xml:space="preserve"> Es un factor de mercado, no solo un problema ético ajeno: compite por nuestro cliente con precios que un abogado no puede igualar, y deja detrás casos dañados que llegan a nosotros más caros de arreglar. </w:t>
      </w:r>
      <w:r>
        <w:rPr>
          <w:b/>
          <w:bCs/>
          <w:sz w:val="21"/>
          <w:szCs w:val="21"/>
        </w:rPr>
        <w:t xml:space="preserve">Implicación de negocio:</w:t>
      </w:r>
      <w:r>
        <w:rPr>
          <w:sz w:val="21"/>
          <w:szCs w:val="21"/>
        </w:rPr>
        <w:t xml:space="preserve"> parte de nuestro marketing tiene que ser educativo —explicar por qué un abogado y qué se está comprando— porque el cliente muchas veces no distingue las dos ofertas.</w:t>
      </w:r>
    </w:p>
    <w:p>
      <w:pPr>
        <w:pStyle w:val="ListParagraph"/>
        <w:numPr>
          <w:ilvl w:val="0"/>
          <w:numId w:val="2"/>
        </w:numPr>
        <w:spacing w:after="70" w:line="264"/>
      </w:pPr>
      <w:r>
        <w:rPr>
          <w:b/>
          <w:bCs/>
          <w:sz w:val="21"/>
          <w:szCs w:val="21"/>
        </w:rPr>
        <w:t xml:space="preserve">Exposición a plazos perentorios.</w:t>
      </w:r>
      <w:r>
        <w:rPr>
          <w:sz w:val="21"/>
          <w:szCs w:val="21"/>
        </w:rPr>
        <w:t xml:space="preserve"> En inmigración un plazo perdido puede ser irreversible para la persona. Es el mayor riesgo de mala praxis de esta práctica y exige un sistema de calendario con doble control, no la memoria de nadie.</w:t>
      </w:r>
    </w:p>
    <w:p>
      <w:pPr>
        <w:pStyle w:val="ListParagraph"/>
        <w:numPr>
          <w:ilvl w:val="0"/>
          <w:numId w:val="2"/>
        </w:numPr>
        <w:spacing w:after="70" w:line="264"/>
      </w:pPr>
      <w:r>
        <w:rPr>
          <w:b/>
          <w:bCs/>
          <w:sz w:val="21"/>
          <w:szCs w:val="21"/>
        </w:rPr>
        <w:t xml:space="preserve">Volatilidad normativa y política.</w:t>
      </w:r>
      <w:r>
        <w:rPr>
          <w:sz w:val="21"/>
          <w:szCs w:val="21"/>
        </w:rPr>
        <w:t xml:space="preserve"> Los criterios de elegibilidad, los tiempos de proceso y las prioridades de aplicación cambian con cada administración. </w:t>
      </w:r>
      <w:r>
        <w:rPr>
          <w:b/>
          <w:bCs/>
          <w:sz w:val="21"/>
          <w:szCs w:val="21"/>
        </w:rPr>
        <w:t xml:space="preserve">Implicación de negocio:</w:t>
      </w:r>
      <w:r>
        <w:rPr>
          <w:sz w:val="21"/>
          <w:szCs w:val="21"/>
        </w:rPr>
        <w:t xml:space="preserve"> la cartera de tipos de caso debe estar diversificada deliberadamente; una firma concentrada en un solo tipo de alivio es una firma con un solo cliente.</w:t>
      </w:r>
    </w:p>
    <w:p>
      <w:pPr>
        <w:pStyle w:val="ListParagraph"/>
        <w:numPr>
          <w:ilvl w:val="0"/>
          <w:numId w:val="2"/>
        </w:numPr>
        <w:spacing w:after="70" w:line="264"/>
      </w:pPr>
      <w:r>
        <w:rPr>
          <w:b/>
          <w:bCs/>
          <w:sz w:val="21"/>
          <w:szCs w:val="21"/>
        </w:rPr>
        <w:t xml:space="preserve">Disciplina ante EOIR y USCIS.</w:t>
      </w:r>
      <w:r>
        <w:rPr>
          <w:sz w:val="21"/>
          <w:szCs w:val="21"/>
        </w:rPr>
        <w:t xml:space="preserve"> La práctica ante estas agencias tiene su propio régimen disciplinario, adicional al del colegio estatal. Son dos exposiciones, no una.</w:t>
      </w:r>
    </w:p>
    <w:p>
      <w:pPr>
        <w:pStyle w:val="ListParagraph"/>
        <w:numPr>
          <w:ilvl w:val="0"/>
          <w:numId w:val="2"/>
        </w:numPr>
        <w:spacing w:after="70" w:line="264"/>
      </w:pPr>
      <w:r>
        <w:rPr>
          <w:b/>
          <w:bCs/>
          <w:sz w:val="21"/>
          <w:szCs w:val="21"/>
        </w:rPr>
        <w:t xml:space="preserve">Expectativa del cliente sobre el resultado.</w:t>
      </w:r>
      <w:r>
        <w:rPr>
          <w:sz w:val="21"/>
          <w:szCs w:val="21"/>
        </w:rPr>
        <w:t xml:space="preserve"> En un área donde el resultado depende de un juez o de un examinador, la gestión de expectativas por escrito es protección tanto del cliente como de la firma. Es también, en la práctica, la principal causa de quejas.</w:t>
      </w:r>
    </w:p>
    <w:p>
      <w:pPr>
        <w:pStyle w:val="Heading2"/>
        <w:spacing w:after="140" w:before="320"/>
      </w:pPr>
      <w:r>
        <w:rPr>
          <w:rFonts w:ascii="Calibri" w:cs="Calibri" w:eastAsia="Calibri" w:hAnsi="Calibri"/>
          <w:b/>
          <w:bCs/>
          <w:color w:val="1F3864"/>
          <w:sz w:val="25"/>
          <w:szCs w:val="25"/>
        </w:rPr>
        <w:t xml:space="preserve">14.4 Riesgos de negocio no regulatorios</w:t>
      </w:r>
    </w:p>
    <w:p>
      <w:pPr>
        <w:pStyle w:val="ListParagraph"/>
        <w:numPr>
          <w:ilvl w:val="0"/>
          <w:numId w:val="2"/>
        </w:numPr>
        <w:spacing w:after="70" w:line="264"/>
      </w:pPr>
      <w:r>
        <w:rPr>
          <w:b/>
          <w:bCs/>
          <w:sz w:val="21"/>
          <w:szCs w:val="21"/>
        </w:rPr>
        <w:t xml:space="preserve">Concentración</w:t>
      </w:r>
      <w:r>
        <w:rPr>
          <w:sz w:val="21"/>
          <w:szCs w:val="21"/>
        </w:rPr>
        <w:t xml:space="preserve"> — de canal de captación, de tipo de caso, de personas clave. En una firma pequeña la concentración de personas es la más peligrosa: si una sola persona sabe hacer algo, la firma no sabe hacerlo.</w:t>
      </w:r>
    </w:p>
    <w:p>
      <w:pPr>
        <w:pStyle w:val="ListParagraph"/>
        <w:numPr>
          <w:ilvl w:val="0"/>
          <w:numId w:val="2"/>
        </w:numPr>
        <w:spacing w:after="70" w:line="264"/>
      </w:pPr>
      <w:r>
        <w:rPr>
          <w:b/>
          <w:bCs/>
          <w:sz w:val="21"/>
          <w:szCs w:val="21"/>
        </w:rPr>
        <w:t xml:space="preserve">Ciclicidad y dependencia política</w:t>
      </w:r>
      <w:r>
        <w:rPr>
          <w:sz w:val="21"/>
          <w:szCs w:val="21"/>
        </w:rPr>
        <w:t xml:space="preserve"> — a diferencia de una firma multiárea, no tenemos una práctica contracíclica que compense. La línea empresarial es lo más parecido a una cobertura.</w:t>
      </w:r>
    </w:p>
    <w:p>
      <w:pPr>
        <w:pStyle w:val="ListParagraph"/>
        <w:numPr>
          <w:ilvl w:val="0"/>
          <w:numId w:val="2"/>
        </w:numPr>
        <w:spacing w:after="70" w:line="264"/>
      </w:pPr>
      <w:r>
        <w:rPr>
          <w:b/>
          <w:bCs/>
          <w:sz w:val="21"/>
          <w:szCs w:val="21"/>
        </w:rPr>
        <w:t xml:space="preserve">Sucesión</w:t>
      </w:r>
      <w:r>
        <w:rPr>
          <w:sz w:val="21"/>
          <w:szCs w:val="21"/>
        </w:rPr>
        <w:t xml:space="preserve"> — la mayoría de las firmas pequeñas no tienen plan. El valor del negocio muere con el titular si no se construye antes: procesos documentados, relaciones institucionalizadas, marca que no dependa de un nombre.</w:t>
      </w:r>
    </w:p>
    <w:p>
      <w:pPr>
        <w:pStyle w:val="ListParagraph"/>
        <w:numPr>
          <w:ilvl w:val="0"/>
          <w:numId w:val="2"/>
        </w:numPr>
        <w:spacing w:after="70" w:line="264"/>
      </w:pPr>
      <w:r>
        <w:rPr>
          <w:b/>
          <w:bCs/>
          <w:sz w:val="21"/>
          <w:szCs w:val="21"/>
        </w:rPr>
        <w:t xml:space="preserve">Ciberseguridad</w:t>
      </w:r>
      <w:r>
        <w:rPr>
          <w:sz w:val="21"/>
          <w:szCs w:val="21"/>
        </w:rPr>
        <w:t xml:space="preserve"> — las firmas son objetivo prioritario porque concentran información sensible de muchas personas. En inmigración, esa información es especialmente delicada.</w:t>
      </w:r>
    </w:p>
    <w:p>
      <w:pPr>
        <w:pStyle w:val="ListParagraph"/>
        <w:numPr>
          <w:ilvl w:val="0"/>
          <w:numId w:val="2"/>
        </w:numPr>
        <w:spacing w:after="70" w:line="264"/>
      </w:pPr>
      <w:r>
        <w:rPr>
          <w:b/>
          <w:bCs/>
          <w:sz w:val="21"/>
          <w:szCs w:val="21"/>
        </w:rPr>
        <w:t xml:space="preserve">Mala praxis</w:t>
      </w:r>
      <w:r>
        <w:rPr>
          <w:sz w:val="21"/>
          <w:szCs w:val="21"/>
        </w:rPr>
        <w:t xml:space="preserve"> — una reclamación puede exceder la cobertura y alcanzar patrimonio personal.</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15. Palancas de crecimiento y el efecto de la automatización</w:t>
      </w:r>
    </w:p>
    <w:p>
      <w:pPr>
        <w:pStyle w:val="Heading2"/>
        <w:spacing w:after="140" w:before="320"/>
      </w:pPr>
      <w:r>
        <w:rPr>
          <w:rFonts w:ascii="Calibri" w:cs="Calibri" w:eastAsia="Calibri" w:hAnsi="Calibri"/>
          <w:b/>
          <w:bCs/>
          <w:color w:val="1F3864"/>
          <w:sz w:val="25"/>
          <w:szCs w:val="25"/>
        </w:rPr>
        <w:t xml:space="preserve">15.1 Las cinco palancas, ordenadas por retorno</w:t>
      </w:r>
    </w:p>
    <w:p>
      <w:pPr>
        <w:pStyle w:val="ListParagraph"/>
        <w:numPr>
          <w:ilvl w:val="0"/>
          <w:numId w:val="3"/>
        </w:numPr>
        <w:spacing w:after="70" w:line="264"/>
      </w:pPr>
      <w:r>
        <w:rPr>
          <w:b/>
          <w:bCs/>
          <w:sz w:val="21"/>
          <w:szCs w:val="21"/>
        </w:rPr>
        <w:t xml:space="preserve">Cobro y disciplina de precio.</w:t>
      </w:r>
      <w:r>
        <w:rPr>
          <w:sz w:val="21"/>
          <w:szCs w:val="21"/>
        </w:rPr>
        <w:t xml:space="preserve"> Cero inversión, retorno inmediato. Empezar siempre aquí.</w:t>
      </w:r>
    </w:p>
    <w:p>
      <w:pPr>
        <w:pStyle w:val="ListParagraph"/>
        <w:numPr>
          <w:ilvl w:val="0"/>
          <w:numId w:val="3"/>
        </w:numPr>
        <w:spacing w:after="70" w:line="264"/>
      </w:pPr>
      <w:r>
        <w:rPr>
          <w:b/>
          <w:bCs/>
          <w:sz w:val="21"/>
          <w:szCs w:val="21"/>
        </w:rPr>
        <w:t xml:space="preserve">Conversión de la consulta.</w:t>
      </w:r>
      <w:r>
        <w:rPr>
          <w:sz w:val="21"/>
          <w:szCs w:val="21"/>
        </w:rPr>
        <w:t xml:space="preserve"> La palanca de mayor retorno documentada en la Parte 12. Es proceso, no dinero.</w:t>
      </w:r>
    </w:p>
    <w:p>
      <w:pPr>
        <w:pStyle w:val="ListParagraph"/>
        <w:numPr>
          <w:ilvl w:val="0"/>
          <w:numId w:val="3"/>
        </w:numPr>
        <w:spacing w:after="70" w:line="264"/>
      </w:pPr>
      <w:r>
        <w:rPr>
          <w:b/>
          <w:bCs/>
          <w:sz w:val="21"/>
          <w:szCs w:val="21"/>
        </w:rPr>
        <w:t xml:space="preserve">Productización del trabajo repetible.</w:t>
      </w:r>
      <w:r>
        <w:rPr>
          <w:sz w:val="21"/>
          <w:szCs w:val="21"/>
        </w:rPr>
        <w:t xml:space="preserve"> Convertir los casos recurrentes en productos con playbook y precio cerrado. Inversión media, retorno compuesto: cada caso abarata el siguiente.</w:t>
      </w:r>
    </w:p>
    <w:p>
      <w:pPr>
        <w:pStyle w:val="ListParagraph"/>
        <w:numPr>
          <w:ilvl w:val="0"/>
          <w:numId w:val="3"/>
        </w:numPr>
        <w:spacing w:after="70" w:line="264"/>
      </w:pPr>
      <w:r>
        <w:rPr>
          <w:b/>
          <w:bCs/>
          <w:sz w:val="21"/>
          <w:szCs w:val="21"/>
        </w:rPr>
        <w:t xml:space="preserve">Ingreso recurrente.</w:t>
      </w:r>
      <w:r>
        <w:rPr>
          <w:sz w:val="21"/>
          <w:szCs w:val="21"/>
        </w:rPr>
        <w:t xml:space="preserve"> Migrar clientes empresariales a retainer. Cambia el perfil financiero completo de la firma.</w:t>
      </w:r>
    </w:p>
    <w:p>
      <w:pPr>
        <w:pStyle w:val="ListParagraph"/>
        <w:numPr>
          <w:ilvl w:val="0"/>
          <w:numId w:val="3"/>
        </w:numPr>
        <w:spacing w:after="70" w:line="264"/>
      </w:pPr>
      <w:r>
        <w:rPr>
          <w:b/>
          <w:bCs/>
          <w:sz w:val="21"/>
          <w:szCs w:val="21"/>
        </w:rPr>
        <w:t xml:space="preserve">Capacidad y apalancamiento.</w:t>
      </w:r>
      <w:r>
        <w:rPr>
          <w:sz w:val="21"/>
          <w:szCs w:val="21"/>
        </w:rPr>
        <w:t xml:space="preserve"> Contratar, abrir línea, expandir. La más cara y la más lenta. Hacerla al final, no al principio — contratar para resolver un problema de proceso es la forma más cara de no resolverlo.</w:t>
      </w:r>
    </w:p>
    <w:p>
      <w:pPr>
        <w:pStyle w:val="Heading2"/>
        <w:spacing w:after="140" w:before="320"/>
      </w:pPr>
      <w:r>
        <w:rPr>
          <w:rFonts w:ascii="Calibri" w:cs="Calibri" w:eastAsia="Calibri" w:hAnsi="Calibri"/>
          <w:b/>
          <w:bCs/>
          <w:color w:val="1F3864"/>
          <w:sz w:val="25"/>
          <w:szCs w:val="25"/>
        </w:rPr>
        <w:t xml:space="preserve">15.2 La automatización rompe el vínculo entre horas y valor</w:t>
      </w:r>
    </w:p>
    <w:p>
      <w:pPr>
        <w:spacing w:after="140" w:line="276"/>
      </w:pPr>
      <w:r>
        <w:rPr>
          <w:sz w:val="21"/>
          <w:szCs w:val="21"/>
        </w:rPr>
        <w:t xml:space="preserve">El modelo tradicional descansa sobre una identidad: </w:t>
      </w:r>
      <w:r>
        <w:rPr>
          <w:b/>
          <w:bCs/>
          <w:sz w:val="21"/>
          <w:szCs w:val="21"/>
        </w:rPr>
        <w:t xml:space="preserve">más trabajo = más horas = más ingreso.</w:t>
      </w:r>
      <w:r>
        <w:rPr>
          <w:sz w:val="21"/>
          <w:szCs w:val="21"/>
        </w:rPr>
        <w:t xml:space="preserve"> La automatización rompe esa identidad, y al romperla reordena el negocio.</w:t>
      </w:r>
    </w:p>
    <w:p>
      <w:pPr>
        <w:spacing w:after="80"/>
      </w:pPr>
    </w:p>
    <w:p>
      <w:pPr>
        <w:pStyle w:val="Heading3"/>
        <w:spacing w:after="100" w:before="240"/>
      </w:pPr>
      <w:r>
        <w:rPr>
          <w:rFonts w:ascii="Calibri" w:cs="Calibri" w:eastAsia="Calibri" w:hAnsi="Calibri"/>
          <w:b/>
          <w:bCs/>
          <w:color w:val="44546A"/>
          <w:sz w:val="22"/>
          <w:szCs w:val="22"/>
        </w:rPr>
        <w:t xml:space="preserve">Lo que se comprime</w:t>
      </w:r>
    </w:p>
    <w:p>
      <w:pPr>
        <w:pStyle w:val="ListParagraph"/>
        <w:numPr>
          <w:ilvl w:val="0"/>
          <w:numId w:val="2"/>
        </w:numPr>
        <w:spacing w:after="70" w:line="264"/>
      </w:pPr>
      <w:r>
        <w:rPr>
          <w:b/>
          <w:bCs/>
          <w:sz w:val="21"/>
          <w:szCs w:val="21"/>
        </w:rPr>
        <w:t xml:space="preserve">La base de la pirámide.</w:t>
      </w:r>
      <w:r>
        <w:rPr>
          <w:sz w:val="21"/>
          <w:szCs w:val="21"/>
        </w:rPr>
        <w:t xml:space="preserve"> Investigación jurídica, revisión documental de primer paso, resúmenes, diligencia rutinaria, primeros borradores: el trabajo del asociado júnior y del abogado por contrato.</w:t>
      </w:r>
    </w:p>
    <w:p>
      <w:pPr>
        <w:pStyle w:val="ListParagraph"/>
        <w:numPr>
          <w:ilvl w:val="0"/>
          <w:numId w:val="2"/>
        </w:numPr>
        <w:spacing w:after="70" w:line="264"/>
      </w:pPr>
      <w:r>
        <w:rPr>
          <w:b/>
          <w:bCs/>
          <w:sz w:val="21"/>
          <w:szCs w:val="21"/>
        </w:rPr>
        <w:t xml:space="preserve">El apalancamiento como fuente principal de margen.</w:t>
      </w:r>
      <w:r>
        <w:rPr>
          <w:sz w:val="21"/>
          <w:szCs w:val="21"/>
        </w:rPr>
        <w:t xml:space="preserve"> Si una persona con buenas herramientas hace lo que antes hacían tres, la firma necesita menos gente por dueño y </w:t>
      </w:r>
      <w:r>
        <w:rPr>
          <w:b/>
          <w:bCs/>
          <w:sz w:val="21"/>
          <w:szCs w:val="21"/>
        </w:rPr>
        <w:t xml:space="preserve">el ingreso por hora facturada cae aunque el valor entregado suba</w:t>
      </w:r>
      <w:r>
        <w:rPr>
          <w:sz w:val="21"/>
          <w:szCs w:val="21"/>
        </w:rPr>
        <w:t xml:space="preserve">. Para una firma de horas, eso es una amenaza directa al modelo.</w:t>
      </w:r>
    </w:p>
    <w:p>
      <w:pPr>
        <w:spacing w:after="60"/>
      </w:pPr>
    </w:p>
    <w:p>
      <w:pPr>
        <w:pStyle w:val="Heading3"/>
        <w:spacing w:after="100" w:before="240"/>
      </w:pPr>
      <w:r>
        <w:rPr>
          <w:rFonts w:ascii="Calibri" w:cs="Calibri" w:eastAsia="Calibri" w:hAnsi="Calibri"/>
          <w:b/>
          <w:bCs/>
          <w:color w:val="44546A"/>
          <w:sz w:val="22"/>
          <w:szCs w:val="22"/>
        </w:rPr>
        <w:t xml:space="preserve">Lo que se revaloriza</w:t>
      </w:r>
    </w:p>
    <w:p>
      <w:pPr>
        <w:pStyle w:val="ListParagraph"/>
        <w:numPr>
          <w:ilvl w:val="0"/>
          <w:numId w:val="2"/>
        </w:numPr>
        <w:spacing w:after="70" w:line="264"/>
      </w:pPr>
      <w:r>
        <w:rPr>
          <w:b/>
          <w:bCs/>
          <w:sz w:val="21"/>
          <w:szCs w:val="21"/>
        </w:rPr>
        <w:t xml:space="preserve">Juicio, estrategia y responsabilidad.</w:t>
      </w:r>
      <w:r>
        <w:rPr>
          <w:sz w:val="21"/>
          <w:szCs w:val="21"/>
        </w:rPr>
        <w:t xml:space="preserve"> Lo que el cliente no puede automatizar es la decisión y, sobre todo, </w:t>
      </w:r>
      <w:r>
        <w:rPr>
          <w:b/>
          <w:bCs/>
          <w:sz w:val="21"/>
          <w:szCs w:val="21"/>
        </w:rPr>
        <w:t xml:space="preserve">quién responde por ella</w:t>
      </w:r>
      <w:r>
        <w:rPr>
          <w:sz w:val="21"/>
          <w:szCs w:val="21"/>
        </w:rPr>
        <w:t xml:space="preserve">. Un despacho no vende documentos: vende que alguien con licencia pone su nombre detrás.</w:t>
      </w:r>
    </w:p>
    <w:p>
      <w:pPr>
        <w:pStyle w:val="ListParagraph"/>
        <w:numPr>
          <w:ilvl w:val="0"/>
          <w:numId w:val="2"/>
        </w:numPr>
        <w:spacing w:after="70" w:line="264"/>
      </w:pPr>
      <w:r>
        <w:rPr>
          <w:b/>
          <w:bCs/>
          <w:sz w:val="21"/>
          <w:szCs w:val="21"/>
        </w:rPr>
        <w:t xml:space="preserve">La relación y la confianza.</w:t>
      </w:r>
      <w:r>
        <w:rPr>
          <w:sz w:val="21"/>
          <w:szCs w:val="21"/>
        </w:rPr>
        <w:t xml:space="preserve"> El canal de referidos gana peso relativo frente al canal de pago.</w:t>
      </w:r>
    </w:p>
    <w:p>
      <w:pPr>
        <w:pStyle w:val="ListParagraph"/>
        <w:numPr>
          <w:ilvl w:val="0"/>
          <w:numId w:val="2"/>
        </w:numPr>
        <w:spacing w:after="70" w:line="264"/>
      </w:pPr>
      <w:r>
        <w:rPr>
          <w:b/>
          <w:bCs/>
          <w:sz w:val="21"/>
          <w:szCs w:val="21"/>
        </w:rPr>
        <w:t xml:space="preserve">El diseño de procesos.</w:t>
      </w:r>
      <w:r>
        <w:rPr>
          <w:sz w:val="21"/>
          <w:szCs w:val="21"/>
        </w:rPr>
        <w:t xml:space="preserve"> La gestión del conocimiento pasa de función de apoyo a fuente directa de margen.</w:t>
      </w:r>
    </w:p>
    <w:p>
      <w:pPr>
        <w:spacing w:after="10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La consecuencia estratégica, en una frase</w:t>
            </w:r>
          </w:p>
          <w:p>
            <w:pPr>
              <w:spacing w:after="90" w:line="264"/>
            </w:pPr>
            <w:r>
              <w:rPr>
                <w:sz w:val="21"/>
                <w:szCs w:val="21"/>
              </w:rPr>
              <w:t xml:space="preserve">En un mundo donde el trabajo toma menos horas, </w:t>
            </w:r>
            <w:r>
              <w:rPr>
                <w:b/>
                <w:bCs/>
                <w:sz w:val="21"/>
                <w:szCs w:val="21"/>
              </w:rPr>
              <w:t xml:space="preserve">facturar por horas es facturar la propia obsolescencia.</w:t>
            </w:r>
          </w:p>
          <w:p>
            <w:pPr>
              <w:spacing w:after="90" w:line="264"/>
            </w:pPr>
            <w:r>
              <w:rPr>
                <w:sz w:val="21"/>
                <w:szCs w:val="21"/>
              </w:rPr>
              <w:t xml:space="preserve">La firma que automatiza y sigue cobrando por hora se cobra a sí misma el ahorro con signo negativo: hace el trabajo en la mitad de tiempo y factura la mitad. La firma que automatiza y cobra por entregable convierte cada mejora de eficiencia en margen — exactamente la cuenta del Ejemplo B de la Parte 12.</w:t>
            </w:r>
          </w:p>
          <w:p>
            <w:pPr>
              <w:spacing w:after="90" w:line="264"/>
            </w:pPr>
            <w:r>
              <w:rPr>
                <w:b/>
                <w:bCs/>
                <w:sz w:val="21"/>
                <w:szCs w:val="21"/>
              </w:rPr>
              <w:t xml:space="preserve">Nosotros ya estamos del lado correcto de esa línea.</w:t>
            </w:r>
            <w:r>
              <w:rPr>
                <w:sz w:val="21"/>
                <w:szCs w:val="21"/>
              </w:rPr>
              <w:t xml:space="preserve"> Ese es probablemente el activo estratégico menos reconocido de la firma: el modelo de ingreso que ya usamos es el que el resto del sector va a tener que adoptar a la fuerza.</w:t>
            </w:r>
          </w:p>
        </w:tc>
      </w:tr>
    </w:tbl>
    <w:p>
      <w:pPr>
        <w:spacing w:after="160"/>
      </w:pPr>
    </w:p>
    <w:p>
      <w:pPr>
        <w:pStyle w:val="Heading2"/>
        <w:spacing w:after="140" w:before="320"/>
      </w:pPr>
      <w:r>
        <w:rPr>
          <w:rFonts w:ascii="Calibri" w:cs="Calibri" w:eastAsia="Calibri" w:hAnsi="Calibri"/>
          <w:b/>
          <w:bCs/>
          <w:color w:val="1F3864"/>
          <w:sz w:val="25"/>
          <w:szCs w:val="25"/>
        </w:rPr>
        <w:t xml:space="preserve">15.3 Las tres condiciones para capturar esa ventaja</w:t>
      </w:r>
    </w:p>
    <w:p>
      <w:pPr>
        <w:pStyle w:val="Heading3"/>
        <w:spacing w:after="100" w:before="240"/>
      </w:pPr>
      <w:r>
        <w:rPr>
          <w:rFonts w:ascii="Calibri" w:cs="Calibri" w:eastAsia="Calibri" w:hAnsi="Calibri"/>
          <w:b/>
          <w:bCs/>
          <w:color w:val="44546A"/>
          <w:sz w:val="22"/>
          <w:szCs w:val="22"/>
        </w:rPr>
        <w:t xml:space="preserve">1. El carril de formación hay que rediseñarlo a propósito</w:t>
      </w:r>
    </w:p>
    <w:p>
      <w:pPr>
        <w:spacing w:after="140" w:line="276"/>
      </w:pPr>
      <w:r>
        <w:rPr>
          <w:sz w:val="21"/>
          <w:szCs w:val="21"/>
        </w:rPr>
        <w:t xml:space="preserve">Si la automatización absorbe el trabajo con el que tradicionalmente se formaban los abogados y paralegales júniors, hay que construir deliberadamente cómo se forman ahora: revisión supervisada de salidas automatizadas, exposición temprana al cliente, rotaciones estructuradas. </w:t>
      </w:r>
      <w:r>
        <w:rPr>
          <w:b/>
          <w:bCs/>
          <w:sz w:val="21"/>
          <w:szCs w:val="21"/>
        </w:rPr>
        <w:t xml:space="preserve">Un modelo que no forma a su siguiente generación se queda sin sénior en diez años</w:t>
      </w:r>
      <w:r>
        <w:rPr>
          <w:sz w:val="21"/>
          <w:szCs w:val="21"/>
        </w:rPr>
        <w:t xml:space="preserve">, y no lo nota hasta que es tarde.</w:t>
      </w:r>
    </w:p>
    <w:p>
      <w:pPr>
        <w:pStyle w:val="Heading3"/>
        <w:spacing w:after="100" w:before="240"/>
      </w:pPr>
      <w:r>
        <w:rPr>
          <w:rFonts w:ascii="Calibri" w:cs="Calibri" w:eastAsia="Calibri" w:hAnsi="Calibri"/>
          <w:b/>
          <w:bCs/>
          <w:color w:val="44546A"/>
          <w:sz w:val="22"/>
          <w:szCs w:val="22"/>
        </w:rPr>
        <w:t xml:space="preserve">2. La supervisión tiene que ser real y documentada</w:t>
      </w:r>
    </w:p>
    <w:p>
      <w:pPr>
        <w:spacing w:after="140" w:line="276"/>
      </w:pPr>
      <w:r>
        <w:rPr>
          <w:sz w:val="21"/>
          <w:szCs w:val="21"/>
        </w:rPr>
        <w:t xml:space="preserve">La responsabilidad del abogado por el trabajo que sale con su nombre no cambia porque una parte la haya preparado un sistema. En términos regulatorios es el mismo deber de supervisión que se aplica al personal no abogado. En términos prácticos significa: </w:t>
      </w:r>
      <w:r>
        <w:rPr>
          <w:b/>
          <w:bCs/>
          <w:sz w:val="21"/>
          <w:szCs w:val="21"/>
        </w:rPr>
        <w:t xml:space="preserve">quién revisó qué, cuándo, y qué cambió.</w:t>
      </w:r>
      <w:r>
        <w:rPr>
          <w:sz w:val="21"/>
          <w:szCs w:val="21"/>
        </w:rPr>
        <w:t xml:space="preserve"> Un registro simple de revisión no es burocracia — es la prueba de que el deber se cumplió.</w:t>
      </w:r>
    </w:p>
    <w:p>
      <w:pPr>
        <w:pStyle w:val="Heading3"/>
        <w:spacing w:after="100" w:before="240"/>
      </w:pPr>
      <w:r>
        <w:rPr>
          <w:rFonts w:ascii="Calibri" w:cs="Calibri" w:eastAsia="Calibri" w:hAnsi="Calibri"/>
          <w:b/>
          <w:bCs/>
          <w:color w:val="44546A"/>
          <w:sz w:val="22"/>
          <w:szCs w:val="22"/>
        </w:rPr>
        <w:t xml:space="preserve">3. Confidencialidad antes que conveniencia</w:t>
      </w:r>
    </w:p>
    <w:p>
      <w:pPr>
        <w:spacing w:after="140" w:line="276"/>
      </w:pPr>
      <w:r>
        <w:rPr>
          <w:sz w:val="21"/>
          <w:szCs w:val="21"/>
        </w:rPr>
        <w:t xml:space="preserve">Qué información del cliente entra en qué herramienta, con qué configuración de retención y bajo qué contrato, es una decisión de cumplimiento previa a cualquier decisión de productividad. En inmigración la información es especialmente sensible: estatus, antecedentes, situación familiar, salud. </w:t>
      </w:r>
      <w:r>
        <w:rPr>
          <w:b/>
          <w:bCs/>
          <w:sz w:val="21"/>
          <w:szCs w:val="21"/>
        </w:rPr>
        <w:t xml:space="preserve">La regla práctica: si no se puede explicar al cliente qué pasa con sus datos, no se usa la herramienta.</w:t>
      </w:r>
    </w:p>
    <w:p>
      <w:pPr>
        <w:spacing w:after="14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Aplicación a nuestra firma — una ventaja que ya existe y hay que capitalizar</w:t>
            </w:r>
          </w:p>
          <w:p>
            <w:pPr>
              <w:spacing w:after="90" w:line="264"/>
            </w:pPr>
            <w:r>
              <w:rPr>
                <w:sz w:val="21"/>
                <w:szCs w:val="21"/>
              </w:rPr>
              <w:t xml:space="preserve">La firma ya está construyendo herramientas y materiales de práctica: guías de casos de la BIA, biblioteca de habeas, plantillas y automatización. Desde el punto de vista de este documento, eso </w:t>
            </w:r>
            <w:r>
              <w:rPr>
                <w:b/>
                <w:bCs/>
                <w:sz w:val="21"/>
                <w:szCs w:val="21"/>
              </w:rPr>
              <w:t xml:space="preserve">no es un proyecto paralelo: es la inversión con mayor retorno del modelo</w:t>
            </w:r>
            <w:r>
              <w:rPr>
                <w:sz w:val="21"/>
                <w:szCs w:val="21"/>
              </w:rPr>
              <w:t xml:space="preserve">, porque cada hora que baja el costo de entrega se convierte íntegra en margen (Parte 12.2).</w:t>
            </w:r>
          </w:p>
          <w:p>
            <w:pPr>
              <w:spacing w:after="90" w:line="264"/>
            </w:pPr>
            <w:r>
              <w:rPr>
                <w:b/>
                <w:bCs/>
                <w:sz w:val="21"/>
                <w:szCs w:val="21"/>
              </w:rPr>
              <w:t xml:space="preserve">Tres formas de monetizar ese trabajo, en orden de dificultad:</w:t>
            </w:r>
          </w:p>
          <w:p>
            <w:pPr>
              <w:spacing w:after="90" w:line="264"/>
            </w:pPr>
            <w:r>
              <w:rPr>
                <w:b/>
                <w:bCs/>
                <w:sz w:val="21"/>
                <w:szCs w:val="21"/>
              </w:rPr>
              <w:t xml:space="preserve">1. Interna</w:t>
            </w:r>
            <w:r>
              <w:rPr>
                <w:sz w:val="21"/>
                <w:szCs w:val="21"/>
              </w:rPr>
              <w:t xml:space="preserve"> — bajar el costo de entrega por caso. Es la de retorno más seguro y la que ya está en marcha. Empezar por los dos tipos de caso de mayor volumen y medir horas antes y después.</w:t>
            </w:r>
          </w:p>
          <w:p>
            <w:pPr>
              <w:spacing w:after="90" w:line="264"/>
            </w:pPr>
            <w:r>
              <w:rPr>
                <w:b/>
                <w:bCs/>
                <w:sz w:val="21"/>
                <w:szCs w:val="21"/>
              </w:rPr>
              <w:t xml:space="preserve">2. Producto de formación</w:t>
            </w:r>
            <w:r>
              <w:rPr>
                <w:sz w:val="21"/>
                <w:szCs w:val="21"/>
              </w:rPr>
              <w:t xml:space="preserve"> — las guías y materiales ya producidos tienen valor para otros profesionales. Es inventario de conocimiento que hoy no genera ingreso.</w:t>
            </w:r>
          </w:p>
          <w:p>
            <w:pPr>
              <w:spacing w:after="90" w:line="264"/>
            </w:pPr>
            <w:r>
              <w:rPr>
                <w:b/>
                <w:bCs/>
                <w:sz w:val="21"/>
                <w:szCs w:val="21"/>
              </w:rPr>
              <w:t xml:space="preserve">3. Licencia a otras firmas</w:t>
            </w:r>
            <w:r>
              <w:rPr>
                <w:sz w:val="21"/>
                <w:szCs w:val="21"/>
              </w:rPr>
              <w:t xml:space="preserve"> — el paso más ambicioso y el que más cuidado requiere en su estructura, por las reglas sobre reparto de honorarios y práctica no autorizada. Viable, pero hay que diseñarlo con esa restricción desde el principio, no adaptarlo después.</w:t>
            </w:r>
          </w:p>
          <w:p>
            <w:pPr>
              <w:spacing w:after="90" w:line="264"/>
            </w:pPr>
            <w:r>
              <w:rPr>
                <w:b/>
                <w:bCs/>
                <w:sz w:val="21"/>
                <w:szCs w:val="21"/>
              </w:rPr>
              <w:t xml:space="preserve">La medida que demuestra que funciona:</w:t>
            </w:r>
            <w:r>
              <w:rPr>
                <w:sz w:val="21"/>
                <w:szCs w:val="21"/>
              </w:rPr>
              <w:t xml:space="preserve"> horas de entrega por tipo de caso, medidas antes y después. Si no baja, la automatización es entretenimiento caro. Si baja, cada hora ahorrada aparece en la línea de utilidad.</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Parte 16. Hoja de ruta 0–24 meses</w:t>
      </w:r>
    </w:p>
    <w:p>
      <w:pPr>
        <w:spacing w:after="140" w:line="276"/>
      </w:pPr>
      <w:r>
        <w:rPr>
          <w:sz w:val="21"/>
          <w:szCs w:val="21"/>
        </w:rPr>
        <w:t xml:space="preserve">Ordenada por retorno sobre esfuerzo, no por ambición. Cada fase supone que la anterior está funcionando.</w:t>
      </w:r>
    </w:p>
    <w:p>
      <w:pPr>
        <w:pStyle w:val="Heading2"/>
        <w:spacing w:after="140" w:before="320"/>
      </w:pPr>
      <w:r>
        <w:rPr>
          <w:rFonts w:ascii="Calibri" w:cs="Calibri" w:eastAsia="Calibri" w:hAnsi="Calibri"/>
          <w:b/>
          <w:bCs/>
          <w:color w:val="1F3864"/>
          <w:sz w:val="25"/>
          <w:szCs w:val="25"/>
        </w:rPr>
        <w:t xml:space="preserve">Fase 1 — Instrumentación (meses 0–3)</w:t>
      </w:r>
    </w:p>
    <w:p>
      <w:pPr>
        <w:spacing w:after="140" w:line="276"/>
      </w:pPr>
      <w:r>
        <w:rPr>
          <w:i/>
          <w:iCs/>
          <w:sz w:val="21"/>
          <w:szCs w:val="21"/>
        </w:rPr>
        <w:t xml:space="preserve">No se puede gestionar lo que no se mide. Esta fase no mejora nada; hace visible todo lo demás.</w:t>
      </w:r>
    </w:p>
    <w:p>
      <w:pPr>
        <w:pStyle w:val="ListParagraph"/>
        <w:numPr>
          <w:ilvl w:val="0"/>
          <w:numId w:val="4"/>
        </w:numPr>
        <w:spacing w:after="70" w:line="264"/>
      </w:pPr>
      <w:r>
        <w:rPr>
          <w:sz w:val="21"/>
          <w:szCs w:val="21"/>
        </w:rPr>
        <w:t xml:space="preserve">Registrar el tiempo real en </w:t>
      </w:r>
      <w:r>
        <w:rPr>
          <w:b/>
          <w:bCs/>
          <w:sz w:val="21"/>
          <w:szCs w:val="21"/>
        </w:rPr>
        <w:t xml:space="preserve">todos</w:t>
      </w:r>
      <w:r>
        <w:rPr>
          <w:sz w:val="21"/>
          <w:szCs w:val="21"/>
        </w:rPr>
        <w:t xml:space="preserve"> los casos, aunque sean de precio cerrado. No para facturarlo: para conocer el costo de entrega por tipo de caso.</w:t>
      </w:r>
    </w:p>
    <w:p>
      <w:pPr>
        <w:pStyle w:val="ListParagraph"/>
        <w:numPr>
          <w:ilvl w:val="0"/>
          <w:numId w:val="4"/>
        </w:numPr>
        <w:spacing w:after="70" w:line="264"/>
      </w:pPr>
      <w:r>
        <w:rPr>
          <w:sz w:val="21"/>
          <w:szCs w:val="21"/>
        </w:rPr>
        <w:t xml:space="preserve">Calcular la línea base: margen por tipo de caso, tasa de conversión de consulta, CAC por canal, días de cobro.</w:t>
      </w:r>
    </w:p>
    <w:p>
      <w:pPr>
        <w:pStyle w:val="ListParagraph"/>
        <w:numPr>
          <w:ilvl w:val="0"/>
          <w:numId w:val="4"/>
        </w:numPr>
        <w:spacing w:after="70" w:line="264"/>
      </w:pPr>
      <w:r>
        <w:rPr>
          <w:sz w:val="21"/>
          <w:szCs w:val="21"/>
        </w:rPr>
        <w:t xml:space="preserve">Instalar el panel de cinco números de la Parte 13 y fijar una fecha mensual para revisarlo.</w:t>
      </w:r>
    </w:p>
    <w:p>
      <w:pPr>
        <w:pStyle w:val="ListParagraph"/>
        <w:numPr>
          <w:ilvl w:val="0"/>
          <w:numId w:val="4"/>
        </w:numPr>
        <w:spacing w:after="70" w:line="264"/>
      </w:pPr>
      <w:r>
        <w:rPr>
          <w:sz w:val="21"/>
          <w:szCs w:val="21"/>
        </w:rPr>
        <w:t xml:space="preserve">Auditar la cuenta fiduciaria: conciliación de tres vías y criterio escrito de devengo (Parte 9.3).</w:t>
      </w:r>
    </w:p>
    <w:p>
      <w:pPr>
        <w:pStyle w:val="ListParagraph"/>
        <w:numPr>
          <w:ilvl w:val="0"/>
          <w:numId w:val="4"/>
        </w:numPr>
        <w:spacing w:after="70" w:line="264"/>
      </w:pPr>
      <w:r>
        <w:rPr>
          <w:sz w:val="21"/>
          <w:szCs w:val="21"/>
        </w:rPr>
        <w:t xml:space="preserve">Revisar la cobertura del seguro de responsabilidad frente al perfil real de riesgo.</w:t>
      </w:r>
    </w:p>
    <w:p>
      <w:pPr>
        <w:pStyle w:val="ListParagraph"/>
        <w:numPr>
          <w:ilvl w:val="0"/>
          <w:numId w:val="4"/>
        </w:numPr>
        <w:spacing w:after="70" w:line="264"/>
      </w:pPr>
      <w:r>
        <w:rPr>
          <w:sz w:val="21"/>
          <w:szCs w:val="21"/>
        </w:rPr>
        <w:t xml:space="preserve">Resolver la matriz por distrito federal sobre divulgación en escritos preparados por abogado (Parte 4.2).</w:t>
      </w:r>
    </w:p>
    <w:p>
      <w:pPr>
        <w:pStyle w:val="Heading2"/>
        <w:spacing w:after="140" w:before="320"/>
      </w:pPr>
      <w:r>
        <w:rPr>
          <w:rFonts w:ascii="Calibri" w:cs="Calibri" w:eastAsia="Calibri" w:hAnsi="Calibri"/>
          <w:b/>
          <w:bCs/>
          <w:color w:val="1F3864"/>
          <w:sz w:val="25"/>
          <w:szCs w:val="25"/>
        </w:rPr>
        <w:t xml:space="preserve">Fase 2 — Higiene financiera y de proceso (meses 3–6)</w:t>
      </w:r>
    </w:p>
    <w:p>
      <w:pPr>
        <w:spacing w:after="140" w:line="276"/>
      </w:pPr>
      <w:r>
        <w:rPr>
          <w:i/>
          <w:iCs/>
          <w:sz w:val="21"/>
          <w:szCs w:val="21"/>
        </w:rPr>
        <w:t xml:space="preserve">Las ganancias más baratas del documento. Ninguna requiere inversión.</w:t>
      </w:r>
    </w:p>
    <w:p>
      <w:pPr>
        <w:pStyle w:val="ListParagraph"/>
        <w:numPr>
          <w:ilvl w:val="0"/>
          <w:numId w:val="4"/>
        </w:numPr>
        <w:spacing w:after="70" w:line="264"/>
      </w:pPr>
      <w:r>
        <w:rPr>
          <w:sz w:val="21"/>
          <w:szCs w:val="21"/>
        </w:rPr>
        <w:t xml:space="preserve">Proceso de intake con responsable único, objetivo de tiempo de primera respuesta y guion de consulta.</w:t>
      </w:r>
    </w:p>
    <w:p>
      <w:pPr>
        <w:pStyle w:val="ListParagraph"/>
        <w:numPr>
          <w:ilvl w:val="0"/>
          <w:numId w:val="4"/>
        </w:numPr>
        <w:spacing w:after="70" w:line="264"/>
      </w:pPr>
      <w:r>
        <w:rPr>
          <w:sz w:val="21"/>
          <w:szCs w:val="21"/>
        </w:rPr>
        <w:t xml:space="preserve">Medir la conversión de consulta semanalmente. Es la palanca número uno (Parte 12.4).</w:t>
      </w:r>
    </w:p>
    <w:p>
      <w:pPr>
        <w:pStyle w:val="ListParagraph"/>
        <w:numPr>
          <w:ilvl w:val="0"/>
          <w:numId w:val="4"/>
        </w:numPr>
        <w:spacing w:after="70" w:line="264"/>
      </w:pPr>
      <w:r>
        <w:rPr>
          <w:sz w:val="21"/>
          <w:szCs w:val="21"/>
        </w:rPr>
        <w:t xml:space="preserve">Política escrita de alcance: qué incluye y qué no incluye cada tipo de encargo, con la conversación de ampliación pactada de antemano.</w:t>
      </w:r>
    </w:p>
    <w:p>
      <w:pPr>
        <w:pStyle w:val="ListParagraph"/>
        <w:numPr>
          <w:ilvl w:val="0"/>
          <w:numId w:val="4"/>
        </w:numPr>
        <w:spacing w:after="70" w:line="264"/>
      </w:pPr>
      <w:r>
        <w:rPr>
          <w:sz w:val="21"/>
          <w:szCs w:val="21"/>
        </w:rPr>
        <w:t xml:space="preserve">Gestión activa de planes de pago: recordatorios automáticos, escalado a 15/30/45 días.</w:t>
      </w:r>
    </w:p>
    <w:p>
      <w:pPr>
        <w:pStyle w:val="ListParagraph"/>
        <w:numPr>
          <w:ilvl w:val="0"/>
          <w:numId w:val="4"/>
        </w:numPr>
        <w:spacing w:after="70" w:line="264"/>
      </w:pPr>
      <w:r>
        <w:rPr>
          <w:sz w:val="21"/>
          <w:szCs w:val="21"/>
        </w:rPr>
        <w:t xml:space="preserve">Criterio escrito de aceptación y rechazo de casos. Decir que no a tiempo es una decisión de margen.</w:t>
      </w:r>
    </w:p>
    <w:p>
      <w:pPr>
        <w:pStyle w:val="ListParagraph"/>
        <w:numPr>
          <w:ilvl w:val="0"/>
          <w:numId w:val="4"/>
        </w:numPr>
        <w:spacing w:after="70" w:line="264"/>
      </w:pPr>
      <w:r>
        <w:rPr>
          <w:sz w:val="21"/>
          <w:szCs w:val="21"/>
        </w:rPr>
        <w:t xml:space="preserve">Documento de una página sobre quién decide qué (Parte 1.2).</w:t>
      </w:r>
    </w:p>
    <w:p>
      <w:pPr>
        <w:pStyle w:val="Heading2"/>
        <w:spacing w:after="140" w:before="320"/>
      </w:pPr>
      <w:r>
        <w:rPr>
          <w:rFonts w:ascii="Calibri" w:cs="Calibri" w:eastAsia="Calibri" w:hAnsi="Calibri"/>
          <w:b/>
          <w:bCs/>
          <w:color w:val="1F3864"/>
          <w:sz w:val="25"/>
          <w:szCs w:val="25"/>
        </w:rPr>
        <w:t xml:space="preserve">Fase 3 — Productización (meses 6–12)</w:t>
      </w:r>
    </w:p>
    <w:p>
      <w:pPr>
        <w:spacing w:after="140" w:line="276"/>
      </w:pPr>
      <w:r>
        <w:rPr>
          <w:i/>
          <w:iCs/>
          <w:sz w:val="21"/>
          <w:szCs w:val="21"/>
        </w:rPr>
        <w:t xml:space="preserve">Convertir servicio en producto. Aquí empieza el retorno compuesto.</w:t>
      </w:r>
    </w:p>
    <w:p>
      <w:pPr>
        <w:pStyle w:val="ListParagraph"/>
        <w:numPr>
          <w:ilvl w:val="0"/>
          <w:numId w:val="4"/>
        </w:numPr>
        <w:spacing w:after="70" w:line="264"/>
      </w:pPr>
      <w:r>
        <w:rPr>
          <w:sz w:val="21"/>
          <w:szCs w:val="21"/>
        </w:rPr>
        <w:t xml:space="preserve">Identificar los cinco tipos de caso más frecuentes y medir sus horas reales de entrega.</w:t>
      </w:r>
    </w:p>
    <w:p>
      <w:pPr>
        <w:pStyle w:val="ListParagraph"/>
        <w:numPr>
          <w:ilvl w:val="0"/>
          <w:numId w:val="4"/>
        </w:numPr>
        <w:spacing w:after="70" w:line="264"/>
      </w:pPr>
      <w:r>
        <w:rPr>
          <w:sz w:val="21"/>
          <w:szCs w:val="21"/>
        </w:rPr>
        <w:t xml:space="preserve">Construir para cada uno: playbook, plantillas, checklist de documentos y guion de comunicación con el cliente.</w:t>
      </w:r>
    </w:p>
    <w:p>
      <w:pPr>
        <w:pStyle w:val="ListParagraph"/>
        <w:numPr>
          <w:ilvl w:val="0"/>
          <w:numId w:val="4"/>
        </w:numPr>
        <w:spacing w:after="70" w:line="264"/>
      </w:pPr>
      <w:r>
        <w:rPr>
          <w:sz w:val="21"/>
          <w:szCs w:val="21"/>
        </w:rPr>
        <w:t xml:space="preserve">Recalcular el precio de cada producto con margen objetivo declarado.</w:t>
      </w:r>
    </w:p>
    <w:p>
      <w:pPr>
        <w:pStyle w:val="ListParagraph"/>
        <w:numPr>
          <w:ilvl w:val="0"/>
          <w:numId w:val="4"/>
        </w:numPr>
        <w:spacing w:after="70" w:line="264"/>
      </w:pPr>
      <w:r>
        <w:rPr>
          <w:sz w:val="21"/>
          <w:szCs w:val="21"/>
        </w:rPr>
        <w:t xml:space="preserve">Automatizar con revisión humana los dos de mayor volumen, con registro de revisión.</w:t>
      </w:r>
    </w:p>
    <w:p>
      <w:pPr>
        <w:pStyle w:val="ListParagraph"/>
        <w:numPr>
          <w:ilvl w:val="0"/>
          <w:numId w:val="4"/>
        </w:numPr>
        <w:spacing w:after="70" w:line="264"/>
      </w:pPr>
      <w:r>
        <w:rPr>
          <w:sz w:val="21"/>
          <w:szCs w:val="21"/>
        </w:rPr>
        <w:t xml:space="preserve">Medir horas de entrega antes y después. Ese delta es el retorno del trimestre.</w:t>
      </w:r>
    </w:p>
    <w:p>
      <w:pPr>
        <w:pStyle w:val="ListParagraph"/>
        <w:numPr>
          <w:ilvl w:val="0"/>
          <w:numId w:val="4"/>
        </w:numPr>
        <w:spacing w:after="70" w:line="264"/>
      </w:pPr>
      <w:r>
        <w:rPr>
          <w:sz w:val="21"/>
          <w:szCs w:val="21"/>
        </w:rPr>
        <w:t xml:space="preserve">Mover trabajo hacia el nivel más bajo que pueda hacerlo bien con supervisión adecuada.</w:t>
      </w:r>
    </w:p>
    <w:p>
      <w:pPr>
        <w:pStyle w:val="Heading2"/>
        <w:spacing w:after="140" w:before="320"/>
      </w:pPr>
      <w:r>
        <w:rPr>
          <w:rFonts w:ascii="Calibri" w:cs="Calibri" w:eastAsia="Calibri" w:hAnsi="Calibri"/>
          <w:b/>
          <w:bCs/>
          <w:color w:val="1F3864"/>
          <w:sz w:val="25"/>
          <w:szCs w:val="25"/>
        </w:rPr>
        <w:t xml:space="preserve">Fase 4 — Motor de ingresos (meses 12–18)</w:t>
      </w:r>
    </w:p>
    <w:p>
      <w:pPr>
        <w:spacing w:after="140" w:line="276"/>
      </w:pPr>
      <w:r>
        <w:rPr>
          <w:i/>
          <w:iCs/>
          <w:sz w:val="21"/>
          <w:szCs w:val="21"/>
        </w:rPr>
        <w:t xml:space="preserve">De transaccional a recurrente.</w:t>
      </w:r>
    </w:p>
    <w:p>
      <w:pPr>
        <w:pStyle w:val="ListParagraph"/>
        <w:numPr>
          <w:ilvl w:val="0"/>
          <w:numId w:val="4"/>
        </w:numPr>
        <w:spacing w:after="70" w:line="264"/>
      </w:pPr>
      <w:r>
        <w:rPr>
          <w:sz w:val="21"/>
          <w:szCs w:val="21"/>
        </w:rPr>
        <w:t xml:space="preserve">Diseñar y lanzar el producto de cumplimiento para empleadores (Parte 4.3).</w:t>
      </w:r>
    </w:p>
    <w:p>
      <w:pPr>
        <w:pStyle w:val="ListParagraph"/>
        <w:numPr>
          <w:ilvl w:val="0"/>
          <w:numId w:val="4"/>
        </w:numPr>
        <w:spacing w:after="70" w:line="264"/>
      </w:pPr>
      <w:r>
        <w:rPr>
          <w:sz w:val="21"/>
          <w:szCs w:val="21"/>
        </w:rPr>
        <w:t xml:space="preserve">Piloto con tres a cinco empleadores del área, con precio anual.</w:t>
      </w:r>
    </w:p>
    <w:p>
      <w:pPr>
        <w:pStyle w:val="ListParagraph"/>
        <w:numPr>
          <w:ilvl w:val="0"/>
          <w:numId w:val="4"/>
        </w:numPr>
        <w:spacing w:after="70" w:line="264"/>
      </w:pPr>
      <w:r>
        <w:rPr>
          <w:sz w:val="21"/>
          <w:szCs w:val="21"/>
        </w:rPr>
        <w:t xml:space="preserve">Formalizar el programa de referidos: pedirlo, medirlo, agradecerlo.</w:t>
      </w:r>
    </w:p>
    <w:p>
      <w:pPr>
        <w:pStyle w:val="ListParagraph"/>
        <w:numPr>
          <w:ilvl w:val="0"/>
          <w:numId w:val="4"/>
        </w:numPr>
        <w:spacing w:after="70" w:line="264"/>
      </w:pPr>
      <w:r>
        <w:rPr>
          <w:sz w:val="21"/>
          <w:szCs w:val="21"/>
        </w:rPr>
        <w:t xml:space="preserve">Reducir el canal con peor CAC y reasignar ese presupuesto al de mejor conversión.</w:t>
      </w:r>
    </w:p>
    <w:p>
      <w:pPr>
        <w:pStyle w:val="ListParagraph"/>
        <w:numPr>
          <w:ilvl w:val="0"/>
          <w:numId w:val="4"/>
        </w:numPr>
        <w:spacing w:after="70" w:line="264"/>
      </w:pPr>
      <w:r>
        <w:rPr>
          <w:sz w:val="21"/>
          <w:szCs w:val="21"/>
        </w:rPr>
        <w:t xml:space="preserve">Contactar la base de clientes de naturalización cerrados: es la que más habla con su comunidad.</w:t>
      </w:r>
    </w:p>
    <w:p>
      <w:pPr>
        <w:pStyle w:val="ListParagraph"/>
        <w:numPr>
          <w:ilvl w:val="0"/>
          <w:numId w:val="4"/>
        </w:numPr>
        <w:spacing w:after="70" w:line="264"/>
      </w:pPr>
      <w:r>
        <w:rPr>
          <w:sz w:val="21"/>
          <w:szCs w:val="21"/>
        </w:rPr>
        <w:t xml:space="preserve">Evaluar el producto de formación con los materiales ya existentes.</w:t>
      </w:r>
    </w:p>
    <w:p>
      <w:pPr>
        <w:pStyle w:val="Heading2"/>
        <w:spacing w:after="140" w:before="320"/>
      </w:pPr>
      <w:r>
        <w:rPr>
          <w:rFonts w:ascii="Calibri" w:cs="Calibri" w:eastAsia="Calibri" w:hAnsi="Calibri"/>
          <w:b/>
          <w:bCs/>
          <w:color w:val="1F3864"/>
          <w:sz w:val="25"/>
          <w:szCs w:val="25"/>
        </w:rPr>
        <w:t xml:space="preserve">Fase 5 — Estructura y escala (meses 18–24)</w:t>
      </w:r>
    </w:p>
    <w:p>
      <w:pPr>
        <w:spacing w:after="140" w:line="276"/>
      </w:pPr>
      <w:r>
        <w:rPr>
          <w:i/>
          <w:iCs/>
          <w:sz w:val="21"/>
          <w:szCs w:val="21"/>
        </w:rPr>
        <w:t xml:space="preserve">Solo después de que lo anterior funcione. Escalar un proceso roto multiplica el problema.</w:t>
      </w:r>
    </w:p>
    <w:p>
      <w:pPr>
        <w:pStyle w:val="ListParagraph"/>
        <w:numPr>
          <w:ilvl w:val="0"/>
          <w:numId w:val="4"/>
        </w:numPr>
        <w:spacing w:after="70" w:line="264"/>
      </w:pPr>
      <w:r>
        <w:rPr>
          <w:sz w:val="21"/>
          <w:szCs w:val="21"/>
        </w:rPr>
        <w:t xml:space="preserve">Revisar y actualizar el Company Agreement: admisión, salida, reparto, sucesión (Parte 8).</w:t>
      </w:r>
    </w:p>
    <w:p>
      <w:pPr>
        <w:pStyle w:val="ListParagraph"/>
        <w:numPr>
          <w:ilvl w:val="0"/>
          <w:numId w:val="4"/>
        </w:numPr>
        <w:spacing w:after="70" w:line="264"/>
      </w:pPr>
      <w:r>
        <w:rPr>
          <w:sz w:val="21"/>
          <w:szCs w:val="21"/>
        </w:rPr>
        <w:t xml:space="preserve">Decidir explícitamente entre el Camino A y el Camino B de la Parte 10, o la secuencia entre ambos.</w:t>
      </w:r>
    </w:p>
    <w:p>
      <w:pPr>
        <w:pStyle w:val="ListParagraph"/>
        <w:numPr>
          <w:ilvl w:val="0"/>
          <w:numId w:val="4"/>
        </w:numPr>
        <w:spacing w:after="70" w:line="264"/>
      </w:pPr>
      <w:r>
        <w:rPr>
          <w:sz w:val="21"/>
          <w:szCs w:val="21"/>
        </w:rPr>
        <w:t xml:space="preserve">Contratar según el orden de la Parte 2: apoyo e intake antes que abogado.</w:t>
      </w:r>
    </w:p>
    <w:p>
      <w:pPr>
        <w:pStyle w:val="ListParagraph"/>
        <w:numPr>
          <w:ilvl w:val="0"/>
          <w:numId w:val="4"/>
        </w:numPr>
        <w:spacing w:after="70" w:line="264"/>
      </w:pPr>
      <w:r>
        <w:rPr>
          <w:sz w:val="21"/>
          <w:szCs w:val="21"/>
        </w:rPr>
        <w:t xml:space="preserve">Evaluar admisiones federales adicionales o acuerdos de co-counsel para los distritos que importen.</w:t>
      </w:r>
    </w:p>
    <w:p>
      <w:pPr>
        <w:pStyle w:val="ListParagraph"/>
        <w:numPr>
          <w:ilvl w:val="0"/>
          <w:numId w:val="4"/>
        </w:numPr>
        <w:spacing w:after="70" w:line="264"/>
      </w:pPr>
      <w:r>
        <w:rPr>
          <w:sz w:val="21"/>
          <w:szCs w:val="21"/>
        </w:rPr>
        <w:t xml:space="preserve">Plan de sucesión y de continuidad: qué pasa con la firma y con los casos si el titular no está.</w:t>
      </w:r>
    </w:p>
    <w:p>
      <w:pPr>
        <w:pStyle w:val="ListParagraph"/>
        <w:numPr>
          <w:ilvl w:val="0"/>
          <w:numId w:val="4"/>
        </w:numPr>
        <w:spacing w:after="70" w:line="264"/>
      </w:pPr>
      <w:r>
        <w:rPr>
          <w:sz w:val="21"/>
          <w:szCs w:val="21"/>
        </w:rPr>
        <w:t xml:space="preserve">Revisar el objetivo de mezcla de cartera y ajustar la inversión de marketing en consecuencia.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Resumen ejecutivo</w:t>
      </w:r>
    </w:p>
    <w:p>
      <w:pPr>
        <w:pStyle w:val="Heading3"/>
        <w:spacing w:after="100" w:before="240"/>
      </w:pPr>
      <w:r>
        <w:rPr>
          <w:rFonts w:ascii="Calibri" w:cs="Calibri" w:eastAsia="Calibri" w:hAnsi="Calibri"/>
          <w:b/>
          <w:bCs/>
          <w:color w:val="44546A"/>
          <w:sz w:val="22"/>
          <w:szCs w:val="22"/>
        </w:rPr>
        <w:t xml:space="preserve">Qué es el negocio</w:t>
      </w:r>
    </w:p>
    <w:p>
      <w:pPr>
        <w:spacing w:after="140" w:line="276"/>
      </w:pPr>
      <w:r>
        <w:rPr>
          <w:sz w:val="21"/>
          <w:szCs w:val="21"/>
        </w:rPr>
        <w:t xml:space="preserve">Una firma legal estadounidense vende </w:t>
      </w:r>
      <w:r>
        <w:rPr>
          <w:b/>
          <w:bCs/>
          <w:sz w:val="21"/>
          <w:szCs w:val="21"/>
        </w:rPr>
        <w:t xml:space="preserve">transferencia de riesgo y juicio profesional</w:t>
      </w:r>
      <w:r>
        <w:rPr>
          <w:sz w:val="21"/>
          <w:szCs w:val="21"/>
        </w:rPr>
        <w:t xml:space="preserve">, organizada como una entidad regulada cuya propiedad está reservada a abogados. Nosotros somos una PLLC de Texas dedicada a inmigración y a habeas corpus federal, operando a precio cerrado sobre un mercado que —para la práctica ante agencias federales— es nacional, no local.</w:t>
      </w:r>
    </w:p>
    <w:p>
      <w:pPr>
        <w:pStyle w:val="Heading3"/>
        <w:spacing w:after="100" w:before="240"/>
      </w:pPr>
      <w:r>
        <w:rPr>
          <w:rFonts w:ascii="Calibri" w:cs="Calibri" w:eastAsia="Calibri" w:hAnsi="Calibri"/>
          <w:b/>
          <w:bCs/>
          <w:color w:val="44546A"/>
          <w:sz w:val="22"/>
          <w:szCs w:val="22"/>
        </w:rPr>
        <w:t xml:space="preserve">Cómo gana dinero</w:t>
      </w:r>
    </w:p>
    <w:p>
      <w:pPr>
        <w:spacing w:after="140" w:line="276"/>
      </w:pPr>
      <w:r>
        <w:rPr>
          <w:sz w:val="21"/>
          <w:szCs w:val="21"/>
        </w:rPr>
        <w:t xml:space="preserve">El modelo tradicional multiplica cinco palancas: tarifa × utilización × apalancamiento × control de gasto × velocidad de cobro. La jerarquía de la Parte 2 no es un organigrama: es la máquina que genera ese margen. En nuestro modelo la ecuación se reescribe como </w:t>
      </w:r>
      <w:r>
        <w:rPr>
          <w:b/>
          <w:bCs/>
          <w:sz w:val="21"/>
          <w:szCs w:val="21"/>
        </w:rPr>
        <w:t xml:space="preserve">casos × (precio − costo de entrega) − costos fijos</w:t>
      </w:r>
      <w:r>
        <w:rPr>
          <w:sz w:val="21"/>
          <w:szCs w:val="21"/>
        </w:rPr>
        <w:t xml:space="preserve">, y la palanca dominante deja de ser la tarifa y pasa a ser </w:t>
      </w:r>
      <w:r>
        <w:rPr>
          <w:b/>
          <w:bCs/>
          <w:sz w:val="21"/>
          <w:szCs w:val="21"/>
        </w:rPr>
        <w:t xml:space="preserve">el costo de entrega por caso</w:t>
      </w:r>
      <w:r>
        <w:rPr>
          <w:sz w:val="21"/>
          <w:szCs w:val="21"/>
        </w:rPr>
        <w:t xml:space="preserve">.</w:t>
      </w:r>
    </w:p>
    <w:p>
      <w:pPr>
        <w:pStyle w:val="Heading3"/>
        <w:spacing w:after="100" w:before="240"/>
      </w:pPr>
      <w:r>
        <w:rPr>
          <w:rFonts w:ascii="Calibri" w:cs="Calibri" w:eastAsia="Calibri" w:hAnsi="Calibri"/>
          <w:b/>
          <w:bCs/>
          <w:color w:val="44546A"/>
          <w:sz w:val="22"/>
          <w:szCs w:val="22"/>
        </w:rPr>
        <w:t xml:space="preserve">Dónde está la restricción</w:t>
      </w:r>
    </w:p>
    <w:p>
      <w:pPr>
        <w:spacing w:after="140" w:line="276"/>
      </w:pPr>
      <w:r>
        <w:rPr>
          <w:sz w:val="21"/>
          <w:szCs w:val="21"/>
        </w:rPr>
        <w:t xml:space="preserve">No es la demanda. Son tres cosas: el </w:t>
      </w:r>
      <w:r>
        <w:rPr>
          <w:b/>
          <w:bCs/>
          <w:sz w:val="21"/>
          <w:szCs w:val="21"/>
        </w:rPr>
        <w:t xml:space="preserve">capital</w:t>
      </w:r>
      <w:r>
        <w:rPr>
          <w:sz w:val="21"/>
          <w:szCs w:val="21"/>
        </w:rPr>
        <w:t xml:space="preserve"> (la prohibición de propiedad externa y la fiscalidad pass-through impiden capitalizar como una empresa normal), la </w:t>
      </w:r>
      <w:r>
        <w:rPr>
          <w:b/>
          <w:bCs/>
          <w:sz w:val="21"/>
          <w:szCs w:val="21"/>
        </w:rPr>
        <w:t xml:space="preserve">caja</w:t>
      </w:r>
      <w:r>
        <w:rPr>
          <w:sz w:val="21"/>
          <w:szCs w:val="21"/>
        </w:rPr>
        <w:t xml:space="preserve"> (el ciclo entre trabajo entregado y dinero cobrado) y la </w:t>
      </w:r>
      <w:r>
        <w:rPr>
          <w:b/>
          <w:bCs/>
          <w:sz w:val="21"/>
          <w:szCs w:val="21"/>
        </w:rPr>
        <w:t xml:space="preserve">capacidad operativa</w:t>
      </w:r>
      <w:r>
        <w:rPr>
          <w:sz w:val="21"/>
          <w:szCs w:val="21"/>
        </w:rPr>
        <w:t xml:space="preserve"> (cuántos casos podemos entregar bien, no cuántos podemos captar).</w:t>
      </w:r>
    </w:p>
    <w:p>
      <w:pPr>
        <w:pStyle w:val="Heading3"/>
        <w:spacing w:after="100" w:before="240"/>
      </w:pPr>
      <w:r>
        <w:rPr>
          <w:rFonts w:ascii="Calibri" w:cs="Calibri" w:eastAsia="Calibri" w:hAnsi="Calibri"/>
          <w:b/>
          <w:bCs/>
          <w:color w:val="44546A"/>
          <w:sz w:val="22"/>
          <w:szCs w:val="22"/>
        </w:rPr>
        <w:t xml:space="preserve">Dónde está la oportunidad</w:t>
      </w:r>
    </w:p>
    <w:p>
      <w:pPr>
        <w:spacing w:after="140" w:line="276"/>
      </w:pPr>
      <w:r>
        <w:rPr>
          <w:sz w:val="21"/>
          <w:szCs w:val="21"/>
        </w:rPr>
        <w:t xml:space="preserve">En dejar de vender tiempo — algo que en buena medida ya hicimos. La productización del trabajo repetible, el ingreso recurrente del segmento empresarial y la automatización bajo precio cerrado convierten eficiencia en margen, en lugar de convertirla, como hace la hora facturable, en pérdida de ingreso. El Ejemplo B de la Parte 12 lo cuantifica: dos números operativos movidos, +24 % de margen, sin subir precios ni captar un cliente más.</w:t>
      </w:r>
    </w:p>
    <w:p>
      <w:pPr>
        <w:pStyle w:val="Heading3"/>
        <w:spacing w:after="100" w:before="240"/>
      </w:pPr>
      <w:r>
        <w:rPr>
          <w:rFonts w:ascii="Calibri" w:cs="Calibri" w:eastAsia="Calibri" w:hAnsi="Calibri"/>
          <w:b/>
          <w:bCs/>
          <w:color w:val="44546A"/>
          <w:sz w:val="22"/>
          <w:szCs w:val="22"/>
        </w:rPr>
        <w:t xml:space="preserve">Qué medir a partir del lunes</w:t>
      </w:r>
    </w:p>
    <w:p>
      <w:pPr>
        <w:spacing w:after="140" w:line="276"/>
      </w:pPr>
      <w:r>
        <w:rPr>
          <w:b/>
          <w:bCs/>
          <w:sz w:val="21"/>
          <w:szCs w:val="21"/>
        </w:rPr>
        <w:t xml:space="preserve">Casos firmados · tasa de conversión de consulta · caja operativa en semanas de nómina · cobros frente a lo comprometido · margen de contribución por tipo de caso.</w:t>
      </w:r>
      <w:r>
        <w:rPr>
          <w:sz w:val="21"/>
          <w:szCs w:val="21"/>
        </w:rPr>
        <w:t xml:space="preserve"> Cinco números, media hoja, una vez al mes. Explican casi todo lo que puede ir bien o mal en este modelo.</w:t>
      </w:r>
    </w:p>
    <w:p>
      <w:pPr>
        <w:pStyle w:val="Heading3"/>
        <w:spacing w:after="100" w:before="240"/>
      </w:pPr>
      <w:r>
        <w:rPr>
          <w:rFonts w:ascii="Calibri" w:cs="Calibri" w:eastAsia="Calibri" w:hAnsi="Calibri"/>
          <w:b/>
          <w:bCs/>
          <w:color w:val="44546A"/>
          <w:sz w:val="22"/>
          <w:szCs w:val="22"/>
        </w:rPr>
        <w:t xml:space="preserve">Y la decisión que este documento deja abierta</w:t>
      </w:r>
    </w:p>
    <w:p>
      <w:pPr>
        <w:spacing w:after="140" w:line="276"/>
      </w:pPr>
      <w:r>
        <w:rPr>
          <w:b/>
          <w:bCs/>
          <w:sz w:val="21"/>
          <w:szCs w:val="21"/>
        </w:rPr>
        <w:t xml:space="preserve">Camino A o Camino B</w:t>
      </w:r>
      <w:r>
        <w:rPr>
          <w:sz w:val="21"/>
          <w:szCs w:val="21"/>
        </w:rPr>
        <w:t xml:space="preserve"> (Parte 10): escalar la máquina de volumen, o construir la boutique de defensa y habeas. Probablemente A financiando B. Lo que no funciona es no elegir, porque cada camino pide una contratación distinta, un marketing distinto y una estructura de precios distinta — y hacer las dos cosas a la vez con los recursos de una es la forma más común de hacer ninguna.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Anexo A. Datos a levantar</w:t>
      </w:r>
    </w:p>
    <w:p>
      <w:pPr>
        <w:spacing w:after="140" w:line="276"/>
      </w:pPr>
      <w:r>
        <w:rPr>
          <w:sz w:val="21"/>
          <w:szCs w:val="21"/>
        </w:rPr>
        <w:t xml:space="preserve">Este documento está construido sobre supuestos ilustrativos. Sustituirlos por datos reales es el trabajo de la Fase 1. La columna de la derecha es para completar.</w:t>
      </w:r>
    </w:p>
    <w:p>
      <w:pPr>
        <w:spacing w:after="100"/>
      </w:pPr>
    </w:p>
    <w:p>
      <w:pPr>
        <w:pStyle w:val="Heading2"/>
        <w:spacing w:after="140" w:before="320"/>
      </w:pPr>
      <w:r>
        <w:rPr>
          <w:rFonts w:ascii="Calibri" w:cs="Calibri" w:eastAsia="Calibri" w:hAnsi="Calibri"/>
          <w:b/>
          <w:bCs/>
          <w:color w:val="1F3864"/>
          <w:sz w:val="25"/>
          <w:szCs w:val="25"/>
        </w:rPr>
        <w:t xml:space="preserve">A.1 Volumen y precio</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4560"/>
        <w:gridCol w:w="2600"/>
        <w:gridCol w:w="2200"/>
      </w:tblGrid>
      <w:tr>
        <w:trPr>
          <w:tblHeader/>
        </w:trPr>
        <w:tc>
          <w:tcPr>
            <w:tcW w:type="dxa" w:w="4560"/>
            <w:shd w:fill="1F3864" w:val="clear"/>
            <w:tcMar>
              <w:top w:type="dxa" w:w="90"/>
              <w:left w:type="dxa" w:w="110"/>
              <w:bottom w:type="dxa" w:w="90"/>
              <w:right w:type="dxa" w:w="110"/>
            </w:tcMar>
          </w:tcPr>
          <w:p>
            <w:pPr>
              <w:spacing w:after="0" w:line="250"/>
            </w:pPr>
            <w:r>
              <w:rPr>
                <w:b/>
                <w:bCs/>
                <w:color w:val="FFFFFF"/>
                <w:sz w:val="19"/>
                <w:szCs w:val="19"/>
              </w:rPr>
              <w:t xml:space="preserve">Dato</w:t>
            </w:r>
          </w:p>
        </w:tc>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Periodo</w:t>
            </w:r>
          </w:p>
        </w:tc>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Valor real</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Consultas recibidas</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Mensual, últimos 12 meses</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Consultas efectivamente atendidas</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Casos firmados</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Tasa de conversión (firmados ÷ atendidas)</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Precio promedio por tipo de caso</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Por tipo</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Mezcla de cartera (% por tipo de caso)</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Anual</w:t>
            </w:r>
          </w:p>
        </w:tc>
        <w:tc>
          <w:tcPr>
            <w:tcW w:type="dxa" w:w="2200"/>
            <w:shd w:fill="F5F7FA" w:val="clear"/>
            <w:tcMar>
              <w:top w:type="dxa" w:w="80"/>
              <w:left w:type="dxa" w:w="110"/>
              <w:bottom w:type="dxa" w:w="80"/>
              <w:right w:type="dxa" w:w="110"/>
            </w:tcMar>
            <w:vAlign w:val="center"/>
          </w:tcPr>
          <w:p>
            <w:pPr>
              <w:spacing w:after="0" w:line="250"/>
            </w:pPr>
          </w:p>
        </w:tc>
      </w:tr>
    </w:tbl>
    <w:p>
      <w:pPr>
        <w:spacing w:after="160"/>
      </w:pPr>
    </w:p>
    <w:p>
      <w:pPr>
        <w:pStyle w:val="Heading2"/>
        <w:spacing w:after="140" w:before="320"/>
      </w:pPr>
      <w:r>
        <w:rPr>
          <w:rFonts w:ascii="Calibri" w:cs="Calibri" w:eastAsia="Calibri" w:hAnsi="Calibri"/>
          <w:b/>
          <w:bCs/>
          <w:color w:val="1F3864"/>
          <w:sz w:val="25"/>
          <w:szCs w:val="25"/>
        </w:rPr>
        <w:t xml:space="preserve">A.2 Costo de entrega</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4560"/>
        <w:gridCol w:w="2600"/>
        <w:gridCol w:w="2200"/>
      </w:tblGrid>
      <w:tr>
        <w:trPr>
          <w:tblHeader/>
        </w:trPr>
        <w:tc>
          <w:tcPr>
            <w:tcW w:type="dxa" w:w="4560"/>
            <w:shd w:fill="1F3864" w:val="clear"/>
            <w:tcMar>
              <w:top w:type="dxa" w:w="90"/>
              <w:left w:type="dxa" w:w="110"/>
              <w:bottom w:type="dxa" w:w="90"/>
              <w:right w:type="dxa" w:w="110"/>
            </w:tcMar>
          </w:tcPr>
          <w:p>
            <w:pPr>
              <w:spacing w:after="0" w:line="250"/>
            </w:pPr>
            <w:r>
              <w:rPr>
                <w:b/>
                <w:bCs/>
                <w:color w:val="FFFFFF"/>
                <w:sz w:val="19"/>
                <w:szCs w:val="19"/>
              </w:rPr>
              <w:t xml:space="preserve">Dato</w:t>
            </w:r>
          </w:p>
        </w:tc>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Periodo</w:t>
            </w:r>
          </w:p>
        </w:tc>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Valor real</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Horas de abogado por tipo de caso</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Promedio</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Horas de paralegal por tipo de caso</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Promedio</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Costo cargado por hora de cada rol</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Anual</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 de casos con reproceso (RFE, rechazo, corrección)</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Trimestral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 de casos que excedieron el alcance cotizado</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Trimestral</w:t>
            </w:r>
          </w:p>
        </w:tc>
        <w:tc>
          <w:tcPr>
            <w:tcW w:type="dxa" w:w="2200"/>
            <w:shd w:fill="FFFFFF" w:val="clear"/>
            <w:tcMar>
              <w:top w:type="dxa" w:w="80"/>
              <w:left w:type="dxa" w:w="110"/>
              <w:bottom w:type="dxa" w:w="80"/>
              <w:right w:type="dxa" w:w="110"/>
            </w:tcMar>
            <w:vAlign w:val="center"/>
          </w:tcPr>
          <w:p>
            <w:pPr>
              <w:spacing w:after="0" w:line="250"/>
            </w:pPr>
          </w:p>
        </w:tc>
      </w:tr>
    </w:tbl>
    <w:p>
      <w:pPr>
        <w:spacing w:after="160"/>
      </w:pPr>
    </w:p>
    <w:p>
      <w:pPr>
        <w:pStyle w:val="Heading2"/>
        <w:spacing w:after="140" w:before="320"/>
      </w:pPr>
      <w:r>
        <w:rPr>
          <w:rFonts w:ascii="Calibri" w:cs="Calibri" w:eastAsia="Calibri" w:hAnsi="Calibri"/>
          <w:b/>
          <w:bCs/>
          <w:color w:val="1F3864"/>
          <w:sz w:val="25"/>
          <w:szCs w:val="25"/>
        </w:rPr>
        <w:t xml:space="preserve">A.3 Adquisición</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4560"/>
        <w:gridCol w:w="2600"/>
        <w:gridCol w:w="2200"/>
      </w:tblGrid>
      <w:tr>
        <w:trPr>
          <w:tblHeader/>
        </w:trPr>
        <w:tc>
          <w:tcPr>
            <w:tcW w:type="dxa" w:w="4560"/>
            <w:shd w:fill="1F3864" w:val="clear"/>
            <w:tcMar>
              <w:top w:type="dxa" w:w="90"/>
              <w:left w:type="dxa" w:w="110"/>
              <w:bottom w:type="dxa" w:w="90"/>
              <w:right w:type="dxa" w:w="110"/>
            </w:tcMar>
          </w:tcPr>
          <w:p>
            <w:pPr>
              <w:spacing w:after="0" w:line="250"/>
            </w:pPr>
            <w:r>
              <w:rPr>
                <w:b/>
                <w:bCs/>
                <w:color w:val="FFFFFF"/>
                <w:sz w:val="19"/>
                <w:szCs w:val="19"/>
              </w:rPr>
              <w:t xml:space="preserve">Dato</w:t>
            </w:r>
          </w:p>
        </w:tc>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Periodo</w:t>
            </w:r>
          </w:p>
        </w:tc>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Valor real</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Gasto de marketing por canal</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Casos firmados atribuidos a cada canal</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CAC por canal</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Calculado</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 de casos provenientes de referido</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Tiempo de primera respuesta a una consulta</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Promedio</w:t>
            </w:r>
          </w:p>
        </w:tc>
        <w:tc>
          <w:tcPr>
            <w:tcW w:type="dxa" w:w="2200"/>
            <w:shd w:fill="FFFFFF" w:val="clear"/>
            <w:tcMar>
              <w:top w:type="dxa" w:w="80"/>
              <w:left w:type="dxa" w:w="110"/>
              <w:bottom w:type="dxa" w:w="80"/>
              <w:right w:type="dxa" w:w="110"/>
            </w:tcMar>
            <w:vAlign w:val="center"/>
          </w:tcPr>
          <w:p>
            <w:pPr>
              <w:spacing w:after="0" w:line="250"/>
            </w:pPr>
          </w:p>
        </w:tc>
      </w:tr>
    </w:tbl>
    <w:p>
      <w:pPr>
        <w:spacing w:after="160"/>
      </w:pPr>
    </w:p>
    <w:p>
      <w:pPr>
        <w:pStyle w:val="Heading2"/>
        <w:spacing w:after="140" w:before="320"/>
      </w:pPr>
      <w:r>
        <w:rPr>
          <w:rFonts w:ascii="Calibri" w:cs="Calibri" w:eastAsia="Calibri" w:hAnsi="Calibri"/>
          <w:b/>
          <w:bCs/>
          <w:color w:val="1F3864"/>
          <w:sz w:val="25"/>
          <w:szCs w:val="25"/>
        </w:rPr>
        <w:t xml:space="preserve">A.4 Finanzas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4560"/>
        <w:gridCol w:w="2600"/>
        <w:gridCol w:w="2200"/>
      </w:tblGrid>
      <w:tr>
        <w:trPr>
          <w:tblHeader/>
        </w:trPr>
        <w:tc>
          <w:tcPr>
            <w:tcW w:type="dxa" w:w="4560"/>
            <w:shd w:fill="1F3864" w:val="clear"/>
            <w:tcMar>
              <w:top w:type="dxa" w:w="90"/>
              <w:left w:type="dxa" w:w="110"/>
              <w:bottom w:type="dxa" w:w="90"/>
              <w:right w:type="dxa" w:w="110"/>
            </w:tcMar>
          </w:tcPr>
          <w:p>
            <w:pPr>
              <w:spacing w:after="0" w:line="250"/>
            </w:pPr>
            <w:r>
              <w:rPr>
                <w:b/>
                <w:bCs/>
                <w:color w:val="FFFFFF"/>
                <w:sz w:val="19"/>
                <w:szCs w:val="19"/>
              </w:rPr>
              <w:t xml:space="preserve">Dato</w:t>
            </w:r>
          </w:p>
        </w:tc>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Periodo</w:t>
            </w:r>
          </w:p>
        </w:tc>
        <w:tc>
          <w:tcPr>
            <w:tcW w:type="dxa" w:w="2200"/>
            <w:shd w:fill="1F3864" w:val="clear"/>
            <w:tcMar>
              <w:top w:type="dxa" w:w="90"/>
              <w:left w:type="dxa" w:w="110"/>
              <w:bottom w:type="dxa" w:w="90"/>
              <w:right w:type="dxa" w:w="110"/>
            </w:tcMar>
          </w:tcPr>
          <w:p>
            <w:pPr>
              <w:spacing w:after="0" w:line="250"/>
            </w:pPr>
            <w:r>
              <w:rPr>
                <w:b/>
                <w:bCs/>
                <w:color w:val="FFFFFF"/>
                <w:sz w:val="19"/>
                <w:szCs w:val="19"/>
              </w:rPr>
              <w:t xml:space="preserve">Valor real</w:t>
            </w: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Ingreso cobrado</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Costos fijos mensuales</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Caja operativa disponible (sin IOLTA)</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Semanal</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Semanas de nómina que cubre la caja</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Calculado</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Comprometido en planes de pago frente a cobrado</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FFFFF" w:val="clear"/>
            <w:tcMar>
              <w:top w:type="dxa" w:w="80"/>
              <w:left w:type="dxa" w:w="110"/>
              <w:bottom w:type="dxa" w:w="80"/>
              <w:right w:type="dxa" w:w="110"/>
            </w:tcMar>
            <w:vAlign w:val="center"/>
          </w:tcPr>
          <w:p>
            <w:pPr>
              <w:spacing w:after="0" w:line="250"/>
            </w:pPr>
          </w:p>
        </w:tc>
      </w:tr>
      <w:tr>
        <w:tc>
          <w:tcPr>
            <w:tcW w:type="dxa" w:w="4560"/>
            <w:shd w:fill="F5F7FA" w:val="clear"/>
            <w:tcMar>
              <w:top w:type="dxa" w:w="80"/>
              <w:left w:type="dxa" w:w="110"/>
              <w:bottom w:type="dxa" w:w="80"/>
              <w:right w:type="dxa" w:w="110"/>
            </w:tcMar>
            <w:vAlign w:val="center"/>
          </w:tcPr>
          <w:p>
            <w:pPr>
              <w:spacing w:after="0" w:line="250"/>
            </w:pPr>
            <w:r>
              <w:rPr>
                <w:sz w:val="19"/>
                <w:szCs w:val="19"/>
              </w:rPr>
              <w:t xml:space="preserve">Saldo de la cuenta fiduciaria y conciliación de tres vías</w:t>
            </w:r>
          </w:p>
        </w:tc>
        <w:tc>
          <w:tcPr>
            <w:tcW w:type="dxa" w:w="2600"/>
            <w:shd w:fill="F5F7FA" w:val="clear"/>
            <w:tcMar>
              <w:top w:type="dxa" w:w="80"/>
              <w:left w:type="dxa" w:w="110"/>
              <w:bottom w:type="dxa" w:w="80"/>
              <w:right w:type="dxa" w:w="110"/>
            </w:tcMar>
            <w:vAlign w:val="center"/>
          </w:tcPr>
          <w:p>
            <w:pPr>
              <w:spacing w:after="0" w:line="250"/>
            </w:pPr>
            <w:r>
              <w:rPr>
                <w:sz w:val="19"/>
                <w:szCs w:val="19"/>
              </w:rPr>
              <w:t xml:space="preserve">Mensual</w:t>
            </w:r>
          </w:p>
        </w:tc>
        <w:tc>
          <w:tcPr>
            <w:tcW w:type="dxa" w:w="2200"/>
            <w:shd w:fill="F5F7FA" w:val="clear"/>
            <w:tcMar>
              <w:top w:type="dxa" w:w="80"/>
              <w:left w:type="dxa" w:w="110"/>
              <w:bottom w:type="dxa" w:w="80"/>
              <w:right w:type="dxa" w:w="110"/>
            </w:tcMar>
            <w:vAlign w:val="center"/>
          </w:tcPr>
          <w:p>
            <w:pPr>
              <w:spacing w:after="0" w:line="250"/>
            </w:pPr>
          </w:p>
        </w:tc>
      </w:tr>
      <w:tr>
        <w:tc>
          <w:tcPr>
            <w:tcW w:type="dxa" w:w="4560"/>
            <w:shd w:fill="FFFFFF" w:val="clear"/>
            <w:tcMar>
              <w:top w:type="dxa" w:w="80"/>
              <w:left w:type="dxa" w:w="110"/>
              <w:bottom w:type="dxa" w:w="80"/>
              <w:right w:type="dxa" w:w="110"/>
            </w:tcMar>
            <w:vAlign w:val="center"/>
          </w:tcPr>
          <w:p>
            <w:pPr>
              <w:spacing w:after="0" w:line="250"/>
            </w:pPr>
            <w:r>
              <w:rPr>
                <w:sz w:val="19"/>
                <w:szCs w:val="19"/>
              </w:rPr>
              <w:t xml:space="preserve">Días promedio entre firma del caso y cobro íntegro</w:t>
            </w:r>
          </w:p>
        </w:tc>
        <w:tc>
          <w:tcPr>
            <w:tcW w:type="dxa" w:w="2600"/>
            <w:shd w:fill="FFFFFF" w:val="clear"/>
            <w:tcMar>
              <w:top w:type="dxa" w:w="80"/>
              <w:left w:type="dxa" w:w="110"/>
              <w:bottom w:type="dxa" w:w="80"/>
              <w:right w:type="dxa" w:w="110"/>
            </w:tcMar>
            <w:vAlign w:val="center"/>
          </w:tcPr>
          <w:p>
            <w:pPr>
              <w:spacing w:after="0" w:line="250"/>
            </w:pPr>
            <w:r>
              <w:rPr>
                <w:sz w:val="19"/>
                <w:szCs w:val="19"/>
              </w:rPr>
              <w:t xml:space="preserve">Calculado</w:t>
            </w:r>
          </w:p>
        </w:tc>
        <w:tc>
          <w:tcPr>
            <w:tcW w:type="dxa" w:w="2200"/>
            <w:shd w:fill="FFFFFF" w:val="clear"/>
            <w:tcMar>
              <w:top w:type="dxa" w:w="80"/>
              <w:left w:type="dxa" w:w="110"/>
              <w:bottom w:type="dxa" w:w="80"/>
              <w:right w:type="dxa" w:w="110"/>
            </w:tcMar>
            <w:vAlign w:val="center"/>
          </w:tcPr>
          <w:p>
            <w:pPr>
              <w:spacing w:after="0" w:line="250"/>
            </w:pPr>
          </w:p>
        </w:tc>
      </w:tr>
    </w:tbl>
    <w:p>
      <w:pPr>
        <w:spacing w:after="20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Cómo usar este anexo</w:t>
            </w:r>
          </w:p>
          <w:p>
            <w:pPr>
              <w:spacing w:after="90" w:line="264"/>
            </w:pPr>
            <w:r>
              <w:rPr>
                <w:sz w:val="21"/>
                <w:szCs w:val="21"/>
              </w:rPr>
              <w:t xml:space="preserve">No hace falta tenerlo todo para empezar. Con </w:t>
            </w:r>
            <w:r>
              <w:rPr>
                <w:b/>
                <w:bCs/>
                <w:sz w:val="21"/>
                <w:szCs w:val="21"/>
              </w:rPr>
              <w:t xml:space="preserve">A.1 completo y A.4 completo</w:t>
            </w:r>
            <w:r>
              <w:rPr>
                <w:sz w:val="21"/>
                <w:szCs w:val="21"/>
              </w:rPr>
              <w:t xml:space="preserve"> ya se puede recalcular el documento entero con números reales y saber si el negocio está donde creemos que está.</w:t>
            </w:r>
          </w:p>
          <w:p>
            <w:pPr>
              <w:spacing w:after="90" w:line="264"/>
            </w:pPr>
            <w:r>
              <w:rPr>
                <w:sz w:val="21"/>
                <w:szCs w:val="21"/>
              </w:rPr>
              <w:t xml:space="preserve">A.2 es el que más trabajo cuesta y el que más cambia las conclusiones, porque es el que revela qué tipo de caso sostiene la firma y cuál la está subsidiando.</w:t>
            </w:r>
          </w:p>
        </w:tc>
      </w:tr>
    </w:tbl>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C" w:sz="4" w:space="8"/>
      </w:pBdr>
      <w:jc w:val="center"/>
    </w:pPr>
    <w:r>
      <w:rPr>
        <w:color w:val="8A94A6"/>
        <w:sz w:val="15"/>
        <w:szCs w:val="15"/>
      </w:rPr>
      <w:t xml:space="preserve">Law Offices of Jose R. Santiago, PLLC  ·  Modelo de negocio  ·  Documento interno  ·  </w:t>
    </w:r>
    <w:r>
      <w:rPr>
        <w:color w:val="8A94A6"/>
        <w:sz w:val="15"/>
        <w:szCs w:val="15"/>
      </w:rPr>
      <w:fldChar w:fldCharType="begin"/>
      <w:instrText xml:space="preserve">PAGE</w:instrText>
      <w:fldChar w:fldCharType="separate"/>
      <w:fldChar w:fldCharType="end"/>
    </w:r>
    <w:r>
      <w:rPr>
        <w:color w:val="8A94A6"/>
        <w:sz w:val="15"/>
        <w:szCs w:val="15"/>
      </w:rPr>
      <w:t xml:space="preserve"> / </w:t>
    </w:r>
    <w:r>
      <w:rPr>
        <w:color w:val="8A94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9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5"/>
      <w:szCs w:val="25"/>
    </w:rPr>
  </w:style>
  <w:style w:type="paragraph" w:styleId="Heading3">
    <w:name w:val="Heading 3"/>
    <w:basedOn w:val="Normal"/>
    <w:next w:val="Normal"/>
    <w:qFormat/>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Negocio de una Firma Legal en Estados Unidos</dc:title>
  <dc:creator>Law Offices of Jose R. Santiago, PLLC</dc:creator>
  <dc:description>Documento de estudio y planificacion estrategica — Law Offices of Jose R. Santiago, PLLC</dc:description>
  <cp:lastModifiedBy>Un-named</cp:lastModifiedBy>
  <cp:revision>1</cp:revision>
  <dcterms:created xsi:type="dcterms:W3CDTF">2026-07-29T15:42:49.063Z</dcterms:created>
  <dcterms:modified xsi:type="dcterms:W3CDTF">2026-07-29T15:42:49.063Z</dcterms:modified>
</cp:coreProperties>
</file>

<file path=docProps/custom.xml><?xml version="1.0" encoding="utf-8"?>
<Properties xmlns="http://schemas.openxmlformats.org/officeDocument/2006/custom-properties" xmlns:vt="http://schemas.openxmlformats.org/officeDocument/2006/docPropsVTypes"/>
</file>