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8C6B2F"/>
          <w:spacing w:val="40"/>
          <w:sz w:val="19"/>
          <w:szCs w:val="19"/>
        </w:rPr>
        <w:t xml:space="preserve">NOTA DE CUMPLIMIENTO</w:t>
      </w:r>
    </w:p>
    <w:p>
      <w:pPr>
        <w:pBdr>
          <w:top w:val="single" w:color="1F3864" w:sz="8" w:space="14"/>
        </w:pBdr>
        <w:spacing w:after="100"/>
        <w:jc w:val="center"/>
      </w:pPr>
    </w:p>
    <w:p>
      <w:pPr>
        <w:spacing w:after="60"/>
        <w:jc w:val="center"/>
      </w:pPr>
      <w:r>
        <w:rPr>
          <w:b/>
          <w:bCs/>
          <w:color w:val="1F3864"/>
          <w:sz w:val="40"/>
          <w:szCs w:val="40"/>
        </w:rPr>
        <w:t xml:space="preserve">Preparación de escritos</w:t>
      </w:r>
    </w:p>
    <w:p>
      <w:pPr>
        <w:spacing w:after="200"/>
        <w:jc w:val="center"/>
      </w:pPr>
      <w:r>
        <w:rPr>
          <w:b/>
          <w:bCs/>
          <w:color w:val="1F3864"/>
          <w:sz w:val="40"/>
          <w:szCs w:val="40"/>
        </w:rPr>
        <w:t xml:space="preserve">presentados pro se</w:t>
      </w:r>
    </w:p>
    <w:p>
      <w:pPr>
        <w:pBdr>
          <w:bottom w:val="single" w:color="1F3864" w:sz="8" w:space="14"/>
        </w:pBdr>
        <w:spacing w:after="500"/>
        <w:jc w:val="center"/>
      </w:pPr>
      <w:r>
        <w:rPr>
          <w:i/>
          <w:iCs/>
          <w:color w:val="44546A"/>
          <w:sz w:val="21"/>
          <w:szCs w:val="21"/>
        </w:rPr>
        <w:t xml:space="preserve">El modelo de habeas de alcance limitado — panorama de autoridad y recomendación</w:t>
      </w:r>
    </w:p>
    <w:p>
      <w:pPr>
        <w:spacing w:after="40"/>
        <w:jc w:val="center"/>
      </w:pPr>
      <w:r>
        <w:rPr>
          <w:b/>
          <w:bCs/>
          <w:color w:val="8C6B2F"/>
          <w:sz w:val="24"/>
          <w:szCs w:val="24"/>
        </w:rPr>
        <w:t xml:space="preserve">Law Offices of Jose R. Santiago, PLLC</w:t>
      </w:r>
    </w:p>
    <w:p>
      <w:pPr>
        <w:spacing w:after="40"/>
        <w:jc w:val="center"/>
      </w:pPr>
      <w:r>
        <w:rPr>
          <w:color w:val="44546A"/>
          <w:sz w:val="20"/>
          <w:szCs w:val="20"/>
        </w:rPr>
        <w:t xml:space="preserve">29 de julio de 2026</w:t>
      </w:r>
    </w:p>
    <w:p>
      <w:pPr>
        <w:jc w:val="center"/>
      </w:pPr>
      <w:r>
        <w:rPr>
          <w:i/>
          <w:iCs/>
          <w:color w:val="999999"/>
          <w:sz w:val="18"/>
          <w:szCs w:val="18"/>
        </w:rPr>
        <w:t xml:space="preserve">Documento interno — no distribuir fuera de la firma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1. La pregunta</w:t>
      </w:r>
    </w:p>
    <w:p>
      <w:pPr>
        <w:spacing w:after="140" w:line="276"/>
      </w:pPr>
      <w:r>
        <w:rPr>
          <w:sz w:val="21"/>
          <w:szCs w:val="21"/>
        </w:rPr>
        <w:t xml:space="preserve">La firma prepara íntegramente peticiones de habeas corpus y escritos relacionados que el cliente presenta </w:t>
      </w:r>
      <w:r>
        <w:rPr>
          <w:b/>
          <w:bCs/>
          <w:sz w:val="21"/>
          <w:szCs w:val="21"/>
        </w:rPr>
        <w:t xml:space="preserve">pro se</w:t>
      </w:r>
      <w:r>
        <w:rPr>
          <w:sz w:val="21"/>
          <w:szCs w:val="21"/>
        </w:rPr>
        <w:t xml:space="preserve">, en su propio nombre, sin que el nombre de la firma ni la firma del abogado aparezcan en el documento. El objetivo declarado es reducir el costo para el cliente sin sacrificar la calidad del escrito.</w:t>
      </w:r>
    </w:p>
    <w:p>
      <w:pPr>
        <w:spacing w:after="140" w:line="276"/>
      </w:pPr>
      <w:r>
        <w:rPr>
          <w:sz w:val="21"/>
          <w:szCs w:val="21"/>
        </w:rPr>
        <w:t xml:space="preserve">La pregunta de esta nota es concreta: </w:t>
      </w:r>
      <w:r>
        <w:rPr>
          <w:b/>
          <w:bCs/>
          <w:sz w:val="21"/>
          <w:szCs w:val="21"/>
        </w:rPr>
        <w:t xml:space="preserve">¿exige alguna autoridad que se revele la participación del abogado, y qué pasa si no se revela?</w:t>
      </w:r>
    </w:p>
    <w:p>
      <w:pPr>
        <w:pStyle w:val="Heading1"/>
        <w:pBdr>
          <w:bottom w:val="single" w:color="1F3864" w:sz="10" w:space="6"/>
        </w:pBdr>
        <w:spacing w:after="200" w:before="480"/>
      </w:pPr>
      <w:r>
        <w:rPr>
          <w:rFonts w:ascii="Calibri" w:cs="Calibri" w:eastAsia="Calibri" w:hAnsi="Calibri"/>
          <w:b/>
          <w:bCs/>
          <w:color w:val="1F3864"/>
          <w:sz w:val="32"/>
          <w:szCs w:val="32"/>
        </w:rPr>
        <w:t xml:space="preserve">2. Respuesta corta</w:t>
      </w: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Lo que la investigación establece</w:t>
            </w:r>
          </w:p>
          <w:p>
            <w:pPr>
              <w:spacing w:after="90" w:line="264"/>
            </w:pPr>
            <w:r>
              <w:rPr>
                <w:b/>
                <w:bCs/>
                <w:sz w:val="21"/>
                <w:szCs w:val="21"/>
              </w:rPr>
              <w:t xml:space="preserve">No hay una regla uniforme en Estados Unidos.</w:t>
            </w:r>
            <w:r>
              <w:rPr>
                <w:sz w:val="21"/>
                <w:szCs w:val="21"/>
              </w:rPr>
              <w:t xml:space="preserve"> Hay tres posiciones vivas y la que aplica depende del tribunal.</w:t>
            </w:r>
          </w:p>
          <w:p>
            <w:pPr>
              <w:spacing w:after="90" w:line="264"/>
            </w:pPr>
            <w:r>
              <w:rPr>
                <w:b/>
                <w:bCs/>
                <w:sz w:val="21"/>
                <w:szCs w:val="21"/>
              </w:rPr>
              <w:t xml:space="preserve">El Quinto Circuito —el nuestro— no se ha pronunciado.</w:t>
            </w:r>
            <w:r>
              <w:rPr>
                <w:sz w:val="21"/>
                <w:szCs w:val="21"/>
              </w:rPr>
              <w:t xml:space="preserve"> No se localizó ninguna opinión publicada del Quinto Circuito ni de los distritos federales de Texas que aborde la preparación de escritos por abogado para un litigante pro se. Eso significa que el riesgo está </w:t>
            </w:r>
            <w:r>
              <w:rPr>
                <w:b/>
                <w:bCs/>
                <w:sz w:val="21"/>
                <w:szCs w:val="21"/>
              </w:rPr>
              <w:t xml:space="preserve">sin resolver</w:t>
            </w:r>
            <w:r>
              <w:rPr>
                <w:sz w:val="21"/>
                <w:szCs w:val="21"/>
              </w:rPr>
              <w:t xml:space="preserve">, que no es lo mismo que resuelto a favor.</w:t>
            </w:r>
          </w:p>
          <w:p>
            <w:pPr>
              <w:spacing w:after="90" w:line="264"/>
            </w:pPr>
            <w:r>
              <w:rPr>
                <w:b/>
                <w:bCs/>
                <w:sz w:val="21"/>
                <w:szCs w:val="21"/>
              </w:rPr>
              <w:t xml:space="preserve">La autoridad más favorable disponible surgió precisamente en un caso de inmigración</w:t>
            </w:r>
            <w:r>
              <w:rPr>
                <w:sz w:val="21"/>
                <w:szCs w:val="21"/>
              </w:rPr>
              <w:t xml:space="preserve"> (</w:t>
            </w:r>
            <w:r>
              <w:rPr>
                <w:i/>
                <w:iCs/>
                <w:sz w:val="21"/>
                <w:szCs w:val="21"/>
              </w:rPr>
              <w:t xml:space="preserve">In re Fengling Liu</w:t>
            </w:r>
            <w:r>
              <w:rPr>
                <w:sz w:val="21"/>
                <w:szCs w:val="21"/>
              </w:rPr>
              <w:t xml:space="preserve">, Segundo Circuito, 2011) y descansa en la ausencia de una regla — un fundamento que una regla local o una orden permanente puede eliminar en cualquier momento.</w:t>
            </w:r>
          </w:p>
          <w:p>
            <w:pPr>
              <w:spacing w:after="90" w:line="264"/>
            </w:pPr>
            <w:r>
              <w:rPr>
                <w:b/>
                <w:bCs/>
                <w:sz w:val="21"/>
                <w:szCs w:val="21"/>
              </w:rPr>
              <w:t xml:space="preserve">La recomendación es adoptar una nota de divulgación en todos los escritos.</w:t>
            </w:r>
            <w:r>
              <w:rPr>
                <w:sz w:val="21"/>
                <w:szCs w:val="21"/>
              </w:rPr>
              <w:t xml:space="preserve"> Cuesta cero, no exige identificar al abogado bajo los criterios más permisivos, elimina prácticamente toda la categoría de riesgo y no toca la economía del producto — porque el margen viene del proceso, no de la omisión.</w:t>
            </w:r>
          </w:p>
        </w:tc>
      </w:tr>
    </w:tbl>
    <w:p>
      <w:pPr>
        <w:pStyle w:val="Heading1"/>
        <w:pBdr>
          <w:bottom w:val="single" w:color="1F3864" w:sz="10" w:space="6"/>
        </w:pBdr>
        <w:spacing w:after="200" w:before="480"/>
      </w:pPr>
      <w:r>
        <w:rPr>
          <w:rFonts w:ascii="Calibri" w:cs="Calibri" w:eastAsia="Calibri" w:hAnsi="Calibri"/>
          <w:b/>
          <w:bCs/>
          <w:color w:val="1F3864"/>
          <w:sz w:val="32"/>
          <w:szCs w:val="32"/>
        </w:rPr>
        <w:t xml:space="preserve">3. El panorama nacional: tres posiciones</w:t>
      </w:r>
    </w:p>
    <w:p>
      <w:pPr>
        <w:pStyle w:val="Heading2"/>
        <w:spacing w:after="140" w:before="320"/>
      </w:pPr>
      <w:r>
        <w:rPr>
          <w:rFonts w:ascii="Calibri" w:cs="Calibri" w:eastAsia="Calibri" w:hAnsi="Calibri"/>
          <w:b/>
          <w:bCs/>
          <w:color w:val="1F3864"/>
          <w:sz w:val="25"/>
          <w:szCs w:val="25"/>
        </w:rPr>
        <w:t xml:space="preserve">3.1 Tribunales que exigen divulgación, y algunos la firma del abogado</w:t>
      </w:r>
    </w:p>
    <w:p>
      <w:pPr>
        <w:spacing w:after="140" w:line="276"/>
      </w:pPr>
      <w:r>
        <w:rPr>
          <w:sz w:val="21"/>
          <w:szCs w:val="21"/>
        </w:rPr>
        <w:t xml:space="preserve">La posición más estricta es la del </w:t>
      </w:r>
      <w:r>
        <w:rPr>
          <w:b/>
          <w:bCs/>
          <w:sz w:val="21"/>
          <w:szCs w:val="21"/>
        </w:rPr>
        <w:t xml:space="preserve">Décimo Circuito</w:t>
      </w:r>
      <w:r>
        <w:rPr>
          <w:sz w:val="21"/>
          <w:szCs w:val="21"/>
        </w:rPr>
        <w:t xml:space="preserve"> en </w:t>
      </w:r>
      <w:r>
        <w:rPr>
          <w:i/>
          <w:iCs/>
          <w:sz w:val="21"/>
          <w:szCs w:val="21"/>
        </w:rPr>
        <w:t xml:space="preserve">Duran v. Carris</w:t>
      </w:r>
      <w:r>
        <w:rPr>
          <w:sz w:val="21"/>
          <w:szCs w:val="21"/>
        </w:rPr>
        <w:t xml:space="preserve">, 238 F.3d 1268 (10th Cir. 2001) (per curiam). El tribunal sostuvo que:</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"We hold that the participation by an attorney in drafting an appellate</w:t>
            </w:r>
          </w:p>
          <w:p>
            <w:pPr>
              <w:spacing w:after="0" w:line="216"/>
            </w:pPr>
            <w:r>
              <w:rPr>
                <w:rFonts w:ascii="Consolas" w:cs="Consolas" w:eastAsia="Consolas" w:hAnsi="Consolas"/>
                <w:sz w:val="15"/>
                <w:szCs w:val="15"/>
              </w:rPr>
              <w:t xml:space="preserve"> brief is per se substantial, and must be acknowledged by signature."</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"We do not allow anonymous testimony in court; nor does this circuit</w:t>
            </w:r>
          </w:p>
          <w:p>
            <w:pPr>
              <w:spacing w:after="0" w:line="216"/>
            </w:pPr>
            <w:r>
              <w:rPr>
                <w:rFonts w:ascii="Consolas" w:cs="Consolas" w:eastAsia="Consolas" w:hAnsi="Consolas"/>
                <w:sz w:val="15"/>
                <w:szCs w:val="15"/>
              </w:rPr>
              <w:t xml:space="preserve"> allow ghostwritten briefs."</w:t>
            </w:r>
          </w:p>
          <w:p>
            <w:pPr>
              <w:spacing w:after="0" w:line="216"/>
            </w:pPr>
            <w:r>
              <w:rPr>
                <w:rFonts w:ascii="Consolas" w:cs="Consolas" w:eastAsia="Consolas" w:hAnsi="Consolas"/>
                <w:sz w:val="15"/>
                <w:szCs w:val="15"/>
              </w:rPr>
              <w:t xml:space="preserve">                                        Duran v. Carris, 238 F.3d at 1273</w:t>
            </w:r>
          </w:p>
        </w:tc>
      </w:tr>
    </w:tbl>
    <w:p>
      <w:pPr>
        <w:spacing w:after="120"/>
      </w:pPr>
    </w:p>
    <w:p>
      <w:pPr>
        <w:spacing w:after="140" w:line="276"/>
      </w:pPr>
      <w:r>
        <w:rPr>
          <w:sz w:val="21"/>
          <w:szCs w:val="21"/>
        </w:rPr>
        <w:t xml:space="preserve">Los tres fundamentos que da el tribunal son los que se repiten en toda la línea restrictiva, y conviene entenderlos porque explican cuándo el riesgo es real:</w:t>
      </w:r>
    </w:p>
    <w:p>
      <w:pPr>
        <w:pStyle w:val="ListParagraph"/>
        <w:numPr>
          <w:ilvl w:val="0"/>
          <w:numId w:val="2"/>
        </w:numPr>
        <w:spacing w:after="70" w:line="264"/>
      </w:pPr>
      <w:r>
        <w:rPr>
          <w:b/>
          <w:bCs/>
          <w:sz w:val="21"/>
          <w:szCs w:val="21"/>
        </w:rPr>
        <w:t xml:space="preserve">La construcción liberal del escrito pro se.</w:t>
      </w:r>
      <w:r>
        <w:rPr>
          <w:sz w:val="21"/>
          <w:szCs w:val="21"/>
        </w:rPr>
        <w:t xml:space="preserve"> Bajo </w:t>
      </w:r>
      <w:r>
        <w:rPr>
          <w:i/>
          <w:iCs/>
          <w:sz w:val="21"/>
          <w:szCs w:val="21"/>
        </w:rPr>
        <w:t xml:space="preserve">Haines v. Kerner</w:t>
      </w:r>
      <w:r>
        <w:rPr>
          <w:sz w:val="21"/>
          <w:szCs w:val="21"/>
        </w:rPr>
        <w:t xml:space="preserve">, 404 U.S. 519 (1972), los escritos de un litigante sin abogado reciben una lectura indulgente para compensar su falta de asistencia letrada. Si el tribunal no sabe que hubo abogado, aplica esa indulgencia a un escrito que no la necesita.</w:t>
      </w:r>
    </w:p>
    <w:p>
      <w:pPr>
        <w:pStyle w:val="ListParagraph"/>
        <w:numPr>
          <w:ilvl w:val="0"/>
          <w:numId w:val="2"/>
        </w:numPr>
        <w:spacing w:after="70" w:line="264"/>
      </w:pPr>
      <w:r>
        <w:rPr>
          <w:b/>
          <w:bCs/>
          <w:sz w:val="21"/>
          <w:szCs w:val="21"/>
        </w:rPr>
        <w:t xml:space="preserve">La rendición de cuentas.</w:t>
      </w:r>
      <w:r>
        <w:rPr>
          <w:sz w:val="21"/>
          <w:szCs w:val="21"/>
        </w:rPr>
        <w:t xml:space="preserve"> El abogado que no firma escapa de la responsabilidad que la firma conlleva.</w:t>
      </w:r>
    </w:p>
    <w:p>
      <w:pPr>
        <w:pStyle w:val="ListParagraph"/>
        <w:numPr>
          <w:ilvl w:val="0"/>
          <w:numId w:val="2"/>
        </w:numPr>
        <w:spacing w:after="70" w:line="264"/>
      </w:pPr>
      <w:r>
        <w:rPr>
          <w:b/>
          <w:bCs/>
          <w:sz w:val="21"/>
          <w:szCs w:val="21"/>
        </w:rPr>
        <w:t xml:space="preserve">La regla de la firma.</w:t>
      </w:r>
      <w:r>
        <w:rPr>
          <w:sz w:val="21"/>
          <w:szCs w:val="21"/>
        </w:rPr>
        <w:t xml:space="preserve"> La Regla 11(a) de las Reglas Federales de Procedimiento Civil exige que todo escrito vaya firmado.</w:t>
      </w:r>
    </w:p>
    <w:p>
      <w:pPr>
        <w:spacing w:after="80"/>
      </w:pPr>
    </w:p>
    <w:p>
      <w:pPr>
        <w:spacing w:after="140" w:line="276"/>
      </w:pPr>
      <w:r>
        <w:rPr>
          <w:i/>
          <w:iCs/>
          <w:sz w:val="21"/>
          <w:szCs w:val="21"/>
        </w:rPr>
        <w:t xml:space="preserve">Duran</w:t>
      </w:r>
      <w:r>
        <w:rPr>
          <w:sz w:val="21"/>
          <w:szCs w:val="21"/>
        </w:rPr>
        <w:t xml:space="preserve"> cita a su vez a </w:t>
      </w:r>
      <w:r>
        <w:rPr>
          <w:i/>
          <w:iCs/>
          <w:sz w:val="21"/>
          <w:szCs w:val="21"/>
        </w:rPr>
        <w:t xml:space="preserve">Ellis v. Maine</w:t>
      </w:r>
      <w:r>
        <w:rPr>
          <w:sz w:val="21"/>
          <w:szCs w:val="21"/>
        </w:rPr>
        <w:t xml:space="preserve">, 448 F.2d 1325, 1328 (1st Cir. 1971), donde el Primer Circuito desaprobó que los abogados preparen escritos que no firman «y así escapen a la obligación... de representar al tribunal que hay fundamento suficiente para las afirmaciones hechas».</w:t>
      </w:r>
    </w:p>
    <w:p>
      <w:pPr>
        <w:spacing w:after="140" w:line="276"/>
      </w:pPr>
      <w:r>
        <w:rPr>
          <w:i/>
          <w:iCs/>
          <w:sz w:val="21"/>
          <w:szCs w:val="21"/>
        </w:rPr>
        <w:t xml:space="preserve">Duran</w:t>
      </w:r>
      <w:r>
        <w:rPr>
          <w:sz w:val="21"/>
          <w:szCs w:val="21"/>
        </w:rPr>
        <w:t xml:space="preserve"> también recoge, con aprobación, el criterio de que </w:t>
      </w:r>
      <w:r>
        <w:rPr>
          <w:b/>
          <w:bCs/>
          <w:sz w:val="21"/>
          <w:szCs w:val="21"/>
        </w:rPr>
        <w:t xml:space="preserve">el abogado debe negarse a prestar esta asistencia salvo que el cliente se comprometa a revelar la participación del abogado al presentar el escrito</w:t>
      </w:r>
      <w:r>
        <w:rPr>
          <w:sz w:val="21"/>
          <w:szCs w:val="21"/>
        </w:rPr>
        <w:t xml:space="preserve">.</w:t>
      </w:r>
    </w:p>
    <w:p>
      <w:pPr>
        <w:pStyle w:val="Heading2"/>
        <w:spacing w:after="140" w:before="320"/>
      </w:pPr>
      <w:r>
        <w:rPr>
          <w:rFonts w:ascii="Calibri" w:cs="Calibri" w:eastAsia="Calibri" w:hAnsi="Calibri"/>
          <w:b/>
          <w:bCs/>
          <w:color w:val="1F3864"/>
          <w:sz w:val="25"/>
          <w:szCs w:val="25"/>
        </w:rPr>
        <w:t xml:space="preserve">3.2 Tribunales que no sancionan a falta de una regla propia</w:t>
      </w:r>
    </w:p>
    <w:p>
      <w:pPr>
        <w:spacing w:after="140" w:line="276"/>
      </w:pPr>
      <w:r>
        <w:rPr>
          <w:sz w:val="21"/>
          <w:szCs w:val="21"/>
        </w:rPr>
        <w:t xml:space="preserve">La posición contraria —y la más relevante para nosotros, porque surgió en materia migratoria— es la del </w:t>
      </w:r>
      <w:r>
        <w:rPr>
          <w:b/>
          <w:bCs/>
          <w:sz w:val="21"/>
          <w:szCs w:val="21"/>
        </w:rPr>
        <w:t xml:space="preserve">Segundo Circuito</w:t>
      </w:r>
      <w:r>
        <w:rPr>
          <w:sz w:val="21"/>
          <w:szCs w:val="21"/>
        </w:rPr>
        <w:t xml:space="preserve"> en </w:t>
      </w:r>
      <w:r>
        <w:rPr>
          <w:i/>
          <w:iCs/>
          <w:sz w:val="21"/>
          <w:szCs w:val="21"/>
        </w:rPr>
        <w:t xml:space="preserve">In re Fengling Liu</w:t>
      </w:r>
      <w:r>
        <w:rPr>
          <w:sz w:val="21"/>
          <w:szCs w:val="21"/>
        </w:rPr>
        <w:t xml:space="preserve">, 664 F.3d 367 (2d Cir. 2011).</w:t>
      </w:r>
    </w:p>
    <w:p>
      <w:pPr>
        <w:spacing w:after="140" w:line="276"/>
      </w:pPr>
      <w:r>
        <w:rPr>
          <w:sz w:val="21"/>
          <w:szCs w:val="21"/>
        </w:rPr>
        <w:t xml:space="preserve">Liu era abogada de inmigración. Entre otros cargos, se le imputó haber ayudado a clientes a redactar peticiones de revisión que luego se presentaron </w:t>
      </w:r>
      <w:r>
        <w:rPr>
          <w:i/>
          <w:iCs/>
          <w:sz w:val="21"/>
          <w:szCs w:val="21"/>
        </w:rPr>
        <w:t xml:space="preserve">pro se</w:t>
      </w:r>
      <w:r>
        <w:rPr>
          <w:sz w:val="21"/>
          <w:szCs w:val="21"/>
        </w:rPr>
        <w:t xml:space="preserve">, sin revelar su participación. El comité disciplinario concluyó que eso violaba su deber de candor. </w:t>
      </w:r>
      <w:r>
        <w:rPr>
          <w:b/>
          <w:bCs/>
          <w:sz w:val="21"/>
          <w:szCs w:val="21"/>
        </w:rPr>
        <w:t xml:space="preserve">El Segundo Circuito rechazó ese cargo concreto:</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"In light of this Court's lack of any rule or precedent governing</w:t>
            </w:r>
          </w:p>
          <w:p>
            <w:pPr>
              <w:spacing w:after="0" w:line="216"/>
            </w:pPr>
            <w:r>
              <w:rPr>
                <w:rFonts w:ascii="Consolas" w:cs="Consolas" w:eastAsia="Consolas" w:hAnsi="Consolas"/>
                <w:sz w:val="15"/>
                <w:szCs w:val="15"/>
              </w:rPr>
              <w:t xml:space="preserve"> attorney ghostwriting, and the various authorities that permit that</w:t>
            </w:r>
          </w:p>
          <w:p>
            <w:pPr>
              <w:spacing w:after="0" w:line="216"/>
            </w:pPr>
            <w:r>
              <w:rPr>
                <w:rFonts w:ascii="Consolas" w:cs="Consolas" w:eastAsia="Consolas" w:hAnsi="Consolas"/>
                <w:sz w:val="15"/>
                <w:szCs w:val="15"/>
              </w:rPr>
              <w:t xml:space="preserve"> practice, we conclude that Liu could not have been aware of any</w:t>
            </w:r>
          </w:p>
          <w:p>
            <w:pPr>
              <w:spacing w:after="0" w:line="216"/>
            </w:pPr>
            <w:r>
              <w:rPr>
                <w:rFonts w:ascii="Consolas" w:cs="Consolas" w:eastAsia="Consolas" w:hAnsi="Consolas"/>
                <w:sz w:val="15"/>
                <w:szCs w:val="15"/>
              </w:rPr>
              <w:t xml:space="preserve"> general obligation to disclose her participation to this Court."</w:t>
            </w:r>
          </w:p>
          <w:p>
            <w:pPr>
              <w:spacing w:after="0" w:line="216"/>
            </w:pPr>
            <w:r>
              <w:rPr>
                <w:rFonts w:ascii="Consolas" w:cs="Consolas" w:eastAsia="Consolas" w:hAnsi="Consolas"/>
                <w:sz w:val="15"/>
                <w:szCs w:val="15"/>
              </w:rPr>
              <w:t xml:space="preserve">                                     In re Fengling Liu, 664 F.3d at 372</w:t>
            </w:r>
          </w:p>
        </w:tc>
      </w:tr>
    </w:tbl>
    <w:p>
      <w:pPr>
        <w:spacing w:after="120"/>
      </w:pPr>
    </w:p>
    <w:p>
      <w:pPr>
        <w:spacing w:after="140" w:line="276"/>
      </w:pPr>
      <w:r>
        <w:rPr>
          <w:sz w:val="21"/>
          <w:szCs w:val="21"/>
        </w:rPr>
        <w:t xml:space="preserve">El tribunal añadió que no había indicio de mala fe, y que las peticiones en cuestión eran sencillas y difícilmente podían haber causado confusión o perjuicio.</w:t>
      </w:r>
    </w:p>
    <w:p>
      <w:pPr>
        <w:spacing w:after="8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Por qué este caso importa y por qué no basta apoyarse en él</w:t>
            </w:r>
          </w:p>
          <w:p>
            <w:pPr>
              <w:spacing w:after="90" w:line="264"/>
            </w:pPr>
            <w:r>
              <w:rPr>
                <w:b/>
                <w:bCs/>
                <w:sz w:val="21"/>
                <w:szCs w:val="21"/>
              </w:rPr>
              <w:t xml:space="preserve">Por qué importa:</w:t>
            </w:r>
            <w:r>
              <w:rPr>
                <w:sz w:val="21"/>
                <w:szCs w:val="21"/>
              </w:rPr>
              <w:t xml:space="preserve"> es el pronunciamiento más favorable disponible, procede de un tribunal federal de apelaciones, y </w:t>
            </w:r>
            <w:r>
              <w:rPr>
                <w:b/>
                <w:bCs/>
                <w:sz w:val="21"/>
                <w:szCs w:val="21"/>
              </w:rPr>
              <w:t xml:space="preserve">el contexto era inmigración</w:t>
            </w:r>
            <w:r>
              <w:rPr>
                <w:sz w:val="21"/>
                <w:szCs w:val="21"/>
              </w:rPr>
              <w:t xml:space="preserve"> — el mismo terreno en el que operamos.</w:t>
            </w:r>
          </w:p>
          <w:p>
            <w:pPr>
              <w:spacing w:after="90" w:line="264"/>
            </w:pPr>
            <w:r>
              <w:rPr>
                <w:b/>
                <w:bCs/>
                <w:sz w:val="21"/>
                <w:szCs w:val="21"/>
              </w:rPr>
              <w:t xml:space="preserve">Por qué no basta:</w:t>
            </w:r>
            <w:r>
              <w:rPr>
                <w:sz w:val="21"/>
                <w:szCs w:val="21"/>
              </w:rPr>
              <w:t xml:space="preserve"> el razonamiento no dice que la práctica sea correcta. Dice que la abogada </w:t>
            </w:r>
            <w:r>
              <w:rPr>
                <w:b/>
                <w:bCs/>
                <w:sz w:val="21"/>
                <w:szCs w:val="21"/>
              </w:rPr>
              <w:t xml:space="preserve">no podía saber</w:t>
            </w:r>
            <w:r>
              <w:rPr>
                <w:sz w:val="21"/>
                <w:szCs w:val="21"/>
              </w:rPr>
              <w:t xml:space="preserve"> que existía una obligación, porque ese tribunal no tenía regla ni precedente. Es una defensa que se apoya en un vacío. </w:t>
            </w:r>
            <w:r>
              <w:rPr>
                <w:b/>
                <w:bCs/>
                <w:sz w:val="21"/>
                <w:szCs w:val="21"/>
              </w:rPr>
              <w:t xml:space="preserve">El día que el tribunal adopta una regla local, la defensa desaparece</w:t>
            </w:r>
            <w:r>
              <w:rPr>
                <w:sz w:val="21"/>
                <w:szCs w:val="21"/>
              </w:rPr>
              <w:t xml:space="preserve"> — y no de forma prospectiva y anunciada, sino desde la fecha de la regla.</w:t>
            </w:r>
          </w:p>
          <w:p>
            <w:pPr>
              <w:spacing w:after="90" w:line="264"/>
            </w:pPr>
            <w:r>
              <w:rPr>
                <w:sz w:val="21"/>
                <w:szCs w:val="21"/>
              </w:rPr>
              <w:t xml:space="preserve">Dicho de otro modo: </w:t>
            </w:r>
            <w:r>
              <w:rPr>
                <w:i/>
                <w:iCs/>
                <w:sz w:val="21"/>
                <w:szCs w:val="21"/>
              </w:rPr>
              <w:t xml:space="preserve">Liu</w:t>
            </w:r>
            <w:r>
              <w:rPr>
                <w:sz w:val="21"/>
                <w:szCs w:val="21"/>
              </w:rPr>
              <w:t xml:space="preserve"> protege a quien actuó de buena fe en un vacío normativo. No protege a quien conocía el debate, no verificó, y siguió adelante.</w:t>
            </w:r>
          </w:p>
        </w:tc>
      </w:tr>
    </w:tbl>
    <w:p>
      <w:pPr>
        <w:pStyle w:val="Heading2"/>
        <w:spacing w:after="140" w:before="320"/>
      </w:pPr>
      <w:r>
        <w:rPr>
          <w:rFonts w:ascii="Calibri" w:cs="Calibri" w:eastAsia="Calibri" w:hAnsi="Calibri"/>
          <w:b/>
          <w:bCs/>
          <w:color w:val="1F3864"/>
          <w:sz w:val="25"/>
          <w:szCs w:val="25"/>
        </w:rPr>
        <w:t xml:space="preserve">3.3 Comités de ética: la tendencia hacia la permisividad</w:t>
      </w:r>
    </w:p>
    <w:p>
      <w:pPr>
        <w:spacing w:after="140" w:line="276"/>
      </w:pPr>
      <w:r>
        <w:rPr>
          <w:sz w:val="21"/>
          <w:szCs w:val="21"/>
        </w:rPr>
        <w:t xml:space="preserve">Los comités de ética han sido considerablemente más permisivos que los tribunales, y la propia opinión en </w:t>
      </w:r>
      <w:r>
        <w:rPr>
          <w:i/>
          <w:iCs/>
          <w:sz w:val="21"/>
          <w:szCs w:val="21"/>
        </w:rPr>
        <w:t xml:space="preserve">Liu</w:t>
      </w:r>
      <w:r>
        <w:rPr>
          <w:sz w:val="21"/>
          <w:szCs w:val="21"/>
        </w:rPr>
        <w:t xml:space="preserve"> recoge esa evolución:</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3400"/>
        <w:gridCol w:w="900"/>
        <w:gridCol w:w="5060"/>
      </w:tblGrid>
      <w:tr>
        <w:trPr>
          <w:tblHeader/>
        </w:trPr>
        <w:tc>
          <w:tcPr>
            <w:tcW w:type="dxa" w:w="3400"/>
            <w:shd w:fill="1F3864" w:val="clear"/>
            <w:tcMar>
              <w:top w:type="dxa" w:w="90"/>
              <w:left w:type="dxa" w:w="110"/>
              <w:bottom w:type="dxa" w:w="90"/>
              <w:right w:type="dxa" w:w="110"/>
            </w:tcMar>
          </w:tcPr>
          <w:p>
            <w:pPr>
              <w:spacing w:after="0" w:line="250"/>
            </w:pPr>
            <w:r>
              <w:rPr>
                <w:b/>
                <w:bCs/>
                <w:color w:val="FFFFFF"/>
                <w:sz w:val="19"/>
                <w:szCs w:val="19"/>
              </w:rPr>
              <w:t xml:space="preserve">Autoridad</w:t>
            </w:r>
          </w:p>
        </w:tc>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Año</w:t>
            </w:r>
          </w:p>
        </w:tc>
        <w:tc>
          <w:tcPr>
            <w:tcW w:type="dxa" w:w="5060"/>
            <w:shd w:fill="1F3864" w:val="clear"/>
            <w:tcMar>
              <w:top w:type="dxa" w:w="90"/>
              <w:left w:type="dxa" w:w="110"/>
              <w:bottom w:type="dxa" w:w="90"/>
              <w:right w:type="dxa" w:w="110"/>
            </w:tcMar>
          </w:tcPr>
          <w:p>
            <w:pPr>
              <w:spacing w:after="0" w:line="250"/>
            </w:pPr>
            <w:r>
              <w:rPr>
                <w:b/>
                <w:bCs/>
                <w:color w:val="FFFFFF"/>
                <w:sz w:val="19"/>
                <w:szCs w:val="19"/>
              </w:rPr>
              <w:t xml:space="preserve">Criterio</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Colegio de Abogados de la Ciudad de Nueva York, Op. Formal 1987-2</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1987</w:t>
            </w:r>
          </w:p>
        </w:tc>
        <w:tc>
          <w:tcPr>
            <w:tcW w:type="dxa" w:w="5060"/>
            <w:shd w:fill="FFFFFF" w:val="clear"/>
            <w:tcMar>
              <w:top w:type="dxa" w:w="80"/>
              <w:left w:type="dxa" w:w="110"/>
              <w:bottom w:type="dxa" w:w="80"/>
              <w:right w:type="dxa" w:w="110"/>
            </w:tcMar>
            <w:vAlign w:val="center"/>
          </w:tcPr>
          <w:p>
            <w:pPr>
              <w:spacing w:after="0" w:line="250"/>
            </w:pPr>
            <w:r>
              <w:rPr>
                <w:sz w:val="19"/>
                <w:szCs w:val="19"/>
              </w:rPr>
              <w:t xml:space="preserve">Exige revelar al tribunal y a la parte contraria que el escrito fue preparado por abogado, </w:t>
            </w:r>
            <w:r>
              <w:rPr>
                <w:b/>
                <w:bCs/>
                <w:sz w:val="19"/>
                <w:szCs w:val="19"/>
              </w:rPr>
              <w:t xml:space="preserve">pero sin identificar al abogado</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ABA, Opinión Formal 07-446</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2007</w:t>
            </w:r>
          </w:p>
        </w:tc>
        <w:tc>
          <w:tcPr>
            <w:tcW w:type="dxa" w:w="5060"/>
            <w:shd w:fill="F5F7FA" w:val="clear"/>
            <w:tcMar>
              <w:top w:type="dxa" w:w="80"/>
              <w:left w:type="dxa" w:w="110"/>
              <w:bottom w:type="dxa" w:w="80"/>
              <w:right w:type="dxa" w:w="110"/>
            </w:tcMar>
            <w:vAlign w:val="center"/>
          </w:tcPr>
          <w:p>
            <w:pPr>
              <w:spacing w:after="0" w:line="250"/>
            </w:pPr>
            <w:r>
              <w:rPr>
                <w:sz w:val="19"/>
                <w:szCs w:val="19"/>
              </w:rPr>
              <w:t xml:space="preserve">Admite la asistencia no revelada en la preparación de escritos para litigantes pro se. Es el punto de inflexión de toda la materia</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NYCLA, Op. 742</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2010</w:t>
            </w:r>
          </w:p>
        </w:tc>
        <w:tc>
          <w:tcPr>
            <w:tcW w:type="dxa" w:w="5060"/>
            <w:shd w:fill="FFFFFF" w:val="clear"/>
            <w:tcMar>
              <w:top w:type="dxa" w:w="80"/>
              <w:left w:type="dxa" w:w="110"/>
              <w:bottom w:type="dxa" w:w="80"/>
              <w:right w:type="dxa" w:w="110"/>
            </w:tcMar>
            <w:vAlign w:val="center"/>
          </w:tcPr>
          <w:p>
            <w:pPr>
              <w:spacing w:after="0" w:line="250"/>
            </w:pPr>
            <w:r>
              <w:rPr>
                <w:sz w:val="19"/>
                <w:szCs w:val="19"/>
              </w:rPr>
              <w:t xml:space="preserve">La divulgación solo es necesaria cuando la exige una regla, orden o ley, o cuando no revelar constituiría una tergiversación. Cuando hay que revelar, basta indicar en el documento que fue </w:t>
            </w:r>
            <w:r>
              <w:rPr>
                <w:b/>
                <w:bCs/>
                <w:sz w:val="19"/>
                <w:szCs w:val="19"/>
              </w:rPr>
              <w:t xml:space="preserve">«preparado con la asistencia de un abogado»</w:t>
            </w:r>
            <w:r>
              <w:rPr>
                <w:sz w:val="19"/>
                <w:szCs w:val="19"/>
              </w:rPr>
              <w:t xml:space="preserve">, sin nombrarlo</w:t>
            </w:r>
          </w:p>
        </w:tc>
      </w:tr>
    </w:tbl>
    <w:p>
      <w:pPr>
        <w:spacing w:after="140"/>
      </w:pPr>
    </w:p>
    <w:p>
      <w:pPr>
        <w:spacing w:after="140" w:line="276"/>
      </w:pPr>
      <w:r>
        <w:rPr>
          <w:i/>
          <w:iCs/>
          <w:sz w:val="21"/>
          <w:szCs w:val="21"/>
        </w:rPr>
        <w:t xml:space="preserve">Liu</w:t>
      </w:r>
      <w:r>
        <w:rPr>
          <w:sz w:val="21"/>
          <w:szCs w:val="21"/>
        </w:rPr>
        <w:t xml:space="preserve"> cita además a Ira P. Robbins, </w:t>
      </w:r>
      <w:r>
        <w:rPr>
          <w:i/>
          <w:iCs/>
          <w:sz w:val="21"/>
          <w:szCs w:val="21"/>
        </w:rPr>
        <w:t xml:space="preserve">Ghostwriting: Filling in the Gaps of Pro se Prisoners' Access to the Courts</w:t>
      </w:r>
      <w:r>
        <w:rPr>
          <w:sz w:val="21"/>
          <w:szCs w:val="21"/>
        </w:rPr>
        <w:t xml:space="preserve">, 23 Geo. J. Legal Ethics 271 (2010), que hace dos observaciones que conviene tener presentes a la vez:</w:t>
      </w:r>
    </w:p>
    <w:p>
      <w:pPr>
        <w:pStyle w:val="ListParagraph"/>
        <w:numPr>
          <w:ilvl w:val="0"/>
          <w:numId w:val="2"/>
        </w:numPr>
        <w:spacing w:after="70" w:line="264"/>
      </w:pPr>
      <w:r>
        <w:rPr>
          <w:sz w:val="21"/>
          <w:szCs w:val="21"/>
        </w:rPr>
        <w:t xml:space="preserve">«</w:t>
      </w:r>
      <w:r>
        <w:rPr>
          <w:b/>
          <w:bCs/>
          <w:sz w:val="21"/>
          <w:szCs w:val="21"/>
        </w:rPr>
        <w:t xml:space="preserve">Los tribunales federales han condenado la práctica de forma casi universal.</w:t>
      </w:r>
      <w:r>
        <w:rPr>
          <w:sz w:val="21"/>
          <w:szCs w:val="21"/>
        </w:rPr>
        <w:t xml:space="preserve">» (recopilando casos)</w:t>
      </w:r>
    </w:p>
    <w:p>
      <w:pPr>
        <w:pStyle w:val="ListParagraph"/>
        <w:numPr>
          <w:ilvl w:val="0"/>
          <w:numId w:val="2"/>
        </w:numPr>
        <w:spacing w:after="70" w:line="264"/>
      </w:pPr>
      <w:r>
        <w:rPr>
          <w:sz w:val="21"/>
          <w:szCs w:val="21"/>
        </w:rPr>
        <w:t xml:space="preserve">Pero «casi todos los casos federales y las opiniones éticas estatales contrarias son anteriores a la opinión de la ABA de mayo de 2007», por lo que cabía esperar una relajación posterior.</w:t>
      </w:r>
    </w:p>
    <w:p>
      <w:pPr>
        <w:spacing w:after="140" w:line="276"/>
      </w:pPr>
      <w:r>
        <w:rPr>
          <w:sz w:val="21"/>
          <w:szCs w:val="21"/>
        </w:rPr>
        <w:t xml:space="preserve">Esa relajación se ha producido en los comités de ética. </w:t>
      </w:r>
      <w:r>
        <w:rPr>
          <w:b/>
          <w:bCs/>
          <w:sz w:val="21"/>
          <w:szCs w:val="21"/>
        </w:rPr>
        <w:t xml:space="preserve">En los tribunales, mucho menos.</w:t>
      </w:r>
    </w:p>
    <w:p>
      <w:pPr>
        <w:pStyle w:val="Heading2"/>
        <w:spacing w:after="140" w:before="320"/>
      </w:pPr>
      <w:r>
        <w:rPr>
          <w:rFonts w:ascii="Calibri" w:cs="Calibri" w:eastAsia="Calibri" w:hAnsi="Calibri"/>
          <w:b/>
          <w:bCs/>
          <w:color w:val="1F3864"/>
          <w:sz w:val="25"/>
          <w:szCs w:val="25"/>
        </w:rPr>
        <w:t xml:space="preserve">3.4 El entorno reciente: la vigilancia no ha aflojado</w:t>
      </w:r>
    </w:p>
    <w:p>
      <w:pPr>
        <w:spacing w:after="140" w:line="276"/>
      </w:pPr>
      <w:r>
        <w:rPr>
          <w:sz w:val="21"/>
          <w:szCs w:val="21"/>
        </w:rPr>
        <w:t xml:space="preserve">Un dato de 2026 que conviene no ignorar. En </w:t>
      </w:r>
      <w:r>
        <w:rPr>
          <w:i/>
          <w:iCs/>
          <w:sz w:val="21"/>
          <w:szCs w:val="21"/>
        </w:rPr>
        <w:t xml:space="preserve">Whiting v. City of Athens, Tenn.</w:t>
      </w:r>
      <w:r>
        <w:rPr>
          <w:sz w:val="21"/>
          <w:szCs w:val="21"/>
        </w:rPr>
        <w:t xml:space="preserve">, Nos. 24-5918/5919/25-5424 (6th Cir. 13 de marzo de 2026), el Sexto Circuito, al sancionar a dos abogados por conducta de mala fe, incluyó entre sus requerimientos expresos que explicaran </w:t>
      </w:r>
      <w:r>
        <w:rPr>
          <w:b/>
          <w:bCs/>
          <w:sz w:val="21"/>
          <w:szCs w:val="21"/>
        </w:rPr>
        <w:t xml:space="preserve">«si los escritos fueron preparados por otra persona, en todo o en parte»</w:t>
      </w:r>
      <w:r>
        <w:rPr>
          <w:sz w:val="21"/>
          <w:szCs w:val="21"/>
        </w:rPr>
        <w:t xml:space="preserve"> — junto a preguntas sobre el uso de IA generativa y sobre cómo verificaron las citas.</w:t>
      </w:r>
    </w:p>
    <w:p>
      <w:pPr>
        <w:spacing w:after="140" w:line="276"/>
      </w:pPr>
      <w:r>
        <w:rPr>
          <w:sz w:val="21"/>
          <w:szCs w:val="21"/>
        </w:rPr>
        <w:t xml:space="preserve">El tribunal se apoyó, además, en una resolución disciplinaria de 2025 del Distrito Este de Tennessee que había concluido que uno de los abogados </w:t>
      </w:r>
      <w:r>
        <w:rPr>
          <w:b/>
          <w:bCs/>
          <w:sz w:val="21"/>
          <w:szCs w:val="21"/>
        </w:rPr>
        <w:t xml:space="preserve">preparó indebidamente escritos</w:t>
      </w:r>
      <w:r>
        <w:rPr>
          <w:sz w:val="21"/>
          <w:szCs w:val="21"/>
        </w:rPr>
        <w:t xml:space="preserve"> para otro. Y añadió una observación que amplía el problema más allá del contexto pro se:</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"[W]e see no reason why rules regulating ghostwriting should apply in</w:t>
            </w:r>
          </w:p>
          <w:p>
            <w:pPr>
              <w:spacing w:after="0" w:line="216"/>
            </w:pPr>
            <w:r>
              <w:rPr>
                <w:rFonts w:ascii="Consolas" w:cs="Consolas" w:eastAsia="Consolas" w:hAnsi="Consolas"/>
                <w:sz w:val="15"/>
                <w:szCs w:val="15"/>
              </w:rPr>
              <w:t xml:space="preserve"> only the pro se context. The primary concern ... is that the true</w:t>
            </w:r>
          </w:p>
          <w:p>
            <w:pPr>
              <w:spacing w:after="0" w:line="216"/>
            </w:pPr>
            <w:r>
              <w:rPr>
                <w:rFonts w:ascii="Consolas" w:cs="Consolas" w:eastAsia="Consolas" w:hAnsi="Consolas"/>
                <w:sz w:val="15"/>
                <w:szCs w:val="15"/>
              </w:rPr>
              <w:t xml:space="preserve"> author would escape liability for his conduct ... and that concern is</w:t>
            </w:r>
          </w:p>
          <w:p>
            <w:pPr>
              <w:spacing w:after="0" w:line="216"/>
            </w:pPr>
            <w:r>
              <w:rPr>
                <w:rFonts w:ascii="Consolas" w:cs="Consolas" w:eastAsia="Consolas" w:hAnsi="Consolas"/>
                <w:sz w:val="15"/>
                <w:szCs w:val="15"/>
              </w:rPr>
              <w:t xml:space="preserve"> just as acute when a lawyer ultimately signs the ghostwritten</w:t>
            </w:r>
          </w:p>
          <w:p>
            <w:pPr>
              <w:spacing w:after="0" w:line="216"/>
            </w:pPr>
            <w:r>
              <w:rPr>
                <w:rFonts w:ascii="Consolas" w:cs="Consolas" w:eastAsia="Consolas" w:hAnsi="Consolas"/>
                <w:sz w:val="15"/>
                <w:szCs w:val="15"/>
              </w:rPr>
              <w:t xml:space="preserve"> pleading."</w:t>
            </w:r>
          </w:p>
          <w:p>
            <w:pPr>
              <w:spacing w:after="0" w:line="216"/>
            </w:pPr>
            <w:r>
              <w:rPr>
                <w:rFonts w:ascii="Consolas" w:cs="Consolas" w:eastAsia="Consolas" w:hAnsi="Consolas"/>
                <w:sz w:val="15"/>
                <w:szCs w:val="15"/>
              </w:rPr>
              <w:t xml:space="preserve">                     Whiting v. City of Athens (6th Cir. 2026), n.3</w:t>
            </w:r>
          </w:p>
        </w:tc>
      </w:tr>
    </w:tbl>
    <w:p>
      <w:pPr>
        <w:spacing w:after="120"/>
      </w:pPr>
    </w:p>
    <w:p>
      <w:pPr>
        <w:spacing w:after="140" w:line="276"/>
      </w:pPr>
      <w:r>
        <w:rPr>
          <w:b/>
          <w:bCs/>
          <w:sz w:val="21"/>
          <w:szCs w:val="21"/>
        </w:rPr>
        <w:t xml:space="preserve">Lectura para nosotros:</w:t>
      </w:r>
      <w:r>
        <w:rPr>
          <w:sz w:val="21"/>
          <w:szCs w:val="21"/>
        </w:rPr>
        <w:t xml:space="preserve"> la materia está viva y los tribunales federales están preguntando activamente quién redactó qué. La tendencia permisiva de los comités de ética no se ha trasladado a la sala.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4. El Quinto Circuito y los distritos de Texas</w:t>
      </w:r>
    </w:p>
    <w:p>
      <w:pPr>
        <w:spacing w:after="140" w:line="276"/>
      </w:pPr>
      <w:r>
        <w:rPr>
          <w:sz w:val="21"/>
          <w:szCs w:val="21"/>
        </w:rPr>
        <w:t xml:space="preserve">Se consultó la base de opiniones de CourtListener para el Quinto Circuito y para los cuatro distritos federales de Texas (Sur, Norte, Oeste y Este), además de los distritos de Luisiana y Misisipi que integran el circuito.</w:t>
      </w:r>
    </w:p>
    <w:p>
      <w:pPr>
        <w:spacing w:after="80"/>
      </w:pP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600"/>
        <w:gridCol w:w="6760"/>
      </w:tblGrid>
      <w:tr>
        <w:trPr>
          <w:tblHeader/>
        </w:trPr>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Jurisdicción</w:t>
            </w:r>
          </w:p>
        </w:tc>
        <w:tc>
          <w:tcPr>
            <w:tcW w:type="dxa" w:w="6760"/>
            <w:shd w:fill="1F3864" w:val="clear"/>
            <w:tcMar>
              <w:top w:type="dxa" w:w="90"/>
              <w:left w:type="dxa" w:w="110"/>
              <w:bottom w:type="dxa" w:w="90"/>
              <w:right w:type="dxa" w:w="110"/>
            </w:tcMar>
          </w:tcPr>
          <w:p>
            <w:pPr>
              <w:spacing w:after="0" w:line="250"/>
            </w:pPr>
            <w:r>
              <w:rPr>
                <w:b/>
                <w:bCs/>
                <w:color w:val="FFFFFF"/>
                <w:sz w:val="19"/>
                <w:szCs w:val="19"/>
              </w:rPr>
              <w:t xml:space="preserve">Resultado de la búsqueda</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Quinto Circuito</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Sin opinión publicada sobre preparación de escritos por abogado para litigante pro se. El único resultado por el término, </w:t>
            </w:r>
            <w:r>
              <w:rPr>
                <w:i/>
                <w:iCs/>
                <w:sz w:val="19"/>
                <w:szCs w:val="19"/>
              </w:rPr>
              <w:t xml:space="preserve">Di Angelo Publications v. Kelley</w:t>
            </w:r>
            <w:r>
              <w:rPr>
                <w:sz w:val="19"/>
                <w:szCs w:val="19"/>
              </w:rPr>
              <w:t xml:space="preserve">, 9 F.4th 256 (5th Cir. 2021), es una disputa sobre contratos editoriales y no guarda relación</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Distrito Sur de Texas</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Sin opinión indexada sobre la materia</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Distritos Norte, Oeste y Este de Texas</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Sin opinión indexada sobre la materia</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Distritos de Luisiana y Misisipi</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Sin opinión indexada sobre la materia</w:t>
            </w:r>
          </w:p>
        </w:tc>
      </w:tr>
    </w:tbl>
    <w:p>
      <w:pPr>
        <w:spacing w:after="16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La limitación de esta investigación — leer esto antes que la conclusión</w:t>
            </w:r>
          </w:p>
          <w:p>
            <w:pPr>
              <w:spacing w:after="90" w:line="264"/>
            </w:pPr>
            <w:r>
              <w:rPr>
                <w:b/>
                <w:bCs/>
                <w:sz w:val="21"/>
                <w:szCs w:val="21"/>
              </w:rPr>
              <w:t xml:space="preserve">1. Ausencia de resultados no es prueba de ausencia.</w:t>
            </w:r>
            <w:r>
              <w:rPr>
                <w:sz w:val="21"/>
                <w:szCs w:val="21"/>
              </w:rPr>
              <w:t xml:space="preserve"> La cobertura de opiniones de tribunales de distrito es incompleta, y buena parte de las resoluciones relevantes —órdenes, autos, resoluciones disciplinarias— no se publican ni se indexan.</w:t>
            </w:r>
          </w:p>
          <w:p>
            <w:pPr>
              <w:spacing w:after="90" w:line="264"/>
            </w:pPr>
            <w:r>
              <w:rPr>
                <w:b/>
                <w:bCs/>
                <w:sz w:val="21"/>
                <w:szCs w:val="21"/>
              </w:rPr>
              <w:t xml:space="preserve">2. Y sobre todo: una exigencia de divulgación normalmente no vive en una opinión, vive en una regla local o en una orden permanente.</w:t>
            </w:r>
            <w:r>
              <w:rPr>
                <w:sz w:val="21"/>
                <w:szCs w:val="21"/>
              </w:rPr>
              <w:t xml:space="preserve"> CourtListener indexa jurisprudencia; </w:t>
            </w:r>
            <w:r>
              <w:rPr>
                <w:b/>
                <w:bCs/>
                <w:sz w:val="21"/>
                <w:szCs w:val="21"/>
              </w:rPr>
              <w:t xml:space="preserve">no indexa reglas locales</w:t>
            </w:r>
            <w:r>
              <w:rPr>
                <w:sz w:val="21"/>
                <w:szCs w:val="21"/>
              </w:rPr>
              <w:t xml:space="preserve">. Esta nota mapea el estado de la jurisprudencia y </w:t>
            </w:r>
            <w:r>
              <w:rPr>
                <w:b/>
                <w:bCs/>
                <w:sz w:val="21"/>
                <w:szCs w:val="21"/>
              </w:rPr>
              <w:t xml:space="preserve">no</w:t>
            </w:r>
            <w:r>
              <w:rPr>
                <w:sz w:val="21"/>
                <w:szCs w:val="21"/>
              </w:rPr>
              <w:t xml:space="preserve"> el de las reglas locales de ningún distrito.</w:t>
            </w:r>
          </w:p>
          <w:p>
            <w:pPr>
              <w:spacing w:after="90" w:line="264"/>
            </w:pPr>
            <w:r>
              <w:rPr>
                <w:sz w:val="21"/>
                <w:szCs w:val="21"/>
              </w:rPr>
              <w:t xml:space="preserve">Esa es exactamente la razón por la que la recomendación de la sección 5 no depende de completar el mapa: está diseñada para funcionar sin saber qué dice cada regla local.</w:t>
            </w:r>
          </w:p>
          <w:p>
            <w:pPr>
              <w:spacing w:after="90" w:line="264"/>
            </w:pPr>
            <w:r>
              <w:rPr>
                <w:b/>
                <w:bCs/>
                <w:sz w:val="21"/>
                <w:szCs w:val="21"/>
              </w:rPr>
              <w:t xml:space="preserve">3. Las citas de esta nota deben verificarse en su texto vigente</w:t>
            </w:r>
            <w:r>
              <w:rPr>
                <w:sz w:val="21"/>
                <w:szCs w:val="21"/>
              </w:rPr>
              <w:t xml:space="preserve"> antes de apoyar en ellas ninguna decisión. Las reglas cambian; esta nota es un punto de partida, no una opinión legal.</w:t>
            </w:r>
          </w:p>
        </w:tc>
      </w:tr>
    </w:tbl>
    <w:p>
      <w:pPr>
        <w:spacing w:after="160"/>
      </w:pPr>
    </w:p>
    <w:p>
      <w:pPr>
        <w:pStyle w:val="Heading2"/>
        <w:spacing w:after="140" w:before="320"/>
      </w:pPr>
      <w:r>
        <w:rPr>
          <w:rFonts w:ascii="Calibri" w:cs="Calibri" w:eastAsia="Calibri" w:hAnsi="Calibri"/>
          <w:b/>
          <w:bCs/>
          <w:color w:val="1F3864"/>
          <w:sz w:val="25"/>
          <w:szCs w:val="25"/>
        </w:rPr>
        <w:t xml:space="preserve">4.1 Qué significa para nosotros que el circuito no se haya pronunciado</w:t>
      </w:r>
    </w:p>
    <w:p>
      <w:pPr>
        <w:pStyle w:val="ListParagraph"/>
        <w:numPr>
          <w:ilvl w:val="0"/>
          <w:numId w:val="2"/>
        </w:numPr>
        <w:spacing w:after="70" w:line="264"/>
      </w:pPr>
      <w:r>
        <w:rPr>
          <w:b/>
          <w:bCs/>
          <w:sz w:val="21"/>
          <w:szCs w:val="21"/>
        </w:rPr>
        <w:t xml:space="preserve">No estamos protegidos por un precedente favorable.</w:t>
      </w:r>
      <w:r>
        <w:rPr>
          <w:sz w:val="21"/>
          <w:szCs w:val="21"/>
        </w:rPr>
        <w:t xml:space="preserve"> Estamos en un vacío, que es una posición distinta y menos cómoda.</w:t>
      </w:r>
    </w:p>
    <w:p>
      <w:pPr>
        <w:pStyle w:val="ListParagraph"/>
        <w:numPr>
          <w:ilvl w:val="0"/>
          <w:numId w:val="2"/>
        </w:numPr>
        <w:spacing w:after="70" w:line="264"/>
      </w:pPr>
      <w:r>
        <w:rPr>
          <w:sz w:val="21"/>
          <w:szCs w:val="21"/>
        </w:rPr>
        <w:t xml:space="preserve">*</w:t>
      </w:r>
      <w:r>
        <w:rPr>
          <w:i/>
          <w:iCs/>
          <w:sz w:val="21"/>
          <w:szCs w:val="21"/>
        </w:rPr>
        <w:t xml:space="preserve">El argumento de </w:t>
      </w:r>
      <w:r>
        <w:rPr>
          <w:sz w:val="21"/>
          <w:szCs w:val="21"/>
        </w:rPr>
        <w:t xml:space="preserve">Liu</w:t>
      </w:r>
      <w:r>
        <w:rPr>
          <w:i/>
          <w:iCs/>
          <w:sz w:val="21"/>
          <w:szCs w:val="21"/>
        </w:rPr>
        <w:t xml:space="preserve"> está disponible</w:t>
      </w:r>
      <w:r>
        <w:rPr>
          <w:sz w:val="21"/>
          <w:szCs w:val="21"/>
        </w:rPr>
        <w:t xml:space="preserve">* —ausencia de regla, ausencia de mala fe, escritos sencillos— y es el mejor que hay. Pero es de otro circuito y se apoya en el vacío, no en un permiso.</w:t>
      </w:r>
    </w:p>
    <w:p>
      <w:pPr>
        <w:pStyle w:val="ListParagraph"/>
        <w:numPr>
          <w:ilvl w:val="0"/>
          <w:numId w:val="2"/>
        </w:numPr>
        <w:spacing w:after="70" w:line="264"/>
      </w:pPr>
      <w:r>
        <w:rPr>
          <w:b/>
          <w:bCs/>
          <w:sz w:val="21"/>
          <w:szCs w:val="21"/>
        </w:rPr>
        <w:t xml:space="preserve">El vacío puede cerrarse sin aviso</w:t>
      </w:r>
      <w:r>
        <w:rPr>
          <w:sz w:val="21"/>
          <w:szCs w:val="21"/>
        </w:rPr>
        <w:t xml:space="preserve">, y en la dirección restrictiva: un distrito adopta una regla local, o un juez dicta una orden permanente, y a partir de ahí la práctica no revelada es una infracción.</w:t>
      </w:r>
    </w:p>
    <w:p>
      <w:pPr>
        <w:pStyle w:val="ListParagraph"/>
        <w:numPr>
          <w:ilvl w:val="0"/>
          <w:numId w:val="2"/>
        </w:numPr>
        <w:spacing w:after="70" w:line="264"/>
      </w:pPr>
      <w:r>
        <w:rPr>
          <w:b/>
          <w:bCs/>
          <w:sz w:val="21"/>
          <w:szCs w:val="21"/>
        </w:rPr>
        <w:t xml:space="preserve">El riesgo no es solo disciplinario.</w:t>
      </w:r>
      <w:r>
        <w:rPr>
          <w:sz w:val="21"/>
          <w:szCs w:val="21"/>
        </w:rPr>
        <w:t xml:space="preserve"> Un tribunal que descubre la participación no revelada puede negar la construcción liberal del escrito, con perjuicio directo para el cliente en su caso — que es el resultado que más importa evitar.</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5. Recomendación</w:t>
      </w:r>
    </w:p>
    <w:p>
      <w:pPr>
        <w:pStyle w:val="Heading2"/>
        <w:spacing w:after="140" w:before="320"/>
      </w:pPr>
      <w:r>
        <w:rPr>
          <w:rFonts w:ascii="Calibri" w:cs="Calibri" w:eastAsia="Calibri" w:hAnsi="Calibri"/>
          <w:b/>
          <w:bCs/>
          <w:color w:val="1F3864"/>
          <w:sz w:val="25"/>
          <w:szCs w:val="25"/>
        </w:rPr>
        <w:t xml:space="preserve">5.1 Adoptar la nota de divulgación en todos los escritos, sin excepción</w:t>
      </w:r>
    </w:p>
    <w:p>
      <w:pPr>
        <w:spacing w:after="140" w:line="276"/>
      </w:pPr>
      <w:r>
        <w:rPr>
          <w:sz w:val="21"/>
          <w:szCs w:val="21"/>
        </w:rPr>
        <w:t xml:space="preserve">Incluir en cada escrito preparado por la firma y presentado por el cliente en su propio nombre una línea de este tipo:</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Preparado con la asistencia de un abogado licenciado para ejercer</w:t>
            </w:r>
          </w:p>
          <w:p>
            <w:pPr>
              <w:spacing w:after="0" w:line="216"/>
            </w:pPr>
            <w:r>
              <w:rPr>
                <w:rFonts w:ascii="Consolas" w:cs="Consolas" w:eastAsia="Consolas" w:hAnsi="Consolas"/>
                <w:sz w:val="15"/>
                <w:szCs w:val="15"/>
              </w:rPr>
              <w:t xml:space="preserve">en los Estados Unidos.</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Prepared with the assistance of an attorney licensed to practice law</w:t>
            </w:r>
          </w:p>
          <w:p>
            <w:pPr>
              <w:spacing w:after="0" w:line="216"/>
            </w:pPr>
            <w:r>
              <w:rPr>
                <w:rFonts w:ascii="Consolas" w:cs="Consolas" w:eastAsia="Consolas" w:hAnsi="Consolas"/>
                <w:sz w:val="15"/>
                <w:szCs w:val="15"/>
              </w:rPr>
              <w:t xml:space="preserve">in the United States.</w:t>
            </w:r>
          </w:p>
        </w:tc>
      </w:tr>
    </w:tbl>
    <w:p>
      <w:pPr>
        <w:spacing w:after="140"/>
      </w:pPr>
    </w:p>
    <w:p>
      <w:pPr>
        <w:spacing w:after="140" w:line="276"/>
      </w:pPr>
      <w:r>
        <w:rPr>
          <w:b/>
          <w:bCs/>
          <w:sz w:val="21"/>
          <w:szCs w:val="21"/>
        </w:rPr>
        <w:t xml:space="preserve">Las razones, en orden de peso:</w:t>
      </w:r>
    </w:p>
    <w:p>
      <w:pPr>
        <w:pStyle w:val="ListParagraph"/>
        <w:numPr>
          <w:ilvl w:val="0"/>
          <w:numId w:val="3"/>
        </w:numPr>
        <w:spacing w:after="70" w:line="264"/>
      </w:pPr>
      <w:r>
        <w:rPr>
          <w:b/>
          <w:bCs/>
          <w:sz w:val="21"/>
          <w:szCs w:val="21"/>
        </w:rPr>
        <w:t xml:space="preserve">Satisface el criterio de la práctica totalidad de los regímenes de divulgación</w:t>
      </w:r>
      <w:r>
        <w:rPr>
          <w:sz w:val="21"/>
          <w:szCs w:val="21"/>
        </w:rPr>
        <w:t xml:space="preserve"> —incluidos los de la Op. 1987-2 de Nueva York y la Op. 742 de NYCLA— sin necesidad de identificar al abogado.</w:t>
      </w:r>
    </w:p>
    <w:p>
      <w:pPr>
        <w:pStyle w:val="ListParagraph"/>
        <w:numPr>
          <w:ilvl w:val="0"/>
          <w:numId w:val="3"/>
        </w:numPr>
        <w:spacing w:after="70" w:line="264"/>
      </w:pPr>
      <w:r>
        <w:rPr>
          <w:b/>
          <w:bCs/>
          <w:sz w:val="21"/>
          <w:szCs w:val="21"/>
        </w:rPr>
        <w:t xml:space="preserve">Elimina la categoría de riesgo entera sin tener que mapear noventa y cuatro distritos.</w:t>
      </w:r>
      <w:r>
        <w:rPr>
          <w:sz w:val="21"/>
          <w:szCs w:val="21"/>
        </w:rPr>
        <w:t xml:space="preserve"> Un mapa de reglas locales hay que mantenerlo, y una regla nueva lo desactualiza en silencio. La nota funciona igual el día que cambia la regla.</w:t>
      </w:r>
    </w:p>
    <w:p>
      <w:pPr>
        <w:pStyle w:val="ListParagraph"/>
        <w:numPr>
          <w:ilvl w:val="0"/>
          <w:numId w:val="3"/>
        </w:numPr>
        <w:spacing w:after="70" w:line="264"/>
      </w:pPr>
      <w:r>
        <w:rPr>
          <w:b/>
          <w:bCs/>
          <w:sz w:val="21"/>
          <w:szCs w:val="21"/>
        </w:rPr>
        <w:t xml:space="preserve">No toca la economía del producto.</w:t>
      </w:r>
      <w:r>
        <w:rPr>
          <w:sz w:val="21"/>
          <w:szCs w:val="21"/>
        </w:rPr>
        <w:t xml:space="preserve"> El margen del habeas de alcance limitado —53 %, hasta 61 % con automatización madura— viene de la repetibilidad y del proceso, no de que el escrito sea anónimo. Nada en el modelo de negocio depende de la omisión.</w:t>
      </w:r>
    </w:p>
    <w:p>
      <w:pPr>
        <w:pStyle w:val="ListParagraph"/>
        <w:numPr>
          <w:ilvl w:val="0"/>
          <w:numId w:val="3"/>
        </w:numPr>
        <w:spacing w:after="70" w:line="264"/>
      </w:pPr>
      <w:r>
        <w:rPr>
          <w:sz w:val="21"/>
          <w:szCs w:val="21"/>
        </w:rPr>
        <w:t xml:space="preserve">*</w:t>
      </w:r>
      <w:r>
        <w:rPr>
          <w:i/>
          <w:iCs/>
          <w:sz w:val="21"/>
          <w:szCs w:val="21"/>
        </w:rPr>
        <w:t xml:space="preserve">Neutraliza el peor de los tres fundamentos de </w:t>
      </w:r>
      <w:r>
        <w:rPr>
          <w:sz w:val="21"/>
          <w:szCs w:val="21"/>
        </w:rPr>
        <w:t xml:space="preserve">Duran</w:t>
      </w:r>
      <w:r>
        <w:rPr>
          <w:i/>
          <w:iCs/>
          <w:sz w:val="21"/>
          <w:szCs w:val="21"/>
        </w:rPr>
        <w:t xml:space="preserve">:</w:t>
      </w:r>
      <w:r>
        <w:rPr>
          <w:sz w:val="21"/>
          <w:szCs w:val="21"/>
        </w:rPr>
        <w:t xml:space="preserve">* la aplicación indebida de la indulgencia del pro se. Si el tribunal sabe que hubo abogado, no hay engaño posible sobre ese punto.</w:t>
      </w:r>
    </w:p>
    <w:p>
      <w:pPr>
        <w:pStyle w:val="ListParagraph"/>
        <w:numPr>
          <w:ilvl w:val="0"/>
          <w:numId w:val="3"/>
        </w:numPr>
        <w:spacing w:after="70" w:line="264"/>
      </w:pPr>
      <w:r>
        <w:rPr>
          <w:b/>
          <w:bCs/>
          <w:sz w:val="21"/>
          <w:szCs w:val="21"/>
        </w:rPr>
        <w:t xml:space="preserve">Preserva el argumento de buena fe.</w:t>
      </w:r>
      <w:r>
        <w:rPr>
          <w:sz w:val="21"/>
          <w:szCs w:val="21"/>
        </w:rPr>
        <w:t xml:space="preserve"> Si algún día la práctica se cuestiona, la existencia de una política escrita y aplicada de forma sistemática es la mejor prueba de que no hubo intención de ocultar.</w:t>
      </w:r>
    </w:p>
    <w:p>
      <w:pPr>
        <w:spacing w:after="12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Lo que la nota NO resuelve</w:t>
            </w:r>
          </w:p>
          <w:p>
            <w:pPr>
              <w:spacing w:after="90" w:line="264"/>
            </w:pPr>
            <w:r>
              <w:rPr>
                <w:sz w:val="21"/>
                <w:szCs w:val="21"/>
              </w:rPr>
              <w:t xml:space="preserve">En jurisdicciones del tipo </w:t>
            </w:r>
            <w:r>
              <w:rPr>
                <w:i/>
                <w:iCs/>
                <w:sz w:val="21"/>
                <w:szCs w:val="21"/>
              </w:rPr>
              <w:t xml:space="preserve">Duran</w:t>
            </w:r>
            <w:r>
              <w:rPr>
                <w:sz w:val="21"/>
                <w:szCs w:val="21"/>
              </w:rPr>
              <w:t xml:space="preserve"> —el Décimo Circuito de forma expresa— la exigencia no es una nota: es </w:t>
            </w:r>
            <w:r>
              <w:rPr>
                <w:b/>
                <w:bCs/>
                <w:sz w:val="21"/>
                <w:szCs w:val="21"/>
              </w:rPr>
              <w:t xml:space="preserve">la firma del abogado</w:t>
            </w:r>
            <w:r>
              <w:rPr>
                <w:sz w:val="21"/>
                <w:szCs w:val="21"/>
              </w:rPr>
              <w:t xml:space="preserve">. Ahí la nota de divulgación es insuficiente y hace falta comparecer o firmar.</w:t>
            </w:r>
          </w:p>
          <w:p>
            <w:pPr>
              <w:spacing w:after="90" w:line="264"/>
            </w:pPr>
            <w:r>
              <w:rPr>
                <w:b/>
                <w:bCs/>
                <w:sz w:val="21"/>
                <w:szCs w:val="21"/>
              </w:rPr>
              <w:t xml:space="preserve">Consecuencia práctica:</w:t>
            </w:r>
            <w:r>
              <w:rPr>
                <w:sz w:val="21"/>
                <w:szCs w:val="21"/>
              </w:rPr>
              <w:t xml:space="preserve"> para escritos de apelación, y para cualquier presentación en un circuito o distrito con posición restrictiva conocida, hay que decidir caso por caso entre comparecer formalmente o no aceptar el encargo. La matriz de la sección 6 sigue haciendo falta para eso, aunque la nota resuelva el grueso del volumen.</w:t>
            </w:r>
          </w:p>
        </w:tc>
      </w:tr>
    </w:tbl>
    <w:p>
      <w:pPr>
        <w:pStyle w:val="Heading2"/>
        <w:spacing w:after="140" w:before="320"/>
      </w:pPr>
      <w:r>
        <w:rPr>
          <w:rFonts w:ascii="Calibri" w:cs="Calibri" w:eastAsia="Calibri" w:hAnsi="Calibri"/>
          <w:b/>
          <w:bCs/>
          <w:color w:val="1F3864"/>
          <w:sz w:val="25"/>
          <w:szCs w:val="25"/>
        </w:rPr>
        <w:t xml:space="preserve">5.2 Reforzar el acuerdo de servicios de alcance limitado</w:t>
      </w:r>
    </w:p>
    <w:p>
      <w:pPr>
        <w:spacing w:after="140" w:line="276"/>
      </w:pPr>
      <w:r>
        <w:rPr>
          <w:sz w:val="21"/>
          <w:szCs w:val="21"/>
        </w:rPr>
        <w:t xml:space="preserve">Con independencia de la divulgación, el acuerdo escrito con el cliente debe dejar constancia expresa de:</w:t>
      </w:r>
    </w:p>
    <w:p>
      <w:pPr>
        <w:pStyle w:val="ListParagraph"/>
        <w:numPr>
          <w:ilvl w:val="0"/>
          <w:numId w:val="4"/>
        </w:numPr>
        <w:spacing w:after="70" w:line="264"/>
      </w:pPr>
      <w:r>
        <w:rPr>
          <w:b/>
          <w:bCs/>
          <w:sz w:val="21"/>
          <w:szCs w:val="21"/>
        </w:rPr>
        <w:t xml:space="preserve">Qué incluye</w:t>
      </w:r>
      <w:r>
        <w:rPr>
          <w:sz w:val="21"/>
          <w:szCs w:val="21"/>
        </w:rPr>
        <w:t xml:space="preserve"> el encargo: qué documentos se preparan, en qué plazo, con cuántas revisiones.</w:t>
      </w:r>
    </w:p>
    <w:p>
      <w:pPr>
        <w:pStyle w:val="ListParagraph"/>
        <w:numPr>
          <w:ilvl w:val="0"/>
          <w:numId w:val="4"/>
        </w:numPr>
        <w:spacing w:after="70" w:line="264"/>
      </w:pPr>
      <w:r>
        <w:rPr>
          <w:b/>
          <w:bCs/>
          <w:sz w:val="21"/>
          <w:szCs w:val="21"/>
        </w:rPr>
        <w:t xml:space="preserve">Qué NO incluye</w:t>
      </w:r>
      <w:r>
        <w:rPr>
          <w:sz w:val="21"/>
          <w:szCs w:val="21"/>
        </w:rPr>
        <w:t xml:space="preserve">, dicho con nombre y apellido: comparecencias, respuesta a la oposición, réplica, apelación, cualquier actuación posterior.</w:t>
      </w:r>
    </w:p>
    <w:p>
      <w:pPr>
        <w:pStyle w:val="ListParagraph"/>
        <w:numPr>
          <w:ilvl w:val="0"/>
          <w:numId w:val="4"/>
        </w:numPr>
        <w:spacing w:after="70" w:line="264"/>
      </w:pPr>
      <w:r>
        <w:rPr>
          <w:b/>
          <w:bCs/>
          <w:sz w:val="21"/>
          <w:szCs w:val="21"/>
        </w:rPr>
        <w:t xml:space="preserve">Que el cliente comparece en su propio nombre</w:t>
      </w:r>
      <w:r>
        <w:rPr>
          <w:sz w:val="21"/>
          <w:szCs w:val="21"/>
        </w:rPr>
        <w:t xml:space="preserve"> y es quien presenta, quien recibe las notificaciones y quien responde a los plazos.</w:t>
      </w:r>
    </w:p>
    <w:p>
      <w:pPr>
        <w:pStyle w:val="ListParagraph"/>
        <w:numPr>
          <w:ilvl w:val="0"/>
          <w:numId w:val="4"/>
        </w:numPr>
        <w:spacing w:after="70" w:line="264"/>
      </w:pPr>
      <w:r>
        <w:rPr>
          <w:b/>
          <w:bCs/>
          <w:sz w:val="21"/>
          <w:szCs w:val="21"/>
        </w:rPr>
        <w:t xml:space="preserve">Que el resultado no está garantizado</w:t>
      </w:r>
      <w:r>
        <w:rPr>
          <w:sz w:val="21"/>
          <w:szCs w:val="21"/>
        </w:rPr>
        <w:t xml:space="preserve">, y que la firma no controla ni el calendario ni la decisión del tribunal.</w:t>
      </w:r>
    </w:p>
    <w:p>
      <w:pPr>
        <w:pStyle w:val="ListParagraph"/>
        <w:numPr>
          <w:ilvl w:val="0"/>
          <w:numId w:val="4"/>
        </w:numPr>
        <w:spacing w:after="70" w:line="264"/>
      </w:pPr>
      <w:r>
        <w:rPr>
          <w:b/>
          <w:bCs/>
          <w:sz w:val="21"/>
          <w:szCs w:val="21"/>
        </w:rPr>
        <w:t xml:space="preserve">Cómo termina el encargo</w:t>
      </w:r>
      <w:r>
        <w:rPr>
          <w:sz w:val="21"/>
          <w:szCs w:val="21"/>
        </w:rPr>
        <w:t xml:space="preserve"> y qué pasa si el cliente quiere ampliarlo.</w:t>
      </w:r>
    </w:p>
    <w:p>
      <w:pPr>
        <w:pStyle w:val="ListParagraph"/>
        <w:numPr>
          <w:ilvl w:val="0"/>
          <w:numId w:val="4"/>
        </w:numPr>
        <w:spacing w:after="70" w:line="264"/>
      </w:pPr>
      <w:r>
        <w:rPr>
          <w:b/>
          <w:bCs/>
          <w:sz w:val="21"/>
          <w:szCs w:val="21"/>
        </w:rPr>
        <w:t xml:space="preserve">La política de divulgación</w:t>
      </w:r>
      <w:r>
        <w:rPr>
          <w:sz w:val="21"/>
          <w:szCs w:val="21"/>
        </w:rPr>
        <w:t xml:space="preserve"> de la sección 5.1, para que el cliente sepa de antemano que el escrito llevará esa línea y por qué.</w:t>
      </w:r>
    </w:p>
    <w:p>
      <w:pPr>
        <w:spacing w:after="80"/>
      </w:pPr>
    </w:p>
    <w:p>
      <w:pPr>
        <w:spacing w:after="140" w:line="276"/>
      </w:pPr>
      <w:r>
        <w:rPr>
          <w:sz w:val="21"/>
          <w:szCs w:val="21"/>
        </w:rPr>
        <w:t xml:space="preserve">La claridad del alcance protege a las dos partes: al cliente, porque sabe exactamente qué compró; a la firma, porque el desbordamiento de alcance es una de las tres fugas de margen identificadas en el modelo de negocio, y aquí es también una fuente de queja.</w:t>
      </w:r>
    </w:p>
    <w:p>
      <w:pPr>
        <w:pStyle w:val="Heading2"/>
        <w:spacing w:after="140" w:before="320"/>
      </w:pPr>
      <w:r>
        <w:rPr>
          <w:rFonts w:ascii="Calibri" w:cs="Calibri" w:eastAsia="Calibri" w:hAnsi="Calibri"/>
          <w:b/>
          <w:bCs/>
          <w:color w:val="1F3864"/>
          <w:sz w:val="25"/>
          <w:szCs w:val="25"/>
        </w:rPr>
        <w:t xml:space="preserve">5.3 Lo que no cambia</w:t>
      </w:r>
    </w:p>
    <w:p>
      <w:pPr>
        <w:pStyle w:val="ListParagraph"/>
        <w:numPr>
          <w:ilvl w:val="0"/>
          <w:numId w:val="2"/>
        </w:numPr>
        <w:spacing w:after="70" w:line="264"/>
      </w:pPr>
      <w:r>
        <w:rPr>
          <w:b/>
          <w:bCs/>
          <w:sz w:val="21"/>
          <w:szCs w:val="21"/>
        </w:rPr>
        <w:t xml:space="preserve">Competencia.</w:t>
      </w:r>
      <w:r>
        <w:rPr>
          <w:sz w:val="21"/>
          <w:szCs w:val="21"/>
        </w:rPr>
        <w:t xml:space="preserve"> El deber de competencia técnica se aplica igual, y con más razón, cuando el cliente va a comparecer solo con lo que nosotros le dimos.</w:t>
      </w:r>
    </w:p>
    <w:p>
      <w:pPr>
        <w:pStyle w:val="ListParagraph"/>
        <w:numPr>
          <w:ilvl w:val="0"/>
          <w:numId w:val="2"/>
        </w:numPr>
        <w:spacing w:after="70" w:line="264"/>
      </w:pPr>
      <w:r>
        <w:rPr>
          <w:b/>
          <w:bCs/>
          <w:sz w:val="21"/>
          <w:szCs w:val="21"/>
        </w:rPr>
        <w:t xml:space="preserve">Supervisión.</w:t>
      </w:r>
      <w:r>
        <w:rPr>
          <w:sz w:val="21"/>
          <w:szCs w:val="21"/>
        </w:rPr>
        <w:t xml:space="preserve"> El trabajo del paralegal se hace bajo supervisión de abogado, con constancia de quién revisó qué y cuándo. Vale también para cualquier salida de un sistema automatizado.</w:t>
      </w:r>
    </w:p>
    <w:p>
      <w:pPr>
        <w:pStyle w:val="ListParagraph"/>
        <w:numPr>
          <w:ilvl w:val="0"/>
          <w:numId w:val="2"/>
        </w:numPr>
        <w:spacing w:after="70" w:line="264"/>
      </w:pPr>
      <w:r>
        <w:rPr>
          <w:b/>
          <w:bCs/>
          <w:sz w:val="21"/>
          <w:szCs w:val="21"/>
        </w:rPr>
        <w:t xml:space="preserve">Honorarios razonables</w:t>
      </w:r>
      <w:r>
        <w:rPr>
          <w:sz w:val="21"/>
          <w:szCs w:val="21"/>
        </w:rPr>
        <w:t xml:space="preserve"> y acuerdo escrito.</w:t>
      </w:r>
    </w:p>
    <w:p>
      <w:pPr>
        <w:pStyle w:val="ListParagraph"/>
        <w:numPr>
          <w:ilvl w:val="0"/>
          <w:numId w:val="2"/>
        </w:numPr>
        <w:spacing w:after="70" w:line="264"/>
      </w:pPr>
      <w:r>
        <w:rPr>
          <w:b/>
          <w:bCs/>
          <w:sz w:val="21"/>
          <w:szCs w:val="21"/>
        </w:rPr>
        <w:t xml:space="preserve">Confidencialidad</w:t>
      </w:r>
      <w:r>
        <w:rPr>
          <w:sz w:val="21"/>
          <w:szCs w:val="21"/>
        </w:rPr>
        <w:t xml:space="preserve">, con especial atención a qué información entra en qué herramienta.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6. La matriz por distrito — plantilla a completar</w:t>
      </w:r>
    </w:p>
    <w:p>
      <w:pPr>
        <w:spacing w:after="140" w:line="276"/>
      </w:pPr>
      <w:r>
        <w:rPr>
          <w:sz w:val="21"/>
          <w:szCs w:val="21"/>
        </w:rPr>
        <w:t xml:space="preserve">La nota de divulgación resuelve el grueso del riesgo, pero para los distritos donde presentamos con frecuencia conviene tener verificado el terreno. Esta tabla se rellena consultando </w:t>
      </w:r>
      <w:r>
        <w:rPr>
          <w:b/>
          <w:bCs/>
          <w:sz w:val="21"/>
          <w:szCs w:val="21"/>
        </w:rPr>
        <w:t xml:space="preserve">directamente el sitio del tribunal</w:t>
      </w:r>
      <w:r>
        <w:rPr>
          <w:sz w:val="21"/>
          <w:szCs w:val="21"/>
        </w:rPr>
        <w:t xml:space="preserve"> —reglas locales y órdenes permanentes—, no una base de jurisprudencia.</w:t>
      </w:r>
    </w:p>
    <w:p>
      <w:pPr>
        <w:spacing w:after="100"/>
      </w:pP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700"/>
        <w:gridCol w:w="900"/>
        <w:gridCol w:w="2400"/>
        <w:gridCol w:w="1800"/>
        <w:gridCol w:w="1660"/>
        <w:gridCol w:w="900"/>
      </w:tblGrid>
      <w:tr>
        <w:trPr>
          <w:tblHeader/>
        </w:trPr>
        <w:tc>
          <w:tcPr>
            <w:tcW w:type="dxa" w:w="1700"/>
            <w:shd w:fill="1F3864" w:val="clear"/>
            <w:tcMar>
              <w:top w:type="dxa" w:w="90"/>
              <w:left w:type="dxa" w:w="110"/>
              <w:bottom w:type="dxa" w:w="90"/>
              <w:right w:type="dxa" w:w="110"/>
            </w:tcMar>
          </w:tcPr>
          <w:p>
            <w:pPr>
              <w:spacing w:after="0" w:line="250"/>
            </w:pPr>
            <w:r>
              <w:rPr>
                <w:b/>
                <w:bCs/>
                <w:color w:val="FFFFFF"/>
                <w:sz w:val="19"/>
                <w:szCs w:val="19"/>
              </w:rPr>
              <w:t xml:space="preserve">Distrito</w:t>
            </w:r>
          </w:p>
        </w:tc>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Circuito</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Reglas locales revisadas (fecha)</w:t>
            </w:r>
          </w:p>
        </w:tc>
        <w:tc>
          <w:tcPr>
            <w:tcW w:type="dxa" w:w="1800"/>
            <w:shd w:fill="1F3864" w:val="clear"/>
            <w:tcMar>
              <w:top w:type="dxa" w:w="90"/>
              <w:left w:type="dxa" w:w="110"/>
              <w:bottom w:type="dxa" w:w="90"/>
              <w:right w:type="dxa" w:w="110"/>
            </w:tcMar>
          </w:tcPr>
          <w:p>
            <w:pPr>
              <w:spacing w:after="0" w:line="250"/>
            </w:pPr>
            <w:r>
              <w:rPr>
                <w:b/>
                <w:bCs/>
                <w:color w:val="FFFFFF"/>
                <w:sz w:val="19"/>
                <w:szCs w:val="19"/>
              </w:rPr>
              <w:t xml:space="preserve">¿Exige divulgación?</w:t>
            </w:r>
          </w:p>
        </w:tc>
        <w:tc>
          <w:tcPr>
            <w:tcW w:type="dxa" w:w="1660"/>
            <w:shd w:fill="1F3864" w:val="clear"/>
            <w:tcMar>
              <w:top w:type="dxa" w:w="90"/>
              <w:left w:type="dxa" w:w="110"/>
              <w:bottom w:type="dxa" w:w="90"/>
              <w:right w:type="dxa" w:w="110"/>
            </w:tcMar>
          </w:tcPr>
          <w:p>
            <w:pPr>
              <w:spacing w:after="0" w:line="250"/>
            </w:pPr>
            <w:r>
              <w:rPr>
                <w:b/>
                <w:bCs/>
                <w:color w:val="FFFFFF"/>
                <w:sz w:val="19"/>
                <w:szCs w:val="19"/>
              </w:rPr>
              <w:t xml:space="preserve">Forma aceptada</w:t>
            </w:r>
          </w:p>
        </w:tc>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Revisó</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S.D. Tex.</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FFFFF" w:val="clear"/>
            <w:tcMar>
              <w:top w:type="dxa" w:w="80"/>
              <w:left w:type="dxa" w:w="110"/>
              <w:bottom w:type="dxa" w:w="80"/>
              <w:right w:type="dxa" w:w="110"/>
            </w:tcMar>
            <w:vAlign w:val="center"/>
          </w:tcPr>
          <w:p>
            <w:pPr>
              <w:spacing w:after="0" w:line="250"/>
            </w:pPr>
          </w:p>
        </w:tc>
        <w:tc>
          <w:tcPr>
            <w:tcW w:type="dxa" w:w="1800"/>
            <w:shd w:fill="FFFFFF" w:val="clear"/>
            <w:tcMar>
              <w:top w:type="dxa" w:w="80"/>
              <w:left w:type="dxa" w:w="110"/>
              <w:bottom w:type="dxa" w:w="80"/>
              <w:right w:type="dxa" w:w="110"/>
            </w:tcMar>
            <w:vAlign w:val="center"/>
          </w:tcPr>
          <w:p>
            <w:pPr>
              <w:spacing w:after="0" w:line="250"/>
            </w:pPr>
          </w:p>
        </w:tc>
        <w:tc>
          <w:tcPr>
            <w:tcW w:type="dxa" w:w="1660"/>
            <w:shd w:fill="FFFFFF" w:val="clear"/>
            <w:tcMar>
              <w:top w:type="dxa" w:w="80"/>
              <w:left w:type="dxa" w:w="110"/>
              <w:bottom w:type="dxa" w:w="80"/>
              <w:right w:type="dxa" w:w="110"/>
            </w:tcMar>
            <w:vAlign w:val="center"/>
          </w:tcPr>
          <w:p>
            <w:pPr>
              <w:spacing w:after="0" w:line="250"/>
            </w:pPr>
          </w:p>
        </w:tc>
        <w:tc>
          <w:tcPr>
            <w:tcW w:type="dxa" w:w="900"/>
            <w:shd w:fill="FFFFFF" w:val="clear"/>
            <w:tcMar>
              <w:top w:type="dxa" w:w="80"/>
              <w:left w:type="dxa" w:w="110"/>
              <w:bottom w:type="dxa" w:w="80"/>
              <w:right w:type="dxa" w:w="110"/>
            </w:tcMar>
            <w:vAlign w:val="center"/>
          </w:tcPr>
          <w:p>
            <w:pPr>
              <w:spacing w:after="0" w:line="250"/>
            </w:pP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W.D. Tex.</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5F7FA" w:val="clear"/>
            <w:tcMar>
              <w:top w:type="dxa" w:w="80"/>
              <w:left w:type="dxa" w:w="110"/>
              <w:bottom w:type="dxa" w:w="80"/>
              <w:right w:type="dxa" w:w="110"/>
            </w:tcMar>
            <w:vAlign w:val="center"/>
          </w:tcPr>
          <w:p>
            <w:pPr>
              <w:spacing w:after="0" w:line="250"/>
            </w:pPr>
          </w:p>
        </w:tc>
        <w:tc>
          <w:tcPr>
            <w:tcW w:type="dxa" w:w="1800"/>
            <w:shd w:fill="F5F7FA" w:val="clear"/>
            <w:tcMar>
              <w:top w:type="dxa" w:w="80"/>
              <w:left w:type="dxa" w:w="110"/>
              <w:bottom w:type="dxa" w:w="80"/>
              <w:right w:type="dxa" w:w="110"/>
            </w:tcMar>
            <w:vAlign w:val="center"/>
          </w:tcPr>
          <w:p>
            <w:pPr>
              <w:spacing w:after="0" w:line="250"/>
            </w:pPr>
          </w:p>
        </w:tc>
        <w:tc>
          <w:tcPr>
            <w:tcW w:type="dxa" w:w="1660"/>
            <w:shd w:fill="F5F7FA" w:val="clear"/>
            <w:tcMar>
              <w:top w:type="dxa" w:w="80"/>
              <w:left w:type="dxa" w:w="110"/>
              <w:bottom w:type="dxa" w:w="80"/>
              <w:right w:type="dxa" w:w="110"/>
            </w:tcMar>
            <w:vAlign w:val="center"/>
          </w:tcPr>
          <w:p>
            <w:pPr>
              <w:spacing w:after="0" w:line="250"/>
            </w:pPr>
          </w:p>
        </w:tc>
        <w:tc>
          <w:tcPr>
            <w:tcW w:type="dxa" w:w="900"/>
            <w:shd w:fill="F5F7FA" w:val="clear"/>
            <w:tcMar>
              <w:top w:type="dxa" w:w="80"/>
              <w:left w:type="dxa" w:w="110"/>
              <w:bottom w:type="dxa" w:w="80"/>
              <w:right w:type="dxa" w:w="110"/>
            </w:tcMar>
            <w:vAlign w:val="center"/>
          </w:tcPr>
          <w:p>
            <w:pPr>
              <w:spacing w:after="0" w:line="250"/>
            </w:pP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N.D. Tex.</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FFFFF" w:val="clear"/>
            <w:tcMar>
              <w:top w:type="dxa" w:w="80"/>
              <w:left w:type="dxa" w:w="110"/>
              <w:bottom w:type="dxa" w:w="80"/>
              <w:right w:type="dxa" w:w="110"/>
            </w:tcMar>
            <w:vAlign w:val="center"/>
          </w:tcPr>
          <w:p>
            <w:pPr>
              <w:spacing w:after="0" w:line="250"/>
            </w:pPr>
          </w:p>
        </w:tc>
        <w:tc>
          <w:tcPr>
            <w:tcW w:type="dxa" w:w="1800"/>
            <w:shd w:fill="FFFFFF" w:val="clear"/>
            <w:tcMar>
              <w:top w:type="dxa" w:w="80"/>
              <w:left w:type="dxa" w:w="110"/>
              <w:bottom w:type="dxa" w:w="80"/>
              <w:right w:type="dxa" w:w="110"/>
            </w:tcMar>
            <w:vAlign w:val="center"/>
          </w:tcPr>
          <w:p>
            <w:pPr>
              <w:spacing w:after="0" w:line="250"/>
            </w:pPr>
          </w:p>
        </w:tc>
        <w:tc>
          <w:tcPr>
            <w:tcW w:type="dxa" w:w="1660"/>
            <w:shd w:fill="FFFFFF" w:val="clear"/>
            <w:tcMar>
              <w:top w:type="dxa" w:w="80"/>
              <w:left w:type="dxa" w:w="110"/>
              <w:bottom w:type="dxa" w:w="80"/>
              <w:right w:type="dxa" w:w="110"/>
            </w:tcMar>
            <w:vAlign w:val="center"/>
          </w:tcPr>
          <w:p>
            <w:pPr>
              <w:spacing w:after="0" w:line="250"/>
            </w:pPr>
          </w:p>
        </w:tc>
        <w:tc>
          <w:tcPr>
            <w:tcW w:type="dxa" w:w="900"/>
            <w:shd w:fill="FFFFFF" w:val="clear"/>
            <w:tcMar>
              <w:top w:type="dxa" w:w="80"/>
              <w:left w:type="dxa" w:w="110"/>
              <w:bottom w:type="dxa" w:w="80"/>
              <w:right w:type="dxa" w:w="110"/>
            </w:tcMar>
            <w:vAlign w:val="center"/>
          </w:tcPr>
          <w:p>
            <w:pPr>
              <w:spacing w:after="0" w:line="250"/>
            </w:pP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E.D. Tex.</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5F7FA" w:val="clear"/>
            <w:tcMar>
              <w:top w:type="dxa" w:w="80"/>
              <w:left w:type="dxa" w:w="110"/>
              <w:bottom w:type="dxa" w:w="80"/>
              <w:right w:type="dxa" w:w="110"/>
            </w:tcMar>
            <w:vAlign w:val="center"/>
          </w:tcPr>
          <w:p>
            <w:pPr>
              <w:spacing w:after="0" w:line="250"/>
            </w:pPr>
          </w:p>
        </w:tc>
        <w:tc>
          <w:tcPr>
            <w:tcW w:type="dxa" w:w="1800"/>
            <w:shd w:fill="F5F7FA" w:val="clear"/>
            <w:tcMar>
              <w:top w:type="dxa" w:w="80"/>
              <w:left w:type="dxa" w:w="110"/>
              <w:bottom w:type="dxa" w:w="80"/>
              <w:right w:type="dxa" w:w="110"/>
            </w:tcMar>
            <w:vAlign w:val="center"/>
          </w:tcPr>
          <w:p>
            <w:pPr>
              <w:spacing w:after="0" w:line="250"/>
            </w:pPr>
          </w:p>
        </w:tc>
        <w:tc>
          <w:tcPr>
            <w:tcW w:type="dxa" w:w="1660"/>
            <w:shd w:fill="F5F7FA" w:val="clear"/>
            <w:tcMar>
              <w:top w:type="dxa" w:w="80"/>
              <w:left w:type="dxa" w:w="110"/>
              <w:bottom w:type="dxa" w:w="80"/>
              <w:right w:type="dxa" w:w="110"/>
            </w:tcMar>
            <w:vAlign w:val="center"/>
          </w:tcPr>
          <w:p>
            <w:pPr>
              <w:spacing w:after="0" w:line="250"/>
            </w:pPr>
          </w:p>
        </w:tc>
        <w:tc>
          <w:tcPr>
            <w:tcW w:type="dxa" w:w="900"/>
            <w:shd w:fill="F5F7FA" w:val="clear"/>
            <w:tcMar>
              <w:top w:type="dxa" w:w="80"/>
              <w:left w:type="dxa" w:w="110"/>
              <w:bottom w:type="dxa" w:w="80"/>
              <w:right w:type="dxa" w:w="110"/>
            </w:tcMar>
            <w:vAlign w:val="center"/>
          </w:tcPr>
          <w:p>
            <w:pPr>
              <w:spacing w:after="0" w:line="250"/>
            </w:pP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W.D. La.</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FFFFF" w:val="clear"/>
            <w:tcMar>
              <w:top w:type="dxa" w:w="80"/>
              <w:left w:type="dxa" w:w="110"/>
              <w:bottom w:type="dxa" w:w="80"/>
              <w:right w:type="dxa" w:w="110"/>
            </w:tcMar>
            <w:vAlign w:val="center"/>
          </w:tcPr>
          <w:p>
            <w:pPr>
              <w:spacing w:after="0" w:line="250"/>
            </w:pPr>
          </w:p>
        </w:tc>
        <w:tc>
          <w:tcPr>
            <w:tcW w:type="dxa" w:w="1800"/>
            <w:shd w:fill="FFFFFF" w:val="clear"/>
            <w:tcMar>
              <w:top w:type="dxa" w:w="80"/>
              <w:left w:type="dxa" w:w="110"/>
              <w:bottom w:type="dxa" w:w="80"/>
              <w:right w:type="dxa" w:w="110"/>
            </w:tcMar>
            <w:vAlign w:val="center"/>
          </w:tcPr>
          <w:p>
            <w:pPr>
              <w:spacing w:after="0" w:line="250"/>
            </w:pPr>
          </w:p>
        </w:tc>
        <w:tc>
          <w:tcPr>
            <w:tcW w:type="dxa" w:w="1660"/>
            <w:shd w:fill="FFFFFF" w:val="clear"/>
            <w:tcMar>
              <w:top w:type="dxa" w:w="80"/>
              <w:left w:type="dxa" w:w="110"/>
              <w:bottom w:type="dxa" w:w="80"/>
              <w:right w:type="dxa" w:w="110"/>
            </w:tcMar>
            <w:vAlign w:val="center"/>
          </w:tcPr>
          <w:p>
            <w:pPr>
              <w:spacing w:after="0" w:line="250"/>
            </w:pPr>
          </w:p>
        </w:tc>
        <w:tc>
          <w:tcPr>
            <w:tcW w:type="dxa" w:w="900"/>
            <w:shd w:fill="FFFFFF" w:val="clear"/>
            <w:tcMar>
              <w:top w:type="dxa" w:w="80"/>
              <w:left w:type="dxa" w:w="110"/>
              <w:bottom w:type="dxa" w:w="80"/>
              <w:right w:type="dxa" w:w="110"/>
            </w:tcMar>
            <w:vAlign w:val="center"/>
          </w:tcPr>
          <w:p>
            <w:pPr>
              <w:spacing w:after="0" w:line="250"/>
            </w:pP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Quinto Circuito</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5.º</w:t>
            </w:r>
          </w:p>
        </w:tc>
        <w:tc>
          <w:tcPr>
            <w:tcW w:type="dxa" w:w="2400"/>
            <w:shd w:fill="F5F7FA" w:val="clear"/>
            <w:tcMar>
              <w:top w:type="dxa" w:w="80"/>
              <w:left w:type="dxa" w:w="110"/>
              <w:bottom w:type="dxa" w:w="80"/>
              <w:right w:type="dxa" w:w="110"/>
            </w:tcMar>
            <w:vAlign w:val="center"/>
          </w:tcPr>
          <w:p>
            <w:pPr>
              <w:spacing w:after="0" w:line="250"/>
            </w:pPr>
          </w:p>
        </w:tc>
        <w:tc>
          <w:tcPr>
            <w:tcW w:type="dxa" w:w="1800"/>
            <w:shd w:fill="F5F7FA" w:val="clear"/>
            <w:tcMar>
              <w:top w:type="dxa" w:w="80"/>
              <w:left w:type="dxa" w:w="110"/>
              <w:bottom w:type="dxa" w:w="80"/>
              <w:right w:type="dxa" w:w="110"/>
            </w:tcMar>
            <w:vAlign w:val="center"/>
          </w:tcPr>
          <w:p>
            <w:pPr>
              <w:spacing w:after="0" w:line="250"/>
            </w:pPr>
          </w:p>
        </w:tc>
        <w:tc>
          <w:tcPr>
            <w:tcW w:type="dxa" w:w="1660"/>
            <w:shd w:fill="F5F7FA" w:val="clear"/>
            <w:tcMar>
              <w:top w:type="dxa" w:w="80"/>
              <w:left w:type="dxa" w:w="110"/>
              <w:bottom w:type="dxa" w:w="80"/>
              <w:right w:type="dxa" w:w="110"/>
            </w:tcMar>
            <w:vAlign w:val="center"/>
          </w:tcPr>
          <w:p>
            <w:pPr>
              <w:spacing w:after="0" w:line="250"/>
            </w:pPr>
          </w:p>
        </w:tc>
        <w:tc>
          <w:tcPr>
            <w:tcW w:type="dxa" w:w="900"/>
            <w:shd w:fill="F5F7FA" w:val="clear"/>
            <w:tcMar>
              <w:top w:type="dxa" w:w="80"/>
              <w:left w:type="dxa" w:w="110"/>
              <w:bottom w:type="dxa" w:w="80"/>
              <w:right w:type="dxa" w:w="110"/>
            </w:tcMar>
            <w:vAlign w:val="center"/>
          </w:tcPr>
          <w:p>
            <w:pPr>
              <w:spacing w:after="0" w:line="250"/>
            </w:pPr>
          </w:p>
        </w:tc>
      </w:tr>
      <w:tr>
        <w:tc>
          <w:tcPr>
            <w:tcW w:type="dxa" w:w="1700"/>
            <w:shd w:fill="FFFFFF" w:val="clear"/>
            <w:tcMar>
              <w:top w:type="dxa" w:w="80"/>
              <w:left w:type="dxa" w:w="110"/>
              <w:bottom w:type="dxa" w:w="80"/>
              <w:right w:type="dxa" w:w="110"/>
            </w:tcMar>
            <w:vAlign w:val="center"/>
          </w:tcPr>
          <w:p>
            <w:pPr>
              <w:spacing w:after="0" w:line="250"/>
            </w:pPr>
          </w:p>
        </w:tc>
        <w:tc>
          <w:tcPr>
            <w:tcW w:type="dxa" w:w="900"/>
            <w:shd w:fill="FFFFFF" w:val="clear"/>
            <w:tcMar>
              <w:top w:type="dxa" w:w="80"/>
              <w:left w:type="dxa" w:w="110"/>
              <w:bottom w:type="dxa" w:w="80"/>
              <w:right w:type="dxa" w:w="110"/>
            </w:tcMar>
            <w:vAlign w:val="center"/>
          </w:tcPr>
          <w:p>
            <w:pPr>
              <w:spacing w:after="0" w:line="250"/>
            </w:pPr>
          </w:p>
        </w:tc>
        <w:tc>
          <w:tcPr>
            <w:tcW w:type="dxa" w:w="2400"/>
            <w:shd w:fill="FFFFFF" w:val="clear"/>
            <w:tcMar>
              <w:top w:type="dxa" w:w="80"/>
              <w:left w:type="dxa" w:w="110"/>
              <w:bottom w:type="dxa" w:w="80"/>
              <w:right w:type="dxa" w:w="110"/>
            </w:tcMar>
            <w:vAlign w:val="center"/>
          </w:tcPr>
          <w:p>
            <w:pPr>
              <w:spacing w:after="0" w:line="250"/>
            </w:pPr>
          </w:p>
        </w:tc>
        <w:tc>
          <w:tcPr>
            <w:tcW w:type="dxa" w:w="1800"/>
            <w:shd w:fill="FFFFFF" w:val="clear"/>
            <w:tcMar>
              <w:top w:type="dxa" w:w="80"/>
              <w:left w:type="dxa" w:w="110"/>
              <w:bottom w:type="dxa" w:w="80"/>
              <w:right w:type="dxa" w:w="110"/>
            </w:tcMar>
            <w:vAlign w:val="center"/>
          </w:tcPr>
          <w:p>
            <w:pPr>
              <w:spacing w:after="0" w:line="250"/>
            </w:pPr>
          </w:p>
        </w:tc>
        <w:tc>
          <w:tcPr>
            <w:tcW w:type="dxa" w:w="1660"/>
            <w:shd w:fill="FFFFFF" w:val="clear"/>
            <w:tcMar>
              <w:top w:type="dxa" w:w="80"/>
              <w:left w:type="dxa" w:w="110"/>
              <w:bottom w:type="dxa" w:w="80"/>
              <w:right w:type="dxa" w:w="110"/>
            </w:tcMar>
            <w:vAlign w:val="center"/>
          </w:tcPr>
          <w:p>
            <w:pPr>
              <w:spacing w:after="0" w:line="250"/>
            </w:pPr>
          </w:p>
        </w:tc>
        <w:tc>
          <w:tcPr>
            <w:tcW w:type="dxa" w:w="900"/>
            <w:shd w:fill="FFFFFF" w:val="clear"/>
            <w:tcMar>
              <w:top w:type="dxa" w:w="80"/>
              <w:left w:type="dxa" w:w="110"/>
              <w:bottom w:type="dxa" w:w="80"/>
              <w:right w:type="dxa" w:w="110"/>
            </w:tcMar>
            <w:vAlign w:val="center"/>
          </w:tcPr>
          <w:p>
            <w:pPr>
              <w:spacing w:after="0" w:line="250"/>
            </w:pPr>
          </w:p>
        </w:tc>
      </w:tr>
      <w:tr>
        <w:tc>
          <w:tcPr>
            <w:tcW w:type="dxa" w:w="1700"/>
            <w:shd w:fill="F5F7FA" w:val="clear"/>
            <w:tcMar>
              <w:top w:type="dxa" w:w="80"/>
              <w:left w:type="dxa" w:w="110"/>
              <w:bottom w:type="dxa" w:w="80"/>
              <w:right w:type="dxa" w:w="110"/>
            </w:tcMar>
            <w:vAlign w:val="center"/>
          </w:tcPr>
          <w:p>
            <w:pPr>
              <w:spacing w:after="0" w:line="250"/>
            </w:pPr>
          </w:p>
        </w:tc>
        <w:tc>
          <w:tcPr>
            <w:tcW w:type="dxa" w:w="900"/>
            <w:shd w:fill="F5F7FA" w:val="clear"/>
            <w:tcMar>
              <w:top w:type="dxa" w:w="80"/>
              <w:left w:type="dxa" w:w="110"/>
              <w:bottom w:type="dxa" w:w="80"/>
              <w:right w:type="dxa" w:w="110"/>
            </w:tcMar>
            <w:vAlign w:val="center"/>
          </w:tcPr>
          <w:p>
            <w:pPr>
              <w:spacing w:after="0" w:line="250"/>
            </w:pPr>
          </w:p>
        </w:tc>
        <w:tc>
          <w:tcPr>
            <w:tcW w:type="dxa" w:w="2400"/>
            <w:shd w:fill="F5F7FA" w:val="clear"/>
            <w:tcMar>
              <w:top w:type="dxa" w:w="80"/>
              <w:left w:type="dxa" w:w="110"/>
              <w:bottom w:type="dxa" w:w="80"/>
              <w:right w:type="dxa" w:w="110"/>
            </w:tcMar>
            <w:vAlign w:val="center"/>
          </w:tcPr>
          <w:p>
            <w:pPr>
              <w:spacing w:after="0" w:line="250"/>
            </w:pPr>
          </w:p>
        </w:tc>
        <w:tc>
          <w:tcPr>
            <w:tcW w:type="dxa" w:w="1800"/>
            <w:shd w:fill="F5F7FA" w:val="clear"/>
            <w:tcMar>
              <w:top w:type="dxa" w:w="80"/>
              <w:left w:type="dxa" w:w="110"/>
              <w:bottom w:type="dxa" w:w="80"/>
              <w:right w:type="dxa" w:w="110"/>
            </w:tcMar>
            <w:vAlign w:val="center"/>
          </w:tcPr>
          <w:p>
            <w:pPr>
              <w:spacing w:after="0" w:line="250"/>
            </w:pPr>
          </w:p>
        </w:tc>
        <w:tc>
          <w:tcPr>
            <w:tcW w:type="dxa" w:w="1660"/>
            <w:shd w:fill="F5F7FA" w:val="clear"/>
            <w:tcMar>
              <w:top w:type="dxa" w:w="80"/>
              <w:left w:type="dxa" w:w="110"/>
              <w:bottom w:type="dxa" w:w="80"/>
              <w:right w:type="dxa" w:w="110"/>
            </w:tcMar>
            <w:vAlign w:val="center"/>
          </w:tcPr>
          <w:p>
            <w:pPr>
              <w:spacing w:after="0" w:line="250"/>
            </w:pPr>
          </w:p>
        </w:tc>
        <w:tc>
          <w:tcPr>
            <w:tcW w:type="dxa" w:w="900"/>
            <w:shd w:fill="F5F7FA" w:val="clear"/>
            <w:tcMar>
              <w:top w:type="dxa" w:w="80"/>
              <w:left w:type="dxa" w:w="110"/>
              <w:bottom w:type="dxa" w:w="80"/>
              <w:right w:type="dxa" w:w="110"/>
            </w:tcMar>
            <w:vAlign w:val="center"/>
          </w:tcPr>
          <w:p>
            <w:pPr>
              <w:spacing w:after="0" w:line="250"/>
            </w:pPr>
          </w:p>
        </w:tc>
      </w:tr>
    </w:tbl>
    <w:p>
      <w:pPr>
        <w:spacing w:after="160"/>
      </w:pPr>
    </w:p>
    <w:p>
      <w:pPr>
        <w:pStyle w:val="Heading2"/>
        <w:spacing w:after="140" w:before="320"/>
      </w:pPr>
      <w:r>
        <w:rPr>
          <w:rFonts w:ascii="Calibri" w:cs="Calibri" w:eastAsia="Calibri" w:hAnsi="Calibri"/>
          <w:b/>
          <w:bCs/>
          <w:color w:val="1F3864"/>
          <w:sz w:val="25"/>
          <w:szCs w:val="25"/>
        </w:rPr>
        <w:t xml:space="preserve">6.1 Cómo mantenerla viva</w:t>
      </w:r>
    </w:p>
    <w:p>
      <w:pPr>
        <w:pStyle w:val="ListParagraph"/>
        <w:numPr>
          <w:ilvl w:val="0"/>
          <w:numId w:val="2"/>
        </w:numPr>
        <w:spacing w:after="70" w:line="264"/>
      </w:pPr>
      <w:r>
        <w:rPr>
          <w:b/>
          <w:bCs/>
          <w:sz w:val="21"/>
          <w:szCs w:val="21"/>
        </w:rPr>
        <w:t xml:space="preserve">Revisión anual con fecha fija.</w:t>
      </w:r>
      <w:r>
        <w:rPr>
          <w:sz w:val="21"/>
          <w:szCs w:val="21"/>
        </w:rPr>
        <w:t xml:space="preserve"> Una regla local nueva no avisa.</w:t>
      </w:r>
    </w:p>
    <w:p>
      <w:pPr>
        <w:pStyle w:val="ListParagraph"/>
        <w:numPr>
          <w:ilvl w:val="0"/>
          <w:numId w:val="2"/>
        </w:numPr>
        <w:spacing w:after="70" w:line="264"/>
      </w:pPr>
      <w:r>
        <w:rPr>
          <w:b/>
          <w:bCs/>
          <w:sz w:val="21"/>
          <w:szCs w:val="21"/>
        </w:rPr>
        <w:t xml:space="preserve">Revisión adicional al entrar en un distrito nuevo</w:t>
      </w:r>
      <w:r>
        <w:rPr>
          <w:sz w:val="21"/>
          <w:szCs w:val="21"/>
        </w:rPr>
        <w:t xml:space="preserve">, antes de la primera presentación, no después.</w:t>
      </w:r>
    </w:p>
    <w:p>
      <w:pPr>
        <w:pStyle w:val="ListParagraph"/>
        <w:numPr>
          <w:ilvl w:val="0"/>
          <w:numId w:val="2"/>
        </w:numPr>
        <w:spacing w:after="70" w:line="264"/>
      </w:pPr>
      <w:r>
        <w:rPr>
          <w:b/>
          <w:bCs/>
          <w:sz w:val="21"/>
          <w:szCs w:val="21"/>
        </w:rPr>
        <w:t xml:space="preserve">Registro de quién revisó y cuándo.</w:t>
      </w:r>
      <w:r>
        <w:rPr>
          <w:sz w:val="21"/>
          <w:szCs w:val="21"/>
        </w:rPr>
        <w:t xml:space="preserve"> Si algún día hay que demostrar diligencia, la fecha es la prueba.</w:t>
      </w:r>
    </w:p>
    <w:p>
      <w:pPr>
        <w:spacing w:after="140"/>
      </w:pPr>
    </w:p>
    <w:p>
      <w:pPr>
        <w:pStyle w:val="Heading1"/>
        <w:pBdr>
          <w:bottom w:val="single" w:color="1F3864" w:sz="10" w:space="6"/>
        </w:pBdr>
        <w:spacing w:after="200" w:before="480"/>
      </w:pPr>
      <w:r>
        <w:rPr>
          <w:rFonts w:ascii="Calibri" w:cs="Calibri" w:eastAsia="Calibri" w:hAnsi="Calibri"/>
          <w:b/>
          <w:bCs/>
          <w:color w:val="1F3864"/>
          <w:sz w:val="32"/>
          <w:szCs w:val="32"/>
        </w:rPr>
        <w:t xml:space="preserve">7. Alcance y límites de esta nota</w:t>
      </w:r>
    </w:p>
    <w:p>
      <w:pPr>
        <w:pStyle w:val="ListParagraph"/>
        <w:numPr>
          <w:ilvl w:val="0"/>
          <w:numId w:val="2"/>
        </w:numPr>
        <w:spacing w:after="70" w:line="264"/>
      </w:pPr>
      <w:r>
        <w:rPr>
          <w:b/>
          <w:bCs/>
          <w:sz w:val="21"/>
          <w:szCs w:val="21"/>
        </w:rPr>
        <w:t xml:space="preserve">No es una opinión legal</w:t>
      </w:r>
      <w:r>
        <w:rPr>
          <w:sz w:val="21"/>
          <w:szCs w:val="21"/>
        </w:rPr>
        <w:t xml:space="preserve"> ni sustituye la verificación del texto vigente de cada autoridad citada.</w:t>
      </w:r>
    </w:p>
    <w:p>
      <w:pPr>
        <w:pStyle w:val="ListParagraph"/>
        <w:numPr>
          <w:ilvl w:val="0"/>
          <w:numId w:val="2"/>
        </w:numPr>
        <w:spacing w:after="70" w:line="264"/>
      </w:pPr>
      <w:r>
        <w:rPr>
          <w:b/>
          <w:bCs/>
          <w:sz w:val="21"/>
          <w:szCs w:val="21"/>
        </w:rPr>
        <w:t xml:space="preserve">No verifica reglas locales ni órdenes permanentes de ningún tribunal.</w:t>
      </w:r>
      <w:r>
        <w:rPr>
          <w:sz w:val="21"/>
          <w:szCs w:val="21"/>
        </w:rPr>
        <w:t xml:space="preserve"> Esa verificación es la sección 6 y está pendiente.</w:t>
      </w:r>
    </w:p>
    <w:p>
      <w:pPr>
        <w:pStyle w:val="ListParagraph"/>
        <w:numPr>
          <w:ilvl w:val="0"/>
          <w:numId w:val="2"/>
        </w:numPr>
        <w:spacing w:after="70" w:line="264"/>
      </w:pPr>
      <w:r>
        <w:rPr>
          <w:b/>
          <w:bCs/>
          <w:sz w:val="21"/>
          <w:szCs w:val="21"/>
        </w:rPr>
        <w:t xml:space="preserve">Se apoya en la base de opiniones de CourtListener</w:t>
      </w:r>
      <w:r>
        <w:rPr>
          <w:sz w:val="21"/>
          <w:szCs w:val="21"/>
        </w:rPr>
        <w:t xml:space="preserve">, cuya cobertura de tribunales de distrito es incompleta.</w:t>
      </w:r>
    </w:p>
    <w:p>
      <w:pPr>
        <w:pStyle w:val="ListParagraph"/>
        <w:numPr>
          <w:ilvl w:val="0"/>
          <w:numId w:val="2"/>
        </w:numPr>
        <w:spacing w:after="70" w:line="264"/>
      </w:pPr>
      <w:r>
        <w:rPr>
          <w:b/>
          <w:bCs/>
          <w:sz w:val="21"/>
          <w:szCs w:val="21"/>
        </w:rPr>
        <w:t xml:space="preserve">No aborda el régimen disciplinario propio de EOIR y USCIS</w:t>
      </w:r>
      <w:r>
        <w:rPr>
          <w:sz w:val="21"/>
          <w:szCs w:val="21"/>
        </w:rPr>
        <w:t xml:space="preserve">, que es adicional al del colegio estatal y merece su propia revisión.</w:t>
      </w:r>
    </w:p>
    <w:p>
      <w:pPr>
        <w:pStyle w:val="ListParagraph"/>
        <w:numPr>
          <w:ilvl w:val="0"/>
          <w:numId w:val="2"/>
        </w:numPr>
        <w:spacing w:after="70" w:line="264"/>
      </w:pPr>
      <w:r>
        <w:rPr>
          <w:b/>
          <w:bCs/>
          <w:sz w:val="21"/>
          <w:szCs w:val="21"/>
        </w:rPr>
        <w:t xml:space="preserve">Las citas deben confirmarse</w:t>
      </w:r>
      <w:r>
        <w:rPr>
          <w:sz w:val="21"/>
          <w:szCs w:val="21"/>
        </w:rPr>
        <w:t xml:space="preserve"> antes de apoyar en ellas cualquier decisión operativa.</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Resumen en tres líneas</w:t>
            </w:r>
          </w:p>
          <w:p>
            <w:pPr>
              <w:spacing w:after="90" w:line="264"/>
            </w:pPr>
            <w:r>
              <w:rPr>
                <w:b/>
                <w:bCs/>
                <w:sz w:val="21"/>
                <w:szCs w:val="21"/>
              </w:rPr>
              <w:t xml:space="preserve">1.</w:t>
            </w:r>
            <w:r>
              <w:rPr>
                <w:sz w:val="21"/>
                <w:szCs w:val="21"/>
              </w:rPr>
              <w:t xml:space="preserve"> No hay regla uniforme; el Quinto Circuito no se ha pronunciado; el vacío es una posición sin resolver, no una autorización.</w:t>
            </w:r>
          </w:p>
          <w:p>
            <w:pPr>
              <w:spacing w:after="90" w:line="264"/>
            </w:pPr>
            <w:r>
              <w:rPr>
                <w:b/>
                <w:bCs/>
                <w:sz w:val="21"/>
                <w:szCs w:val="21"/>
              </w:rPr>
              <w:t xml:space="preserve">2.</w:t>
            </w:r>
            <w:r>
              <w:rPr>
                <w:sz w:val="21"/>
                <w:szCs w:val="21"/>
              </w:rPr>
              <w:t xml:space="preserve"> Adoptar la nota de divulgación en todos los escritos elimina casi todo el riesgo, cuesta cero y no toca el margen.</w:t>
            </w:r>
          </w:p>
          <w:p>
            <w:pPr>
              <w:spacing w:after="90" w:line="264"/>
            </w:pPr>
            <w:r>
              <w:rPr>
                <w:b/>
                <w:bCs/>
                <w:sz w:val="21"/>
                <w:szCs w:val="21"/>
              </w:rPr>
              <w:t xml:space="preserve">3.</w:t>
            </w:r>
            <w:r>
              <w:rPr>
                <w:sz w:val="21"/>
                <w:szCs w:val="21"/>
              </w:rPr>
              <w:t xml:space="preserve"> Queda pendiente verificar reglas locales en los distritos donde presentamos, y decidir por separado el tratamiento de escritos de apelación.</w:t>
            </w:r>
          </w:p>
        </w:tc>
      </w:tr>
    </w:tbl>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C" w:sz="4" w:space="8"/>
      </w:pBdr>
      <w:jc w:val="center"/>
    </w:pPr>
    <w:r>
      <w:rPr>
        <w:color w:val="8A94A6"/>
        <w:sz w:val="15"/>
        <w:szCs w:val="15"/>
      </w:rPr>
      <w:t xml:space="preserve">Law Offices of Jose R. Santiago, PLLC  ·  Nota de cumplimiento  ·  Documento interno  ·  </w:t>
    </w:r>
    <w:r>
      <w:rPr>
        <w:color w:val="8A94A6"/>
        <w:sz w:val="15"/>
        <w:szCs w:val="15"/>
      </w:rPr>
      <w:fldChar w:fldCharType="begin"/>
      <w:instrText xml:space="preserve">PAGE</w:instrText>
      <w:fldChar w:fldCharType="separate"/>
      <w:fldChar w:fldCharType="end"/>
    </w:r>
    <w:r>
      <w:rPr>
        <w:color w:val="8A94A6"/>
        <w:sz w:val="15"/>
        <w:szCs w:val="15"/>
      </w:rPr>
      <w:t xml:space="preserve"> / </w:t>
    </w:r>
    <w:r>
      <w:rPr>
        <w:color w:val="8A94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9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 cumplimiento — Preparación de escritos presentados pro se</dc:title>
  <dc:creator>Law Offices of Jose R. Santiago, PLLC</dc:creator>
  <dc:description>Nota de cumplimiento — Law Offices of Jose R. Santiago, PLLC</dc:description>
  <cp:lastModifiedBy>Un-named</cp:lastModifiedBy>
  <cp:revision>1</cp:revision>
  <dcterms:created xsi:type="dcterms:W3CDTF">2026-07-29T15:41:06.790Z</dcterms:created>
  <dcterms:modified xsi:type="dcterms:W3CDTF">2026-07-29T15:41:06.790Z</dcterms:modified>
</cp:coreProperties>
</file>

<file path=docProps/custom.xml><?xml version="1.0" encoding="utf-8"?>
<Properties xmlns="http://schemas.openxmlformats.org/officeDocument/2006/custom-properties" xmlns:vt="http://schemas.openxmlformats.org/officeDocument/2006/docPropsVTypes"/>
</file>