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7de2ba66ec0cb5042d730aec0c8ac594bd83adf"/>
    <w:p>
      <w:pPr>
        <w:pStyle w:val="Heading1"/>
      </w:pPr>
      <w:r>
        <w:t xml:space="preserve">Plan Maestro — Resolución de Cartera y Protección de la Firma</w:t>
      </w:r>
    </w:p>
    <w:bookmarkStart w:id="20" w:name="Xfa31ce85cb86833c2b36caf1f971e6fb9ec4ade"/>
    <w:p>
      <w:pPr>
        <w:pStyle w:val="Heading2"/>
      </w:pPr>
      <w:r>
        <w:t xml:space="preserve">Propuesta del Equipo Multidisciplinario · Para la Junta Directiva · Law Offices Santiago</w:t>
      </w:r>
    </w:p>
    <w:p>
      <w:pPr>
        <w:pStyle w:val="FirstParagraph"/>
      </w:pPr>
      <w:r>
        <w:rPr>
          <w:bCs/>
          <w:b/>
        </w:rPr>
        <w:t xml:space="preserve">Presentado por:</w:t>
      </w:r>
      <w:r>
        <w:t xml:space="preserve"> </w:t>
      </w:r>
      <w:r>
        <w:t xml:space="preserve">Equipo de Resolución de Cartera (Legal · Contabilidad · Cuentas por Cobrar · Cobranza)</w:t>
      </w:r>
      <w:r>
        <w:t xml:space="preserve"> </w:t>
      </w:r>
      <w:r>
        <w:rPr>
          <w:bCs/>
          <w:b/>
        </w:rPr>
        <w:t xml:space="preserve">Asunto:</w:t>
      </w:r>
      <w:r>
        <w:t xml:space="preserve"> </w:t>
      </w:r>
      <w:r>
        <w:t xml:space="preserve">Sistema para resolver ~800 cuentas de cartera vencida y</w:t>
      </w:r>
      <w:r>
        <w:t xml:space="preserve"> </w:t>
      </w:r>
      <w:r>
        <w:rPr>
          <w:bCs/>
          <w:b/>
        </w:rPr>
        <w:t xml:space="preserve">proteger a la firma</w:t>
      </w:r>
      <w:r>
        <w:t xml:space="preserve"> </w:t>
      </w:r>
      <w:r>
        <w:t xml:space="preserve">frente al riesgo regulatorio y judicial</w:t>
      </w:r>
      <w:r>
        <w:t xml:space="preserve"> </w:t>
      </w:r>
      <w:r>
        <w:rPr>
          <w:bCs/>
          <w:b/>
        </w:rPr>
        <w:t xml:space="preserve">Horizonte:</w:t>
      </w:r>
      <w:r>
        <w:t xml:space="preserve"> </w:t>
      </w:r>
      <w:r>
        <w:t xml:space="preserve">6 meses</w:t>
      </w:r>
      <w:r>
        <w:t xml:space="preserve"> </w:t>
      </w:r>
      <w:r>
        <w:rPr>
          <w:bCs/>
          <w:b/>
        </w:rPr>
        <w:t xml:space="preserve">Naturaleza:</w:t>
      </w:r>
      <w:r>
        <w:t xml:space="preserve"> </w:t>
      </w:r>
      <w:r>
        <w:t xml:space="preserve">Recomendación institucional del equipo — se solicitan aprobaciones de la Junta (Sección 9)</w:t>
      </w:r>
    </w:p>
    <w:p>
      <w:pPr>
        <w:pStyle w:val="BlockText"/>
      </w:pPr>
      <w:r>
        <w:rPr>
          <w:iCs/>
          <w:i/>
        </w:rPr>
        <w:t xml:space="preserve">Este documento es una recomendación conjunta de un equipo multidisciplinario de la firma. No refleja la posición de una sola persona ni un señalamiento a ningún área; es el resultado de un análisis colaborativo orientado a proteger a la firma y a fortalecer su operación.</w:t>
      </w:r>
    </w:p>
    <w:p>
      <w:r>
        <w:pict>
          <v:rect style="width:0;height:1.5pt" o:hralign="center" o:hrstd="t" o:hr="t"/>
        </w:pict>
      </w:r>
    </w:p>
    <w:bookmarkEnd w:id="20"/>
    <w:bookmarkStart w:id="21" w:name="resumen-ejecutivo"/>
    <w:p>
      <w:pPr>
        <w:pStyle w:val="Heading2"/>
      </w:pPr>
      <w:r>
        <w:t xml:space="preserve">1. Resumen ejecutivo</w:t>
      </w:r>
    </w:p>
    <w:p>
      <w:pPr>
        <w:pStyle w:val="FirstParagraph"/>
      </w:pPr>
      <w:r>
        <w:t xml:space="preserve">La firma administra aproximadamente</w:t>
      </w:r>
      <w:r>
        <w:t xml:space="preserve"> </w:t>
      </w:r>
      <w:r>
        <w:rPr>
          <w:bCs/>
          <w:b/>
        </w:rPr>
        <w:t xml:space="preserve">800 cuentas</w:t>
      </w:r>
      <w:r>
        <w:t xml:space="preserve"> </w:t>
      </w:r>
      <w:r>
        <w:t xml:space="preserve">con saldos vencidos que suman</w:t>
      </w:r>
      <w:r>
        <w:t xml:space="preserve"> </w:t>
      </w:r>
      <w:r>
        <w:rPr>
          <w:bCs/>
          <w:b/>
        </w:rPr>
        <w:t xml:space="preserve">más de $1,000,000</w:t>
      </w:r>
      <w:r>
        <w:t xml:space="preserve">. El equipo que suscribe esta propuesta —integrado por las áreas Legal, Contabilidad, Cuentas por Cobrar y Cobranza— coincide en que la prioridad no es únicamente el monto, sino la</w:t>
      </w:r>
      <w:r>
        <w:t xml:space="preserve"> </w:t>
      </w:r>
      <w:r>
        <w:rPr>
          <w:bCs/>
          <w:b/>
        </w:rPr>
        <w:t xml:space="preserve">exposición institucional</w:t>
      </w:r>
      <w:r>
        <w:t xml:space="preserve">: la forma en que la firma gestiona los casos de clientes que dejaron de pagar está siendo observada por los tribunales de inmigración (EOIR) y puede derivar en</w:t>
      </w:r>
      <w:r>
        <w:t xml:space="preserve"> </w:t>
      </w:r>
      <w:r>
        <w:rPr>
          <w:bCs/>
          <w:b/>
        </w:rPr>
        <w:t xml:space="preserve">quejas ante el colegio de abogados (bar), reclamos de asistencia ineficaz y sanciones judiciales</w:t>
      </w:r>
      <w:r>
        <w:t xml:space="preserve">.</w:t>
      </w:r>
    </w:p>
    <w:p>
      <w:pPr>
        <w:pStyle w:val="BodyText"/>
      </w:pPr>
      <w:r>
        <w:t xml:space="preserve">El diagnóstico compartido del equipo es claro:</w:t>
      </w:r>
      <w:r>
        <w:t xml:space="preserve"> </w:t>
      </w:r>
      <w:r>
        <w:rPr>
          <w:bCs/>
          <w:b/>
        </w:rPr>
        <w:t xml:space="preserve">este es un reto de proceso y de capacidad, no de personas.</w:t>
      </w:r>
      <w:r>
        <w:t xml:space="preserve"> </w:t>
      </w:r>
      <w:r>
        <w:t xml:space="preserve">El volumen de cuentas creció por encima de la capacidad del sistema actual para resolverlas a tiempo — una consecuencia natural del crecimiento de la firma. La respuesta que proponemos no mira hacia atrás:</w:t>
      </w:r>
      <w:r>
        <w:t xml:space="preserve"> </w:t>
      </w:r>
      <w:r>
        <w:rPr>
          <w:bCs/>
          <w:b/>
        </w:rPr>
        <w:t xml:space="preserve">instala un sistema</w:t>
      </w:r>
      <w:r>
        <w:t xml:space="preserve"> </w:t>
      </w:r>
      <w:r>
        <w:t xml:space="preserve">que resuelva cada caso por una de dos vías legítimas (</w:t>
      </w:r>
      <w:r>
        <w:rPr>
          <w:bCs/>
          <w:b/>
        </w:rPr>
        <w:t xml:space="preserve">cobrar</w:t>
      </w:r>
      <w:r>
        <w:t xml:space="preserve"> </w:t>
      </w:r>
      <w:r>
        <w:t xml:space="preserve">lo devengado o</w:t>
      </w:r>
      <w:r>
        <w:t xml:space="preserve"> </w:t>
      </w:r>
      <w:r>
        <w:rPr>
          <w:bCs/>
          <w:b/>
        </w:rPr>
        <w:t xml:space="preserve">retirarse conforme a la Corte</w:t>
      </w:r>
      <w:r>
        <w:t xml:space="preserve">) y</w:t>
      </w:r>
      <w:r>
        <w:t xml:space="preserve"> </w:t>
      </w:r>
      <w:r>
        <w:rPr>
          <w:bCs/>
          <w:b/>
        </w:rPr>
        <w:t xml:space="preserve">blinde a la firma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Lo que el equipo solicita a la Junta:</w:t>
      </w:r>
      <w:r>
        <w:t xml:space="preserve"> </w:t>
      </w:r>
      <w:r>
        <w:t xml:space="preserve">avalar el sistema, la política de</w:t>
      </w:r>
      <w:r>
        <w:t xml:space="preserve"> </w:t>
      </w:r>
      <w:r>
        <w:t xml:space="preserve">“</w:t>
      </w:r>
      <w:r>
        <w:t xml:space="preserve">cobrar o retirarse bien</w:t>
      </w:r>
      <w:r>
        <w:t xml:space="preserve">”</w:t>
      </w:r>
      <w:r>
        <w:t xml:space="preserve">, la estructura de trabajo y la autoridad para ejecutarlo en 6 meses (Sección 9).</w:t>
      </w:r>
    </w:p>
    <w:p>
      <w:r>
        <w:pict>
          <v:rect style="width:0;height:1.5pt" o:hralign="center" o:hrstd="t" o:hr="t"/>
        </w:pict>
      </w:r>
    </w:p>
    <w:bookmarkEnd w:id="21"/>
    <w:bookmarkStart w:id="22" w:name="la-situación-hechos"/>
    <w:p>
      <w:pPr>
        <w:pStyle w:val="Heading2"/>
      </w:pPr>
      <w:r>
        <w:t xml:space="preserve">2. La situación (hechos)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Indicador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actual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vencidas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 $1,000,000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Saldo promedio por cuenta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~$1,250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Naturaleza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Alto volumen, saldo bajo por caso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Regulatoria (bar), judicial (EOIR), reputacional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del equipo (sin personalizar):</w:t>
      </w:r>
      <w:r>
        <w:t xml:space="preserve"> </w:t>
      </w:r>
      <w:r>
        <w:t xml:space="preserve">cuando el volumen de cuentas crece más rápido que el proceso diseñado para atenderlas, se acumula un rezago. Es un fenómeno estructural y</w:t>
      </w:r>
      <w:r>
        <w:t xml:space="preserve"> </w:t>
      </w:r>
      <w:r>
        <w:rPr>
          <w:bCs/>
          <w:b/>
        </w:rPr>
        <w:t xml:space="preserve">predecible</w:t>
      </w:r>
      <w:r>
        <w:t xml:space="preserve"> </w:t>
      </w:r>
      <w:r>
        <w:t xml:space="preserve">en toda firma en expansión — no una falla de ninguna persona ni de ninguna área. El mérito de traer esto a la Junta hoy es precisamente</w:t>
      </w:r>
      <w:r>
        <w:t xml:space="preserve"> </w:t>
      </w:r>
      <w:r>
        <w:rPr>
          <w:bCs/>
          <w:b/>
        </w:rPr>
        <w:t xml:space="preserve">anticiparse</w:t>
      </w:r>
      <w:r>
        <w:t xml:space="preserve"> </w:t>
      </w:r>
      <w:r>
        <w:t xml:space="preserve">y corregir el rumbo por iniciativa propia.</w:t>
      </w:r>
    </w:p>
    <w:p>
      <w:r>
        <w:pict>
          <v:rect style="width:0;height:1.5pt" o:hralign="center" o:hrstd="t" o:hr="t"/>
        </w:pict>
      </w:r>
    </w:p>
    <w:bookmarkEnd w:id="22"/>
    <w:bookmarkStart w:id="23" w:name="Xce9044ef4cbf4ae2a94463515619e1a585864ba"/>
    <w:p>
      <w:pPr>
        <w:pStyle w:val="Heading2"/>
      </w:pPr>
      <w:r>
        <w:t xml:space="preserve">3. Por qué es urgente ahora (el riesgo viene de afuera)</w:t>
      </w:r>
    </w:p>
    <w:p>
      <w:pPr>
        <w:pStyle w:val="FirstParagraph"/>
      </w:pPr>
      <w:r>
        <w:t xml:space="preserve">La urgencia no es una postura interna — la define la</w:t>
      </w:r>
      <w:r>
        <w:t xml:space="preserve"> </w:t>
      </w:r>
      <w:r>
        <w:rPr>
          <w:bCs/>
          <w:b/>
        </w:rPr>
        <w:t xml:space="preserve">realidad externa</w:t>
      </w:r>
      <w:r>
        <w:t xml:space="preserve">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jueces de inmigración</w:t>
      </w:r>
      <w:r>
        <w:t xml:space="preserve"> </w:t>
      </w:r>
      <w:r>
        <w:t xml:space="preserve">han manifestado inconformidad con mociones de retiro presentadas sin la documentación adecuada. Cada moción deficiente erosiona la credibilidad de la firma ante la Corte.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ante el bar:</w:t>
      </w:r>
      <w:r>
        <w:t xml:space="preserve"> </w:t>
      </w:r>
      <w:r>
        <w:t xml:space="preserve">cobrar honorarios no devengados o terminar una representación sin el debido proceso son de las causas más frecuentes de quejas disciplinarias.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Riesgo de asistencia ineficaz:</w:t>
      </w:r>
      <w:r>
        <w:t xml:space="preserve"> </w:t>
      </w:r>
      <w:r>
        <w:t xml:space="preserve">dejar a un cliente sin representación cerca de una audiencia puede generar reclamos serios.</w:t>
      </w:r>
    </w:p>
    <w:p>
      <w:pPr>
        <w:pStyle w:val="FirstParagraph"/>
      </w:pPr>
      <w:r>
        <w:rPr>
          <w:bCs/>
          <w:b/>
        </w:rPr>
        <w:t xml:space="preserve">El costo de no actuar crece cada semana</w:t>
      </w:r>
      <w:r>
        <w:t xml:space="preserve"> </w:t>
      </w:r>
      <w:r>
        <w:t xml:space="preserve">que una cuenta con audiencia próxima permanece sin resolver. Por eso el equipo eleva el tema a la Junta ahora.</w:t>
      </w:r>
    </w:p>
    <w:p>
      <w:r>
        <w:pict>
          <v:rect style="width:0;height:1.5pt" o:hralign="center" o:hrstd="t" o:hr="t"/>
        </w:pict>
      </w:r>
    </w:p>
    <w:bookmarkEnd w:id="23"/>
    <w:bookmarkStart w:id="24" w:name="X07184af70622dc7b9d50b09643cf5f5ed162eef"/>
    <w:p>
      <w:pPr>
        <w:pStyle w:val="Heading2"/>
      </w:pPr>
      <w:r>
        <w:t xml:space="preserve">4. La solución: un sistema, dos salidas legítimas</w:t>
      </w:r>
    </w:p>
    <w:p>
      <w:pPr>
        <w:pStyle w:val="FirstParagraph"/>
      </w:pPr>
      <w:r>
        <w:t xml:space="preserve">Cada una de las ~800 cuentas se resuelve por</w:t>
      </w:r>
      <w:r>
        <w:t xml:space="preserve"> </w:t>
      </w:r>
      <w:r>
        <w:rPr>
          <w:bCs/>
          <w:b/>
        </w:rPr>
        <w:t xml:space="preserve">una</w:t>
      </w:r>
      <w:r>
        <w:t xml:space="preserve"> </w:t>
      </w:r>
      <w:r>
        <w:t xml:space="preserve">vía documentada — ninguna queda en el limbo: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Vía A — Cobrar</w:t>
      </w:r>
      <w:r>
        <w:t xml:space="preserve"> </w:t>
      </w:r>
      <w:r>
        <w:t xml:space="preserve">el saldo</w:t>
      </w:r>
      <w:r>
        <w:t xml:space="preserve"> </w:t>
      </w:r>
      <w:r>
        <w:rPr>
          <w:bCs/>
          <w:b/>
        </w:rPr>
        <w:t xml:space="preserve">devengado</w:t>
      </w:r>
      <w:r>
        <w:t xml:space="preserve">, mediante plan de pago o acuerdo, y dar continuidad al caso.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Vía B — Retirarse</w:t>
      </w:r>
      <w:r>
        <w:t xml:space="preserve"> </w:t>
      </w:r>
      <w:r>
        <w:t xml:space="preserve">de la representación</w:t>
      </w:r>
      <w:r>
        <w:t xml:space="preserve"> </w:t>
      </w:r>
      <w:r>
        <w:rPr>
          <w:bCs/>
          <w:b/>
        </w:rPr>
        <w:t xml:space="preserve">conforme a la Corte</w:t>
      </w:r>
      <w:r>
        <w:t xml:space="preserve">: notificación al cliente, reembolso de lo no devengado, moción de retiro completa y</w:t>
      </w:r>
      <w:r>
        <w:t xml:space="preserve"> </w:t>
      </w:r>
      <w:r>
        <w:rPr>
          <w:bCs/>
          <w:b/>
        </w:rPr>
        <w:t xml:space="preserve">permiso del juez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Principio rector:</w:t>
      </w:r>
      <w:r>
        <w:t xml:space="preserve"> </w:t>
      </w:r>
      <w:r>
        <w:t xml:space="preserve">proteger al cliente y satisfacer a la Corte es, al mismo tiempo, lo que protege a la firma. Hacer las cosas bien</w:t>
      </w:r>
      <w:r>
        <w:t xml:space="preserve"> </w:t>
      </w:r>
      <w:r>
        <w:rPr>
          <w:bCs/>
          <w:b/>
        </w:rPr>
        <w:t xml:space="preserve">es</w:t>
      </w:r>
      <w:r>
        <w:t xml:space="preserve"> </w:t>
      </w:r>
      <w:r>
        <w:t xml:space="preserve">la estrategia de defensa.</w:t>
      </w:r>
    </w:p>
    <w:p>
      <w:pPr>
        <w:pStyle w:val="BlockText"/>
      </w:pPr>
      <w:r>
        <w:t xml:space="preserve">El flujo de trabajo detallado (quién hace qué, en qué orden) se describe en la Sección 6 y en el</w:t>
      </w:r>
      <w:r>
        <w:t xml:space="preserve"> </w:t>
      </w:r>
      <w:r>
        <w:rPr>
          <w:bCs/>
          <w:b/>
        </w:rPr>
        <w:t xml:space="preserve">Workflow anexo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estructura-del-equipo-gobernanza"/>
    <w:p>
      <w:pPr>
        <w:pStyle w:val="Heading2"/>
      </w:pPr>
      <w:r>
        <w:t xml:space="preserve">5. Estructura del equipo (gobernanza)</w:t>
      </w:r>
    </w:p>
    <w:p>
      <w:pPr>
        <w:pStyle w:val="FirstParagraph"/>
      </w:pPr>
      <w:r>
        <w:t xml:space="preserve">La resolución se maneja como una</w:t>
      </w:r>
      <w:r>
        <w:t xml:space="preserve"> </w:t>
      </w:r>
      <w:r>
        <w:rPr>
          <w:bCs/>
          <w:b/>
        </w:rPr>
        <w:t xml:space="preserve">función dedicada</w:t>
      </w:r>
      <w:r>
        <w:t xml:space="preserve"> </w:t>
      </w:r>
      <w:r>
        <w:t xml:space="preserve">de 6 meses, con roles complementarios y control distribuido. Cada área aporta su fortaleza: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65"/>
        <w:gridCol w:w="1738"/>
        <w:gridCol w:w="521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Titular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Responsabilidad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Revisión 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Abogado(a) revisor(a)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Decide, caso por caso,</w:t>
            </w:r>
            <w:r>
              <w:t xml:space="preserve"> </w:t>
            </w:r>
            <w:r>
              <w:rPr>
                <w:bCs/>
                <w:b/>
              </w:rPr>
              <w:t xml:space="preserve">si conviene o no retirarse</w:t>
            </w:r>
            <w:r>
              <w:t xml:space="preserve">; firma las mociones; asume la responsabilidad ante la Corte y el 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Liderazgo de la operación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Jefe(a) del Departamento de Contabilidad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Dirige la operación, integra los números y</w:t>
            </w:r>
            <w:r>
              <w:t xml:space="preserve"> </w:t>
            </w:r>
            <w:r>
              <w:rPr>
                <w:bCs/>
                <w:b/>
              </w:rPr>
              <w:t xml:space="preserve">reporta a la Junta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Coordinación de Cuentas por Cobrar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coordinadores(as)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Arman el expediente de cada cuenta, gestionan planes de pago y mantienen el tablero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Cobranza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Encargado(a) de cobranza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Contacta a los clientes y ejecuta el cobro y los acuerdos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Apoyo temporal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Refuerzo puntual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 en la cobranza durante los picos de volumen</w:t>
            </w:r>
          </w:p>
        </w:tc>
      </w:tr>
    </w:tbl>
    <w:p>
      <w:pPr>
        <w:pStyle w:val="BodyText"/>
      </w:pPr>
      <w:r>
        <w:rPr>
          <w:bCs/>
          <w:b/>
        </w:rPr>
        <w:t xml:space="preserve">Nota de gobernanza (por qué esta estructura protege a todos):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decisión legal</w:t>
      </w:r>
      <w:r>
        <w:t xml:space="preserve"> </w:t>
      </w:r>
      <w:r>
        <w:t xml:space="preserve">de retirarse o no recae en el abogado, como lo exige la responsabilidad profesional — no en el área de cobranza.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contabilidad lidera y reporta</w:t>
      </w:r>
      <w:r>
        <w:t xml:space="preserve">, dando transparencia a la Junta.</w:t>
      </w:r>
      <w:r>
        <w:t xml:space="preserve"> </w:t>
      </w:r>
      <w:r>
        <w:t xml:space="preserve">- La</w:t>
      </w:r>
      <w:r>
        <w:t xml:space="preserve"> </w:t>
      </w:r>
      <w:r>
        <w:rPr>
          <w:bCs/>
          <w:b/>
        </w:rPr>
        <w:t xml:space="preserve">cobranza cuenta con apoyo y un sistema</w:t>
      </w:r>
      <w:r>
        <w:t xml:space="preserve">, en lugar de cargar sola con un volumen imposible.</w:t>
      </w:r>
      <w:r>
        <w:t xml:space="preserve"> </w:t>
      </w:r>
      <w:r>
        <w:t xml:space="preserve">- El</w:t>
      </w:r>
      <w:r>
        <w:t xml:space="preserve"> </w:t>
      </w:r>
      <w:r>
        <w:rPr>
          <w:bCs/>
          <w:b/>
        </w:rPr>
        <w:t xml:space="preserve">control distribuido</w:t>
      </w:r>
      <w:r>
        <w:t xml:space="preserve"> </w:t>
      </w:r>
      <w:r>
        <w:t xml:space="preserve">(quien arma el expediente, quien decide, quien cobra son roles distintos) protege a la firma y a cada integrante: ningún resultado depende de una sola persona.</w:t>
      </w:r>
    </w:p>
    <w:p>
      <w:r>
        <w:pict>
          <v:rect style="width:0;height:1.5pt" o:hralign="center" o:hrstd="t" o:hr="t"/>
        </w:pict>
      </w:r>
    </w:p>
    <w:bookmarkEnd w:id="25"/>
    <w:bookmarkStart w:id="26" w:name="cómo-funciona-flujo-de-trabajo-resumido"/>
    <w:p>
      <w:pPr>
        <w:pStyle w:val="Heading2"/>
      </w:pPr>
      <w:r>
        <w:t xml:space="preserve">6. Cómo funciona (flujo de trabajo resumido)</w:t>
      </w:r>
    </w:p>
    <w:p>
      <w:pPr>
        <w:pStyle w:val="FirstParagraph"/>
      </w:pPr>
      <w:r>
        <w:t xml:space="preserve">Cada cuenta recorre cinco etapas, con un dueño claro en cada una: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Identificación</w:t>
      </w:r>
      <w:r>
        <w:t xml:space="preserve"> </w:t>
      </w:r>
      <w:r>
        <w:rPr>
          <w:iCs/>
          <w:i/>
        </w:rPr>
        <w:t xml:space="preserve">(Contabilidad + Coord. CxC):</w:t>
      </w:r>
      <w:r>
        <w:t xml:space="preserve"> </w:t>
      </w:r>
      <w:r>
        <w:t xml:space="preserve">se detecta y carga la cuenta vencida.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Expediente y priorización</w:t>
      </w:r>
      <w:r>
        <w:t xml:space="preserve"> </w:t>
      </w:r>
      <w:r>
        <w:rPr>
          <w:iCs/>
          <w:i/>
        </w:rPr>
        <w:t xml:space="preserve">(Coord. CxC):</w:t>
      </w:r>
      <w:r>
        <w:t xml:space="preserve"> </w:t>
      </w:r>
      <w:r>
        <w:t xml:space="preserve">se arma el expediente (saldo, devengado/no devengado,</w:t>
      </w:r>
      <w:r>
        <w:t xml:space="preserve"> </w:t>
      </w:r>
      <w:r>
        <w:rPr>
          <w:bCs/>
          <w:b/>
        </w:rPr>
        <w:t xml:space="preserve">próxima audiencia</w:t>
      </w:r>
      <w:r>
        <w:t xml:space="preserve">) y se prioriza por urgencia de audiencia.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Revisión legal</w:t>
      </w:r>
      <w:r>
        <w:t xml:space="preserve"> </w:t>
      </w:r>
      <w:r>
        <w:rPr>
          <w:iCs/>
          <w:i/>
        </w:rPr>
        <w:t xml:space="preserve">(Abogado):</w:t>
      </w:r>
      <w:r>
        <w:t xml:space="preserve"> </w:t>
      </w:r>
      <w:r>
        <w:t xml:space="preserve">decide</w:t>
      </w:r>
      <w:r>
        <w:t xml:space="preserve"> </w:t>
      </w:r>
      <w:r>
        <w:rPr>
          <w:bCs/>
          <w:b/>
        </w:rPr>
        <w:t xml:space="preserve">Vía A (cobrar)</w:t>
      </w:r>
      <w:r>
        <w:t xml:space="preserve"> </w:t>
      </w:r>
      <w:r>
        <w:t xml:space="preserve">o</w:t>
      </w:r>
      <w:r>
        <w:t xml:space="preserve"> </w:t>
      </w:r>
      <w:r>
        <w:rPr>
          <w:bCs/>
          <w:b/>
        </w:rPr>
        <w:t xml:space="preserve">Vía B (retirarse)</w:t>
      </w:r>
      <w:r>
        <w:t xml:space="preserve"> </w:t>
      </w:r>
      <w:r>
        <w:t xml:space="preserve">—</w:t>
      </w:r>
      <w:r>
        <w:t xml:space="preserve"> </w:t>
      </w:r>
      <w:r>
        <w:t xml:space="preserve">“</w:t>
      </w:r>
      <w:r>
        <w:t xml:space="preserve">¿conviene retirarse o no?</w:t>
      </w:r>
      <w:r>
        <w:t xml:space="preserve">”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Ejecución</w:t>
      </w:r>
      <w:r>
        <w:t xml:space="preserve"> </w:t>
      </w:r>
      <w:r>
        <w:rPr>
          <w:iCs/>
          <w:i/>
        </w:rPr>
        <w:t xml:space="preserve">(Cobranza / Legal):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Vía A:</w:t>
      </w:r>
      <w:r>
        <w:t xml:space="preserve"> </w:t>
      </w:r>
      <w:r>
        <w:t xml:space="preserve">cobranza contacta, negocia y formaliza el plan de pago.</w:t>
      </w:r>
    </w:p>
    <w:p>
      <w:pPr>
        <w:numPr>
          <w:ilvl w:val="1"/>
          <w:numId w:val="1004"/>
        </w:numPr>
        <w:pStyle w:val="Compact"/>
      </w:pPr>
      <w:r>
        <w:rPr>
          <w:bCs/>
          <w:b/>
        </w:rPr>
        <w:t xml:space="preserve">Vía B:</w:t>
      </w:r>
      <w:r>
        <w:t xml:space="preserve"> </w:t>
      </w:r>
      <w:r>
        <w:t xml:space="preserve">se notifica al cliente, se reembolsa lo no devengado y el abogado presenta la moción de retiro.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Cierre y reporte</w:t>
      </w:r>
      <w:r>
        <w:t xml:space="preserve"> </w:t>
      </w:r>
      <w:r>
        <w:rPr>
          <w:iCs/>
          <w:i/>
        </w:rPr>
        <w:t xml:space="preserve">(Contabilidad):</w:t>
      </w:r>
      <w:r>
        <w:t xml:space="preserve"> </w:t>
      </w:r>
      <w:r>
        <w:t xml:space="preserve">se registra la resolución, se completa el expediente y se reporta a la Junta.</w:t>
      </w:r>
    </w:p>
    <w:p>
      <w:pPr>
        <w:pStyle w:val="BlockText"/>
      </w:pPr>
      <w:r>
        <w:t xml:space="preserve">El diagrama de carriles (swimlanes) con todos los pasos y puntos de decisión está en el</w:t>
      </w:r>
      <w:r>
        <w:t xml:space="preserve"> </w:t>
      </w:r>
      <w:r>
        <w:rPr>
          <w:bCs/>
          <w:b/>
        </w:rPr>
        <w:t xml:space="preserve">Workflow anexo</w:t>
      </w:r>
      <w:r>
        <w:t xml:space="preserve"> </w:t>
      </w:r>
      <w:r>
        <w:t xml:space="preserve">(</w:t>
      </w:r>
      <w:r>
        <w:rPr>
          <w:rStyle w:val="VerbatimChar"/>
        </w:rPr>
        <w:t xml:space="preserve">workflow-operacion.md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6"/>
    <w:bookmarkStart w:id="27" w:name="impacto-financiero"/>
    <w:p>
      <w:pPr>
        <w:pStyle w:val="Heading2"/>
      </w:pPr>
      <w:r>
        <w:t xml:space="preserve">7. Impacto financiero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658"/>
        <w:gridCol w:w="326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Concepto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Cartera potencialmente recuperable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Porción</w:t>
            </w:r>
            <w:r>
              <w:t xml:space="preserve"> </w:t>
            </w:r>
            <w:r>
              <w:rPr>
                <w:bCs/>
                <w:b/>
              </w:rPr>
              <w:t xml:space="preserve">devengada</w:t>
            </w:r>
            <w:r>
              <w:t xml:space="preserve"> </w:t>
            </w:r>
            <w:r>
              <w:t xml:space="preserve">de &gt;$1M (a cuantificar en la etapa de expediente)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Valor de mitigación de riesgo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Evitar quejas, sanciones y costos de defensa — potencialmente</w:t>
            </w:r>
            <w:r>
              <w:t xml:space="preserve"> </w:t>
            </w:r>
            <w:r>
              <w:rPr>
                <w:bCs/>
                <w:b/>
              </w:rPr>
              <w:t xml:space="preserve">mayor</w:t>
            </w:r>
            <w:r>
              <w:t xml:space="preserve"> </w:t>
            </w:r>
            <w:r>
              <w:t xml:space="preserve">que la cartera misma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Inversión requerida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de resolución de 6 meses (apoyo temporal + sistema/tablero)</w:t>
            </w:r>
          </w:p>
        </w:tc>
      </w:tr>
    </w:tbl>
    <w:p>
      <w:pPr>
        <w:pStyle w:val="BodyText"/>
      </w:pPr>
      <w:r>
        <w:rPr>
          <w:bCs/>
          <w:b/>
        </w:rPr>
        <w:t xml:space="preserve">Lectura para la Junta:</w:t>
      </w:r>
      <w:r>
        <w:t xml:space="preserve"> </w:t>
      </w:r>
      <w:r>
        <w:t xml:space="preserve">aun si una parte de la cartera resulta incobrable o debe reembolsarse, el mayor retorno es</w:t>
      </w:r>
      <w:r>
        <w:t xml:space="preserve"> </w:t>
      </w:r>
      <w:r>
        <w:rPr>
          <w:bCs/>
          <w:b/>
        </w:rPr>
        <w:t xml:space="preserve">evitar el daño regulatorio y reputacional</w:t>
      </w:r>
      <w:r>
        <w:t xml:space="preserve">, que no tiene techo.</w:t>
      </w:r>
    </w:p>
    <w:p>
      <w:r>
        <w:pict>
          <v:rect style="width:0;height:1.5pt" o:hralign="center" o:hrstd="t" o:hr="t"/>
        </w:pict>
      </w:r>
    </w:p>
    <w:bookmarkEnd w:id="27"/>
    <w:bookmarkStart w:id="28" w:name="cronograma-y-hitos"/>
    <w:p>
      <w:pPr>
        <w:pStyle w:val="Heading2"/>
      </w:pPr>
      <w:r>
        <w:t xml:space="preserve">8. Cronograma y hitos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3394"/>
        <w:gridCol w:w="226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— Preparación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Semanas 1–2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Expedientes y priorización; criterios y plantillas avalados; tablero operando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 — Prioridad crítica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1–2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Todas las cuentas con audiencia próxima resueltas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 — 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3–4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Grueso de la cartera media resuelta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 — Cierre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Meses 5–6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 cuentas sin resolver</w:t>
            </w:r>
            <w:r>
              <w:t xml:space="preserve">; documentación completa</w:t>
            </w:r>
          </w:p>
        </w:tc>
      </w:tr>
    </w:tbl>
    <w:p>
      <w:pPr>
        <w:pStyle w:val="BodyText"/>
      </w:pPr>
      <w:r>
        <w:rPr>
          <w:bCs/>
          <w:b/>
        </w:rPr>
        <w:t xml:space="preserve">Métrica maestra:</w:t>
      </w:r>
      <w:r>
        <w:t xml:space="preserve"> </w:t>
      </w:r>
      <w:r>
        <w:t xml:space="preserve">no es solo el dinero — es</w:t>
      </w:r>
      <w:r>
        <w:t xml:space="preserve"> </w:t>
      </w:r>
      <w:r>
        <w:rPr>
          <w:bCs/>
          <w:b/>
        </w:rPr>
        <w:t xml:space="preserve">cero audiencias perdidas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cero quejas nuevas</w:t>
      </w:r>
      <w:r>
        <w:t xml:space="preserve"> </w:t>
      </w:r>
      <w:r>
        <w:t xml:space="preserve">durante la operación.</w:t>
      </w:r>
    </w:p>
    <w:p>
      <w:r>
        <w:pict>
          <v:rect style="width:0;height:1.5pt" o:hralign="center" o:hrstd="t" o:hr="t"/>
        </w:pict>
      </w:r>
    </w:p>
    <w:bookmarkEnd w:id="28"/>
    <w:bookmarkStart w:id="29" w:name="Xd734c23fefca3a79c30d35485099a8be4e28017"/>
    <w:p>
      <w:pPr>
        <w:pStyle w:val="Heading2"/>
      </w:pPr>
      <w:r>
        <w:t xml:space="preserve">9. Decisiones que el equipo solicita a la Junta</w:t>
      </w:r>
    </w:p>
    <w:p>
      <w:pPr>
        <w:pStyle w:val="FirstParagraph"/>
      </w:pPr>
      <w:r>
        <w:t xml:space="preserve">Para que este sea</w:t>
      </w:r>
      <w:r>
        <w:t xml:space="preserve"> </w:t>
      </w:r>
      <w:r>
        <w:rPr>
          <w:bCs/>
          <w:b/>
        </w:rPr>
        <w:t xml:space="preserve">el plan de la firma</w:t>
      </w:r>
      <w:r>
        <w:t xml:space="preserve">, el equipo pide a la Junta avalar: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Adoptar la política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cobrar o retirarse bien</w:t>
      </w:r>
      <w:r>
        <w:rPr>
          <w:bCs/>
          <w:b/>
        </w:rPr>
        <w:t xml:space="preserve">”</w:t>
      </w:r>
      <w:r>
        <w:t xml:space="preserve"> </w:t>
      </w:r>
      <w:r>
        <w:t xml:space="preserve">como estándar para toda cuenta vencida.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Autorizar la función de resolución de 6 meses</w:t>
      </w:r>
      <w:r>
        <w:t xml:space="preserve"> </w:t>
      </w:r>
      <w:r>
        <w:t xml:space="preserve">con la estructura de la Sección 5.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Confirmar que la decisión de retiro</w:t>
      </w:r>
      <w:r>
        <w:t xml:space="preserve"> </w:t>
      </w:r>
      <w:r>
        <w:t xml:space="preserve">recae en el abogado revisor, con criterios claros.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Aprobar el apoyo temporal y las herramientas</w:t>
      </w:r>
      <w:r>
        <w:t xml:space="preserve"> </w:t>
      </w:r>
      <w:r>
        <w:t xml:space="preserve">necesarias.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Recibir un reporte mensual</w:t>
      </w:r>
      <w:r>
        <w:t xml:space="preserve"> </w:t>
      </w:r>
      <w:r>
        <w:t xml:space="preserve">de avance contra hitos y KPIs.</w:t>
      </w:r>
    </w:p>
    <w:p>
      <w:r>
        <w:pict>
          <v:rect style="width:0;height:1.5pt" o:hralign="center" o:hrstd="t" o:hr="t"/>
        </w:pict>
      </w:r>
    </w:p>
    <w:bookmarkEnd w:id="29"/>
    <w:bookmarkStart w:id="30" w:name="el-costo-de-no-actuar"/>
    <w:p>
      <w:pPr>
        <w:pStyle w:val="Heading2"/>
      </w:pPr>
      <w:r>
        <w:t xml:space="preserve">10. El costo de no actuar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34"/>
        <w:gridCol w:w="45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Si no se actúa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Consecuencia probable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Cuentas con audiencia sin resolver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Mociones tardías → inconformidad judicial → sanciones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Cobros/retiros sin documentación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Quejas ante el bar, reclamos de asistencia ineficaz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 rezago sigue creciendo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problema escala de financiero a</w:t>
            </w:r>
            <w:r>
              <w:t xml:space="preserve"> </w:t>
            </w:r>
            <w:r>
              <w:rPr>
                <w:bCs/>
                <w:b/>
              </w:rPr>
              <w:t xml:space="preserve">existencial</w:t>
            </w:r>
            <w:r>
              <w:t xml:space="preserve"> </w:t>
            </w:r>
            <w:r>
              <w:t xml:space="preserve">para la licencia y la reputación de la firma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recomendación-del-equipo"/>
    <w:p>
      <w:pPr>
        <w:pStyle w:val="Heading2"/>
      </w:pPr>
      <w:r>
        <w:t xml:space="preserve">11. Recomendación del equipo</w:t>
      </w:r>
    </w:p>
    <w:p>
      <w:pPr>
        <w:pStyle w:val="FirstParagraph"/>
      </w:pPr>
      <w:r>
        <w:t xml:space="preserve">El equipo recomienda a la Junta avalar el plan tal como se presenta e iniciar la Fase 0 de inmediato, priorizando las cuentas con audiencias próximas. La firma tiene la oportunidad de corregir el rumbo</w:t>
      </w:r>
      <w:r>
        <w:t xml:space="preserve"> </w:t>
      </w:r>
      <w:r>
        <w:rPr>
          <w:bCs/>
          <w:b/>
        </w:rPr>
        <w:t xml:space="preserve">por iniciativa propia</w:t>
      </w:r>
      <w:r>
        <w:t xml:space="preserve"> </w:t>
      </w:r>
      <w:r>
        <w:t xml:space="preserve">— antes de que la corrección venga impuesta desde afuera. Presentarlo como una decisión conjunta de la Junta y del equipo es, además, la mejor garantía de que se ejecute con respaldo institucional.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Anexos: (1) Workflow de la operación (</w:t>
      </w:r>
      <w:r>
        <w:rPr>
          <w:rStyle w:val="VerbatimChar"/>
          <w:iCs/>
          <w:i/>
        </w:rPr>
        <w:t xml:space="preserve">workflow-operacion.md</w:t>
      </w:r>
      <w:r>
        <w:rPr>
          <w:iCs/>
          <w:i/>
        </w:rPr>
        <w:t xml:space="preserve">); (2) Plan de Ejecución detallado (</w:t>
      </w:r>
      <w:r>
        <w:rPr>
          <w:rStyle w:val="VerbatimChar"/>
          <w:iCs/>
          <w:i/>
        </w:rPr>
        <w:t xml:space="preserve">plan-resolucion-cuentas-morosas.md</w:t>
      </w:r>
      <w:r>
        <w:rPr>
          <w:iCs/>
          <w:i/>
        </w:rPr>
        <w:t xml:space="preserve">). Todos los procedimientos de retiro y cobranza serán aprobados por el abogado revisor y verificados contra las reglas de conducta profesional y el Immigration Court Practice Manual (EOIR) antes de ejecutarse. Disponible en inglés a solicitud.</w:t>
      </w:r>
    </w:p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2026-07-09T01:36:31Z</dcterms:created>
  <dcterms:modified xsi:type="dcterms:W3CDTF">2026-07-09T01:36:31Z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