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1" w:name="X7de2ba66ec0cb5042d730aec0c8ac594bd83adf"/>
    <w:p>
      <w:pPr>
        <w:pStyle w:val="Heading1"/>
      </w:pPr>
      <w:r>
        <w:t xml:space="preserve">Plan Maestro — Resolución de Cartera y Protección de la Firma</w:t>
      </w:r>
    </w:p>
    <w:bookmarkStart w:id="20" w:name="X034a65f4d01381f44673b53321bc88b593c9d5f"/>
    <w:p>
      <w:pPr>
        <w:pStyle w:val="Heading2"/>
      </w:pPr>
      <w:r>
        <w:t xml:space="preserve">Documento para la Junta Directiva · Law Offices Santiago</w:t>
      </w:r>
    </w:p>
    <w:p>
      <w:pPr>
        <w:pStyle w:val="FirstParagraph"/>
      </w:pPr>
      <w:r>
        <w:rPr>
          <w:bCs/>
          <w:b/>
        </w:rPr>
        <w:t xml:space="preserve">Preparado para:</w:t>
      </w:r>
      <w:r>
        <w:t xml:space="preserve"> </w:t>
      </w:r>
      <w:r>
        <w:t xml:space="preserve">Junta Directiva</w:t>
      </w:r>
      <w:r>
        <w:t xml:space="preserve"> </w:t>
      </w:r>
      <w:r>
        <w:rPr>
          <w:bCs/>
          <w:b/>
        </w:rPr>
        <w:t xml:space="preserve">Asunto:</w:t>
      </w:r>
      <w:r>
        <w:t xml:space="preserve"> </w:t>
      </w:r>
      <w:r>
        <w:t xml:space="preserve">Plan para resolver ~800 cuentas de cartera vencida y</w:t>
      </w:r>
      <w:r>
        <w:t xml:space="preserve"> </w:t>
      </w:r>
      <w:r>
        <w:rPr>
          <w:bCs/>
          <w:b/>
        </w:rPr>
        <w:t xml:space="preserve">proteger a la firma</w:t>
      </w:r>
      <w:r>
        <w:t xml:space="preserve"> </w:t>
      </w:r>
      <w:r>
        <w:t xml:space="preserve">frente al riesgo regulatorio y judicial</w:t>
      </w:r>
      <w:r>
        <w:t xml:space="preserve"> </w:t>
      </w:r>
      <w:r>
        <w:rPr>
          <w:bCs/>
          <w:b/>
        </w:rPr>
        <w:t xml:space="preserve">Horizonte:</w:t>
      </w:r>
      <w:r>
        <w:t xml:space="preserve"> </w:t>
      </w:r>
      <w:r>
        <w:t xml:space="preserve">6 meses</w:t>
      </w:r>
      <w:r>
        <w:t xml:space="preserve"> </w:t>
      </w:r>
      <w:r>
        <w:rPr>
          <w:bCs/>
          <w:b/>
        </w:rPr>
        <w:t xml:space="preserve">Naturaleza:</w:t>
      </w:r>
      <w:r>
        <w:t xml:space="preserve"> </w:t>
      </w:r>
      <w:r>
        <w:t xml:space="preserve">Decisión estratégica y de gobernanza — se solicitan aprobaciones (Sección 8)</w:t>
      </w:r>
    </w:p>
    <w:p>
      <w:r>
        <w:pict>
          <v:rect style="width:0;height:1.5pt" o:hralign="center" o:hrstd="t" o:hr="t"/>
        </w:pict>
      </w:r>
    </w:p>
    <w:bookmarkEnd w:id="20"/>
    <w:bookmarkStart w:id="21" w:name="resumen-ejecutivo"/>
    <w:p>
      <w:pPr>
        <w:pStyle w:val="Heading2"/>
      </w:pPr>
      <w:r>
        <w:t xml:space="preserve">1. Resumen ejecutivo</w:t>
      </w:r>
    </w:p>
    <w:p>
      <w:pPr>
        <w:pStyle w:val="FirstParagraph"/>
      </w:pPr>
      <w:r>
        <w:t xml:space="preserve">La firma tiene aproximadamente</w:t>
      </w:r>
      <w:r>
        <w:t xml:space="preserve"> </w:t>
      </w:r>
      <w:r>
        <w:rPr>
          <w:bCs/>
          <w:b/>
        </w:rPr>
        <w:t xml:space="preserve">800 cuentas</w:t>
      </w:r>
      <w:r>
        <w:t xml:space="preserve"> </w:t>
      </w:r>
      <w:r>
        <w:t xml:space="preserve">con saldos vencidos que suman</w:t>
      </w:r>
      <w:r>
        <w:t xml:space="preserve"> </w:t>
      </w:r>
      <w:r>
        <w:rPr>
          <w:bCs/>
          <w:b/>
        </w:rPr>
        <w:t xml:space="preserve">más de $1,000,000</w:t>
      </w:r>
      <w:r>
        <w:t xml:space="preserve">. Más allá del monto, la situación genera una</w:t>
      </w:r>
      <w:r>
        <w:t xml:space="preserve"> </w:t>
      </w:r>
      <w:r>
        <w:rPr>
          <w:bCs/>
          <w:b/>
        </w:rPr>
        <w:t xml:space="preserve">exposición institucional</w:t>
      </w:r>
      <w:r>
        <w:t xml:space="preserve"> </w:t>
      </w:r>
      <w:r>
        <w:t xml:space="preserve">creciente: los tribunales de inmigración (EOIR) están observando la forma en que la firma gestiona los casos de clientes que dejaron de pagar, y una gestión inconsistente nos expone a</w:t>
      </w:r>
      <w:r>
        <w:t xml:space="preserve"> </w:t>
      </w:r>
      <w:r>
        <w:rPr>
          <w:bCs/>
          <w:b/>
        </w:rPr>
        <w:t xml:space="preserve">quejas ante el colegio de abogados (bar), reclamos de asistencia ineficaz y sanciones judiciales</w:t>
      </w:r>
      <w:r>
        <w:t xml:space="preserve">.</w:t>
      </w:r>
    </w:p>
    <w:p>
      <w:pPr>
        <w:pStyle w:val="BodyText"/>
      </w:pPr>
      <w:r>
        <w:t xml:space="preserve">Este es un</w:t>
      </w:r>
      <w:r>
        <w:t xml:space="preserve"> </w:t>
      </w:r>
      <w:r>
        <w:rPr>
          <w:bCs/>
          <w:b/>
        </w:rPr>
        <w:t xml:space="preserve">problema de proceso y de capacidad</w:t>
      </w:r>
      <w:r>
        <w:t xml:space="preserve">, no de personas: el volumen de cuentas superó la capacidad del proceso actual para resolverlas a tiempo. La solución no es señalar culpables — es</w:t>
      </w:r>
      <w:r>
        <w:t xml:space="preserve"> </w:t>
      </w:r>
      <w:r>
        <w:rPr>
          <w:bCs/>
          <w:b/>
        </w:rPr>
        <w:t xml:space="preserve">instalar un sistema</w:t>
      </w:r>
      <w:r>
        <w:t xml:space="preserve"> </w:t>
      </w:r>
      <w:r>
        <w:t xml:space="preserve">que resuelva cada caso por una de dos vías legítimas (</w:t>
      </w:r>
      <w:r>
        <w:rPr>
          <w:bCs/>
          <w:b/>
        </w:rPr>
        <w:t xml:space="preserve">cobrar</w:t>
      </w:r>
      <w:r>
        <w:t xml:space="preserve"> </w:t>
      </w:r>
      <w:r>
        <w:t xml:space="preserve">lo devengado o</w:t>
      </w:r>
      <w:r>
        <w:t xml:space="preserve"> </w:t>
      </w:r>
      <w:r>
        <w:rPr>
          <w:bCs/>
          <w:b/>
        </w:rPr>
        <w:t xml:space="preserve">retirarse conforme a la Corte</w:t>
      </w:r>
      <w:r>
        <w:t xml:space="preserve">) y</w:t>
      </w:r>
      <w:r>
        <w:t xml:space="preserve"> </w:t>
      </w:r>
      <w:r>
        <w:rPr>
          <w:bCs/>
          <w:b/>
        </w:rPr>
        <w:t xml:space="preserve">blinde a la firma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Lo que se pide a la Junta:</w:t>
      </w:r>
      <w:r>
        <w:t xml:space="preserve"> </w:t>
      </w:r>
      <w:r>
        <w:t xml:space="preserve">aprobar el sistema de resolución, la política de</w:t>
      </w:r>
      <w:r>
        <w:t xml:space="preserve"> </w:t>
      </w:r>
      <w:r>
        <w:t xml:space="preserve">“</w:t>
      </w:r>
      <w:r>
        <w:t xml:space="preserve">cobrar o retirarse bien</w:t>
      </w:r>
      <w:r>
        <w:t xml:space="preserve">”</w:t>
      </w:r>
      <w:r>
        <w:t xml:space="preserve">, los recursos de apoyo y la autoridad para ejecutarlo en 6 meses (Sección 8).</w:t>
      </w:r>
    </w:p>
    <w:p>
      <w:r>
        <w:pict>
          <v:rect style="width:0;height:1.5pt" o:hralign="center" o:hrstd="t" o:hr="t"/>
        </w:pict>
      </w:r>
    </w:p>
    <w:bookmarkEnd w:id="21"/>
    <w:bookmarkStart w:id="22" w:name="la-situación-hechos"/>
    <w:p>
      <w:pPr>
        <w:pStyle w:val="Heading2"/>
      </w:pPr>
      <w:r>
        <w:t xml:space="preserve">2. La situación (hechos)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 actual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Cuentas vencidas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~800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Saldo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$1,000,000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Saldo promedio por cuenta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~$1,250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Naturaleza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 volumen, saldo bajo por caso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Exposición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Regulatoria (bar), judicial (EOIR), reputacional</w:t>
            </w:r>
          </w:p>
        </w:tc>
      </w:tr>
    </w:tbl>
    <w:p>
      <w:pPr>
        <w:pStyle w:val="BodyText"/>
      </w:pPr>
      <w:r>
        <w:rPr>
          <w:bCs/>
          <w:b/>
        </w:rPr>
        <w:t xml:space="preserve">Causa raíz (sin personalizar):</w:t>
      </w:r>
      <w:r>
        <w:t xml:space="preserve"> </w:t>
      </w:r>
      <w:r>
        <w:t xml:space="preserve">el volumen de cuentas creció más rápido que la capacidad del proceso de cobranza y seguimiento. Cuando un proceso diseñado para un volumen se enfrenta a otro mucho mayor, se acumula un rezago —</w:t>
      </w:r>
      <w:r>
        <w:t xml:space="preserve"> </w:t>
      </w:r>
      <w:r>
        <w:rPr>
          <w:bCs/>
          <w:b/>
        </w:rPr>
        <w:t xml:space="preserve">es un problema estructural predecible, no una falla individual.</w:t>
      </w:r>
      <w:r>
        <w:t xml:space="preserve"> </w:t>
      </w:r>
      <w:r>
        <w:t xml:space="preserve">El objetivo de la Junta hoy no es mirar atrás; es autorizar el sistema que cierra esa brecha.</w:t>
      </w:r>
    </w:p>
    <w:p>
      <w:r>
        <w:pict>
          <v:rect style="width:0;height:1.5pt" o:hralign="center" o:hrstd="t" o:hr="t"/>
        </w:pict>
      </w:r>
    </w:p>
    <w:bookmarkEnd w:id="22"/>
    <w:bookmarkStart w:id="23" w:name="Xce9044ef4cbf4ae2a94463515619e1a585864ba"/>
    <w:p>
      <w:pPr>
        <w:pStyle w:val="Heading2"/>
      </w:pPr>
      <w:r>
        <w:t xml:space="preserve">3. Por qué es urgente ahora (el riesgo viene de afuera)</w:t>
      </w:r>
    </w:p>
    <w:p>
      <w:pPr>
        <w:pStyle w:val="FirstParagraph"/>
      </w:pPr>
      <w:r>
        <w:t xml:space="preserve">La urgencia no es una opinión interna — la marca la</w:t>
      </w:r>
      <w:r>
        <w:t xml:space="preserve"> </w:t>
      </w:r>
      <w:r>
        <w:rPr>
          <w:bCs/>
          <w:b/>
        </w:rPr>
        <w:t xml:space="preserve">realidad externa</w:t>
      </w:r>
      <w:r>
        <w:t xml:space="preserve">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Los jueces de inmigración</w:t>
      </w:r>
      <w:r>
        <w:t xml:space="preserve"> </w:t>
      </w:r>
      <w:r>
        <w:t xml:space="preserve">están mostrando inconformidad con mociones de retiro presentadas sin la documentación adecuada. Cada moción deficiente erosiona la credibilidad de la firma ante la Corte.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Riesgo de queja ante el bar:</w:t>
      </w:r>
      <w:r>
        <w:t xml:space="preserve"> </w:t>
      </w:r>
      <w:r>
        <w:t xml:space="preserve">cobrar honorarios no devengados o abandonar a un cliente sin proceso adecuado son las causas más comunes de quejas disciplinarias.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Riesgo de asistencia ineficaz:</w:t>
      </w:r>
      <w:r>
        <w:t xml:space="preserve"> </w:t>
      </w:r>
      <w:r>
        <w:t xml:space="preserve">dejar a un cliente sin representación cerca de una audiencia puede derivar en reclamos serios.</w:t>
      </w:r>
    </w:p>
    <w:p>
      <w:pPr>
        <w:pStyle w:val="FirstParagraph"/>
      </w:pPr>
      <w:r>
        <w:rPr>
          <w:bCs/>
          <w:b/>
        </w:rPr>
        <w:t xml:space="preserve">El costo de no actuar crece cada semana</w:t>
      </w:r>
      <w:r>
        <w:t xml:space="preserve"> </w:t>
      </w:r>
      <w:r>
        <w:t xml:space="preserve">que una cuenta con audiencia próxima queda sin resolver. Esta es la razón por la que el tema llega a la Junta ahora y no después.</w:t>
      </w:r>
    </w:p>
    <w:p>
      <w:r>
        <w:pict>
          <v:rect style="width:0;height:1.5pt" o:hralign="center" o:hrstd="t" o:hr="t"/>
        </w:pict>
      </w:r>
    </w:p>
    <w:bookmarkEnd w:id="23"/>
    <w:bookmarkStart w:id="24" w:name="X07184af70622dc7b9d50b09643cf5f5ed162eef"/>
    <w:p>
      <w:pPr>
        <w:pStyle w:val="Heading2"/>
      </w:pPr>
      <w:r>
        <w:t xml:space="preserve">4. La solución: un sistema, dos salidas legítimas</w:t>
      </w:r>
    </w:p>
    <w:p>
      <w:pPr>
        <w:pStyle w:val="FirstParagraph"/>
      </w:pPr>
      <w:r>
        <w:t xml:space="preserve">Cada una de las ~800 cuentas se resuelve por</w:t>
      </w:r>
      <w:r>
        <w:t xml:space="preserve"> </w:t>
      </w:r>
      <w:r>
        <w:rPr>
          <w:bCs/>
          <w:b/>
        </w:rPr>
        <w:t xml:space="preserve">una</w:t>
      </w:r>
      <w:r>
        <w:t xml:space="preserve"> </w:t>
      </w:r>
      <w:r>
        <w:t xml:space="preserve">vía documentada — ninguna se queda sin resolver: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Vía A — Cobrar</w:t>
      </w:r>
      <w:r>
        <w:t xml:space="preserve"> </w:t>
      </w:r>
      <w:r>
        <w:t xml:space="preserve">el saldo</w:t>
      </w:r>
      <w:r>
        <w:t xml:space="preserve"> </w:t>
      </w:r>
      <w:r>
        <w:rPr>
          <w:bCs/>
          <w:b/>
        </w:rPr>
        <w:t xml:space="preserve">devengado</w:t>
      </w:r>
      <w:r>
        <w:t xml:space="preserve">, mediante plan de pago o acuerdo, y reenganchar el caso.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Vía B — Retirarse</w:t>
      </w:r>
      <w:r>
        <w:t xml:space="preserve"> </w:t>
      </w:r>
      <w:r>
        <w:t xml:space="preserve">de la representación</w:t>
      </w:r>
      <w:r>
        <w:t xml:space="preserve"> </w:t>
      </w:r>
      <w:r>
        <w:rPr>
          <w:bCs/>
          <w:b/>
        </w:rPr>
        <w:t xml:space="preserve">conforme a la Corte</w:t>
      </w:r>
      <w:r>
        <w:t xml:space="preserve">: notificación al cliente, reembolso de lo no devengado, moción de retiro completa y</w:t>
      </w:r>
      <w:r>
        <w:t xml:space="preserve"> </w:t>
      </w:r>
      <w:r>
        <w:rPr>
          <w:bCs/>
          <w:b/>
        </w:rPr>
        <w:t xml:space="preserve">permiso del juez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Principio rector:</w:t>
      </w:r>
      <w:r>
        <w:t xml:space="preserve"> </w:t>
      </w:r>
      <w:r>
        <w:t xml:space="preserve">proteger al cliente y satisfacer a la Corte es, a la vez, lo que protege a la firma. Hacer las cosas bien</w:t>
      </w:r>
      <w:r>
        <w:t xml:space="preserve"> </w:t>
      </w:r>
      <w:r>
        <w:rPr>
          <w:bCs/>
          <w:b/>
        </w:rPr>
        <w:t xml:space="preserve">es</w:t>
      </w:r>
      <w:r>
        <w:t xml:space="preserve"> </w:t>
      </w:r>
      <w:r>
        <w:t xml:space="preserve">la estrategia de defensa.</w:t>
      </w:r>
    </w:p>
    <w:p>
      <w:pPr>
        <w:pStyle w:val="BlockText"/>
      </w:pPr>
      <w:r>
        <w:t xml:space="preserve">El detalle operativo (triage por fecha de audiencia, checklist de documentación por caso, tablero y KPIs) está desarrollado en el</w:t>
      </w:r>
      <w:r>
        <w:t xml:space="preserve"> </w:t>
      </w:r>
      <w:r>
        <w:rPr>
          <w:bCs/>
          <w:b/>
        </w:rPr>
        <w:t xml:space="preserve">Plan de Ejecución</w:t>
      </w:r>
      <w:r>
        <w:t xml:space="preserve"> </w:t>
      </w:r>
      <w:r>
        <w:t xml:space="preserve">anexo. Este documento pide a la Junta la</w:t>
      </w:r>
      <w:r>
        <w:t xml:space="preserve"> </w:t>
      </w:r>
      <w:r>
        <w:rPr>
          <w:bCs/>
          <w:b/>
        </w:rPr>
        <w:t xml:space="preserve">decisión</w:t>
      </w:r>
      <w:r>
        <w:t xml:space="preserve">; el anexo describe el</w:t>
      </w:r>
      <w:r>
        <w:t xml:space="preserve"> </w:t>
      </w:r>
      <w:r>
        <w:rPr>
          <w:bCs/>
          <w:b/>
        </w:rPr>
        <w:t xml:space="preserve">cómo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gobernanza-y-estructura-del-equipo"/>
    <w:p>
      <w:pPr>
        <w:pStyle w:val="Heading2"/>
      </w:pPr>
      <w:r>
        <w:t xml:space="preserve">5. Gobernanza y estructura del equipo</w:t>
      </w:r>
    </w:p>
    <w:p>
      <w:pPr>
        <w:pStyle w:val="FirstParagraph"/>
      </w:pPr>
      <w:r>
        <w:t xml:space="preserve">La resolución se maneja como una</w:t>
      </w:r>
      <w:r>
        <w:t xml:space="preserve"> </w:t>
      </w:r>
      <w:r>
        <w:rPr>
          <w:bCs/>
          <w:b/>
        </w:rPr>
        <w:t xml:space="preserve">función dedicada</w:t>
      </w:r>
      <w:r>
        <w:t xml:space="preserve"> </w:t>
      </w:r>
      <w:r>
        <w:t xml:space="preserve">de 6 meses, con separación clara de responsabilidades: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75"/>
        <w:gridCol w:w="3334"/>
        <w:gridCol w:w="270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qué así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Abogada 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Firma las mociones, aprueba criterios legales y reembolsos, asume la responsabilidad ante la Corte y el 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responsabilidad profesional exige supervisión de un abogado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Coordinación de resolución</w:t>
            </w:r>
            <w:r>
              <w:t xml:space="preserve"> </w:t>
            </w:r>
            <w:r>
              <w:t xml:space="preserve">(persona a cargo del cobro)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Ejecuta el triage, el contacto con clientes y los planes de pago; ahora</w:t>
            </w:r>
            <w:r>
              <w:t xml:space="preserve"> </w:t>
            </w:r>
            <w:r>
              <w:rPr>
                <w:bCs/>
                <w:b/>
              </w:rPr>
              <w:t xml:space="preserve">con apoyo dedicado y un 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le dota de proceso, herramientas y refuerzo para tener éxito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Apoyo de documentación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Blinda el expediente de cada caso y vigila el calendario de audiencias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calendario es el corazón del riesgo — no puede depender de una sola persona</w:t>
            </w:r>
          </w:p>
        </w:tc>
      </w:tr>
    </w:tbl>
    <w:p>
      <w:pPr>
        <w:pStyle w:val="BodyText"/>
      </w:pPr>
      <w:r>
        <w:rPr>
          <w:bCs/>
          <w:b/>
        </w:rPr>
        <w:t xml:space="preserve">Nota de gobernanza:</w:t>
      </w:r>
      <w:r>
        <w:t xml:space="preserve"> </w:t>
      </w:r>
      <w:r>
        <w:t xml:space="preserve">el diseño</w:t>
      </w:r>
      <w:r>
        <w:t xml:space="preserve"> </w:t>
      </w:r>
      <w:r>
        <w:rPr>
          <w:bCs/>
          <w:b/>
        </w:rPr>
        <w:t xml:space="preserve">refuerza</w:t>
      </w:r>
      <w:r>
        <w:t xml:space="preserve"> </w:t>
      </w:r>
      <w:r>
        <w:t xml:space="preserve">a quien hoy tiene el cobro, dándole un sistema, apoyo y criterios claros, y</w:t>
      </w:r>
      <w:r>
        <w:t xml:space="preserve"> </w:t>
      </w:r>
      <w:r>
        <w:rPr>
          <w:bCs/>
          <w:b/>
        </w:rPr>
        <w:t xml:space="preserve">distribuye el control</w:t>
      </w:r>
      <w:r>
        <w:t xml:space="preserve"> </w:t>
      </w:r>
      <w:r>
        <w:t xml:space="preserve">(documentación y calendario independientes) para que ningún caso dependa de una sola persona. Esto protege tanto a la firma como a cada integrante del equipo.</w:t>
      </w:r>
    </w:p>
    <w:p>
      <w:r>
        <w:pict>
          <v:rect style="width:0;height:1.5pt" o:hralign="center" o:hrstd="t" o:hr="t"/>
        </w:pict>
      </w:r>
    </w:p>
    <w:bookmarkEnd w:id="25"/>
    <w:bookmarkStart w:id="26" w:name="impacto-financiero"/>
    <w:p>
      <w:pPr>
        <w:pStyle w:val="Heading2"/>
      </w:pPr>
      <w:r>
        <w:t xml:space="preserve">6. Impacto financiero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658"/>
        <w:gridCol w:w="326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Concepto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Cartera potencialmente recuperable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Porción</w:t>
            </w:r>
            <w:r>
              <w:t xml:space="preserve"> </w:t>
            </w:r>
            <w:r>
              <w:rPr>
                <w:bCs/>
                <w:b/>
              </w:rPr>
              <w:t xml:space="preserve">devengada</w:t>
            </w:r>
            <w:r>
              <w:t xml:space="preserve"> </w:t>
            </w:r>
            <w:r>
              <w:t xml:space="preserve">de &gt;$1M (a cuantificar en el triage)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Valor de mitigación de 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Evitar quejas, sanciones y costos de defensa disciplinaria — potencialmente</w:t>
            </w:r>
            <w:r>
              <w:t xml:space="preserve"> </w:t>
            </w:r>
            <w:r>
              <w:rPr>
                <w:bCs/>
                <w:b/>
              </w:rPr>
              <w:t xml:space="preserve">mayor</w:t>
            </w:r>
            <w:r>
              <w:t xml:space="preserve"> </w:t>
            </w:r>
            <w:r>
              <w:t xml:space="preserve">que la cartera misma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Inversión requerida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 de resolución de 6 meses (apoyo + sistema)</w:t>
            </w:r>
          </w:p>
        </w:tc>
      </w:tr>
    </w:tbl>
    <w:p>
      <w:pPr>
        <w:pStyle w:val="BodyText"/>
      </w:pPr>
      <w:r>
        <w:rPr>
          <w:bCs/>
          <w:b/>
        </w:rPr>
        <w:t xml:space="preserve">Lectura para la Junta:</w:t>
      </w:r>
      <w:r>
        <w:t xml:space="preserve"> </w:t>
      </w:r>
      <w:r>
        <w:t xml:space="preserve">aun si una parte de la cartera resulta incobrable o debe reembolsarse, el mayor retorno es</w:t>
      </w:r>
      <w:r>
        <w:t xml:space="preserve"> </w:t>
      </w:r>
      <w:r>
        <w:rPr>
          <w:bCs/>
          <w:b/>
        </w:rPr>
        <w:t xml:space="preserve">evitar el daño regulatorio y reputacional</w:t>
      </w:r>
      <w:r>
        <w:t xml:space="preserve">, que no tiene techo.</w:t>
      </w:r>
    </w:p>
    <w:p>
      <w:r>
        <w:pict>
          <v:rect style="width:0;height:1.5pt" o:hralign="center" o:hrstd="t" o:hr="t"/>
        </w:pict>
      </w:r>
    </w:p>
    <w:bookmarkEnd w:id="26"/>
    <w:bookmarkStart w:id="27" w:name="cronograma-y-hitos"/>
    <w:p>
      <w:pPr>
        <w:pStyle w:val="Heading2"/>
      </w:pPr>
      <w:r>
        <w:t xml:space="preserve">7. Cronograma y hitos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62"/>
        <w:gridCol w:w="3394"/>
        <w:gridCol w:w="226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— Preparación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Semanas 1–2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Triage completo; criterios y plantillas aprobados; tablero operando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 — Apagar el incendio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Meses 1–2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Todos los casos con audiencia próxima (P1) resueltos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— Volumen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Meses 3–4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Grueso de la cartera media resuelta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— Cierre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Meses 5–6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casos sin resolver</w:t>
            </w:r>
            <w:r>
              <w:t xml:space="preserve">; documentación completa</w:t>
            </w:r>
          </w:p>
        </w:tc>
      </w:tr>
    </w:tbl>
    <w:p>
      <w:pPr>
        <w:pStyle w:val="BodyText"/>
      </w:pPr>
      <w:r>
        <w:rPr>
          <w:bCs/>
          <w:b/>
        </w:rPr>
        <w:t xml:space="preserve">Métrica maestra de la Junta:</w:t>
      </w:r>
      <w:r>
        <w:t xml:space="preserve"> </w:t>
      </w:r>
      <w:r>
        <w:t xml:space="preserve">no es solo el dinero — es</w:t>
      </w:r>
      <w:r>
        <w:t xml:space="preserve"> </w:t>
      </w:r>
      <w:r>
        <w:rPr>
          <w:bCs/>
          <w:b/>
        </w:rPr>
        <w:t xml:space="preserve">cero audiencias perdidas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cero quejas nuevas</w:t>
      </w:r>
      <w:r>
        <w:t xml:space="preserve"> </w:t>
      </w:r>
      <w:r>
        <w:t xml:space="preserve">durante la operación.</w:t>
      </w:r>
    </w:p>
    <w:p>
      <w:r>
        <w:pict>
          <v:rect style="width:0;height:1.5pt" o:hralign="center" o:hrstd="t" o:hr="t"/>
        </w:pict>
      </w:r>
    </w:p>
    <w:bookmarkEnd w:id="27"/>
    <w:bookmarkStart w:id="28" w:name="decisiones-que-se-solicitan-a-la-junta"/>
    <w:p>
      <w:pPr>
        <w:pStyle w:val="Heading2"/>
      </w:pPr>
      <w:r>
        <w:t xml:space="preserve">8. Decisiones que se solicitan a la Junta</w:t>
      </w:r>
    </w:p>
    <w:p>
      <w:pPr>
        <w:pStyle w:val="FirstParagraph"/>
      </w:pPr>
      <w:r>
        <w:t xml:space="preserve">Para que este sea</w:t>
      </w:r>
      <w:r>
        <w:t xml:space="preserve"> </w:t>
      </w:r>
      <w:r>
        <w:rPr>
          <w:bCs/>
          <w:b/>
        </w:rPr>
        <w:t xml:space="preserve">el plan de la firma</w:t>
      </w:r>
      <w:r>
        <w:t xml:space="preserve"> </w:t>
      </w:r>
      <w:r>
        <w:t xml:space="preserve">(no de una persona), se pide a la Junta aprobar: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Adoptar la política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cobrar o retirarse bien</w:t>
      </w:r>
      <w:r>
        <w:rPr>
          <w:bCs/>
          <w:b/>
        </w:rPr>
        <w:t xml:space="preserve">”</w:t>
      </w:r>
      <w:r>
        <w:t xml:space="preserve"> </w:t>
      </w:r>
      <w:r>
        <w:t xml:space="preserve">como estándar de la firma para toda cuenta vencida.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Autorizar la función de resolución de 6 meses</w:t>
      </w:r>
      <w:r>
        <w:t xml:space="preserve"> </w:t>
      </w:r>
      <w:r>
        <w:t xml:space="preserve">con la estructura de la Sección 5 (apoyo de documentación + sistema/tablero).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Delegar en la abogada responsable</w:t>
      </w:r>
      <w:r>
        <w:t xml:space="preserve"> </w:t>
      </w:r>
      <w:r>
        <w:t xml:space="preserve">la autoridad para aprobar criterios A/B, reembolsos de lo no devengado y descuentos de cobro dentro de un rango definido.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Aprobar la inversión</w:t>
      </w:r>
      <w:r>
        <w:t xml:space="preserve"> </w:t>
      </w:r>
      <w:r>
        <w:t xml:space="preserve">en el apoyo y las herramientas necesarias.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Recibir un reporte mensual</w:t>
      </w:r>
      <w:r>
        <w:t xml:space="preserve"> </w:t>
      </w:r>
      <w:r>
        <w:t xml:space="preserve">de avance contra los hitos y KPIs.</w:t>
      </w:r>
    </w:p>
    <w:p>
      <w:r>
        <w:pict>
          <v:rect style="width:0;height:1.5pt" o:hralign="center" o:hrstd="t" o:hr="t"/>
        </w:pict>
      </w:r>
    </w:p>
    <w:bookmarkEnd w:id="28"/>
    <w:bookmarkStart w:id="29" w:name="el-costo-de-no-actuar"/>
    <w:p>
      <w:pPr>
        <w:pStyle w:val="Heading2"/>
      </w:pPr>
      <w:r>
        <w:t xml:space="preserve">9. El costo de no actuar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334"/>
        <w:gridCol w:w="458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 no se actúa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Consecuencia probable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Cuentas con audiencia siguen sin resolverse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Mociones tardías → inconformidad judicial → sanciones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Cobros/retiros sin documentación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Quejas ante el bar, reclamos de asistencia ineficaz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 rezago sigue creciendo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problema escala de financiero a</w:t>
            </w:r>
            <w:r>
              <w:t xml:space="preserve"> </w:t>
            </w:r>
            <w:r>
              <w:rPr>
                <w:bCs/>
                <w:b/>
              </w:rPr>
              <w:t xml:space="preserve">existencial</w:t>
            </w:r>
            <w:r>
              <w:t xml:space="preserve"> </w:t>
            </w:r>
            <w:r>
              <w:t xml:space="preserve">para la licencia y la reputación de la firma</w:t>
            </w:r>
          </w:p>
        </w:tc>
      </w:tr>
    </w:tbl>
    <w:p>
      <w:pPr>
        <w:pStyle w:val="BodyText"/>
      </w:pPr>
      <w:r>
        <w:rPr>
          <w:bCs/>
          <w:b/>
        </w:rPr>
        <w:t xml:space="preserve">Conclusión:</w:t>
      </w:r>
      <w:r>
        <w:t xml:space="preserve"> </w:t>
      </w:r>
      <w:r>
        <w:t xml:space="preserve">la inacción convierte un problema de cartera manejable en un riesgo para la viabilidad de la firma. El plan lo revierte y, al hacerlo bien, restaura la credibilidad ante la Corte.</w:t>
      </w:r>
    </w:p>
    <w:p>
      <w:r>
        <w:pict>
          <v:rect style="width:0;height:1.5pt" o:hralign="center" o:hrstd="t" o:hr="t"/>
        </w:pict>
      </w:r>
    </w:p>
    <w:bookmarkEnd w:id="29"/>
    <w:bookmarkStart w:id="30" w:name="recomendación"/>
    <w:p>
      <w:pPr>
        <w:pStyle w:val="Heading2"/>
      </w:pPr>
      <w:r>
        <w:t xml:space="preserve">10. Recomendación</w:t>
      </w:r>
    </w:p>
    <w:p>
      <w:pPr>
        <w:pStyle w:val="FirstParagraph"/>
      </w:pPr>
      <w:r>
        <w:t xml:space="preserve">Aprobar el plan tal como se presenta e iniciar la Fase 0 de inmediato, priorizando los casos con audiencias próximas. La firma tiene una ventana para corregir el rumbo</w:t>
      </w:r>
      <w:r>
        <w:t xml:space="preserve"> </w:t>
      </w:r>
      <w:r>
        <w:rPr>
          <w:bCs/>
          <w:b/>
        </w:rPr>
        <w:t xml:space="preserve">por iniciativa propia</w:t>
      </w:r>
      <w:r>
        <w:t xml:space="preserve"> </w:t>
      </w:r>
      <w:r>
        <w:t xml:space="preserve">— antes de que la corrección venga impuesta desde afuera.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Anexo: Plan de Ejecución detallado (</w:t>
      </w:r>
      <w:r>
        <w:rPr>
          <w:rStyle w:val="VerbatimChar"/>
          <w:iCs/>
          <w:i/>
        </w:rPr>
        <w:t xml:space="preserve">plan-resolucion-cuentas-morosas.md</w:t>
      </w:r>
      <w:r>
        <w:rPr>
          <w:iCs/>
          <w:i/>
        </w:rPr>
        <w:t xml:space="preserve">) — triage, vías A/B paso a paso, paquete de documentación por caso, tablero, KPIs y gestión de riesgos. Todos los procedimientos de retiro y cobranza serán aprobados por la abogada responsable y verificados contra las reglas de conducta profesional y el Immigration Court Practice Manual (EOIR) antes de ejecutarse. Disponible en inglés a solicitud.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2026-07-09T01:31:14Z</dcterms:created>
  <dcterms:modified xsi:type="dcterms:W3CDTF">2026-07-09T01:31:14Z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