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Steel Inbound Control Tower – Build Strategy &amp; Roadmap</w:t>
      </w:r>
    </w:p>
    <w:p>
      <w:pPr>
        <w:pStyle w:val="Heading1"/>
      </w:pPr>
      <w:r>
        <w:t>1. Build Prioritization Buckets</w:t>
      </w:r>
    </w:p>
    <w:p>
      <w:pPr>
        <w:pStyle w:val="Heading2"/>
      </w:pPr>
      <w:r>
        <w:t>1.1 Must-Have Before First Pilot</w:t>
      </w:r>
    </w:p>
    <w:p>
      <w:pPr>
        <w:pStyle w:val="ListBullet"/>
      </w:pPr>
      <w:r>
        <w:t>Tenant + user setup</w:t>
      </w:r>
    </w:p>
    <w:p>
      <w:pPr>
        <w:pStyle w:val="ListBullet"/>
      </w:pPr>
      <w:r>
        <w:t>Manual onboarding ingestion (shipment, stock, thresholds)</w:t>
      </w:r>
    </w:p>
    <w:p>
      <w:pPr>
        <w:pStyle w:val="ListBullet"/>
      </w:pPr>
      <w:r>
        <w:t>Canonical data model</w:t>
      </w:r>
    </w:p>
    <w:p>
      <w:pPr>
        <w:pStyle w:val="ListBullet"/>
      </w:pPr>
      <w:r>
        <w:t>Stock-cover engine</w:t>
      </w:r>
    </w:p>
    <w:p>
      <w:pPr>
        <w:pStyle w:val="ListBullet"/>
      </w:pPr>
      <w:r>
        <w:t>Shipment state model</w:t>
      </w:r>
    </w:p>
    <w:p>
      <w:pPr>
        <w:pStyle w:val="ListBullet"/>
      </w:pPr>
      <w:r>
        <w:t>Command-center dashboard</w:t>
      </w:r>
    </w:p>
    <w:p>
      <w:pPr>
        <w:pStyle w:val="ListBullet"/>
      </w:pPr>
      <w:r>
        <w:t>Exception engine</w:t>
      </w:r>
    </w:p>
    <w:p>
      <w:pPr>
        <w:pStyle w:val="ListBullet"/>
      </w:pPr>
      <w:r>
        <w:t>Exception workflow</w:t>
      </w:r>
    </w:p>
    <w:p>
      <w:pPr>
        <w:pStyle w:val="ListBullet"/>
      </w:pPr>
      <w:r>
        <w:t>Audit logs and ingestion tracking</w:t>
      </w:r>
    </w:p>
    <w:p>
      <w:pPr>
        <w:pStyle w:val="ListBullet"/>
      </w:pPr>
      <w:r>
        <w:t>Basic documentation</w:t>
      </w:r>
    </w:p>
    <w:p>
      <w:pPr>
        <w:pStyle w:val="Heading2"/>
      </w:pPr>
      <w:r>
        <w:t>1.2 Should-Have During Pilot</w:t>
      </w:r>
    </w:p>
    <w:p>
      <w:pPr>
        <w:pStyle w:val="ListBullet"/>
      </w:pPr>
      <w:r>
        <w:t>State-based shipment contribution</w:t>
      </w:r>
    </w:p>
    <w:p>
      <w:pPr>
        <w:pStyle w:val="ListBullet"/>
      </w:pPr>
      <w:r>
        <w:t>Basic inland movement tracking</w:t>
      </w:r>
    </w:p>
    <w:p>
      <w:pPr>
        <w:pStyle w:val="ListBullet"/>
      </w:pPr>
      <w:r>
        <w:t>Confidence scoring</w:t>
      </w:r>
    </w:p>
    <w:p>
      <w:pPr>
        <w:pStyle w:val="ListBullet"/>
      </w:pPr>
      <w:r>
        <w:t>Email ingestion</w:t>
      </w:r>
    </w:p>
    <w:p>
      <w:pPr>
        <w:pStyle w:val="ListBullet"/>
      </w:pPr>
      <w:r>
        <w:t>Shared folder sync</w:t>
      </w:r>
    </w:p>
    <w:p>
      <w:pPr>
        <w:pStyle w:val="ListBullet"/>
      </w:pPr>
      <w:r>
        <w:t>Improved dashboard UX</w:t>
      </w:r>
    </w:p>
    <w:p>
      <w:pPr>
        <w:pStyle w:val="ListBullet"/>
      </w:pPr>
      <w:r>
        <w:t>Data freshness indicators</w:t>
      </w:r>
    </w:p>
    <w:p>
      <w:pPr>
        <w:pStyle w:val="ListBullet"/>
      </w:pPr>
      <w:r>
        <w:t>Manual overrides</w:t>
      </w:r>
    </w:p>
    <w:p>
      <w:pPr>
        <w:pStyle w:val="ListBullet"/>
      </w:pPr>
      <w:r>
        <w:t>Basic reporting/export</w:t>
      </w:r>
    </w:p>
    <w:p>
      <w:pPr>
        <w:pStyle w:val="Heading2"/>
      </w:pPr>
      <w:r>
        <w:t>1.3 Post-Pilot Expansion</w:t>
      </w:r>
    </w:p>
    <w:p>
      <w:pPr>
        <w:pStyle w:val="ListBullet"/>
      </w:pPr>
      <w:r>
        <w:t>AIS vessel tracking</w:t>
      </w:r>
    </w:p>
    <w:p>
      <w:pPr>
        <w:pStyle w:val="ListBullet"/>
      </w:pPr>
      <w:r>
        <w:t>Advanced inland tracking (GPS/FASTag)</w:t>
      </w:r>
    </w:p>
    <w:p>
      <w:pPr>
        <w:pStyle w:val="ListBullet"/>
      </w:pPr>
      <w:r>
        <w:t>ERP integrations</w:t>
      </w:r>
    </w:p>
    <w:p>
      <w:pPr>
        <w:pStyle w:val="ListBullet"/>
      </w:pPr>
      <w:r>
        <w:t>Automated notifications</w:t>
      </w:r>
    </w:p>
    <w:p>
      <w:pPr>
        <w:pStyle w:val="ListBullet"/>
      </w:pPr>
      <w:r>
        <w:t>Scenario simulation</w:t>
      </w:r>
    </w:p>
    <w:p>
      <w:pPr>
        <w:pStyle w:val="ListBullet"/>
      </w:pPr>
      <w:r>
        <w:t>AI recommendations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Portfolio views</w:t>
      </w:r>
    </w:p>
    <w:p>
      <w:pPr>
        <w:pStyle w:val="ListBullet"/>
      </w:pPr>
      <w:r>
        <w:t>Supplier portal</w:t>
      </w:r>
    </w:p>
    <w:p>
      <w:pPr>
        <w:pStyle w:val="ListBullet"/>
      </w:pPr>
      <w:r>
        <w:t>Mobile workflows</w:t>
      </w:r>
    </w:p>
    <w:p>
      <w:pPr>
        <w:pStyle w:val="Heading1"/>
      </w:pPr>
      <w:r>
        <w:t>2. Suggested Roadmap Timeline</w:t>
      </w:r>
    </w:p>
    <w:p>
      <w:pPr>
        <w:pStyle w:val="ListBullet"/>
      </w:pPr>
      <w:r>
        <w:t>Week 1–2: Schema + onboarding ingestion</w:t>
      </w:r>
    </w:p>
    <w:p>
      <w:pPr>
        <w:pStyle w:val="ListBullet"/>
      </w:pPr>
      <w:r>
        <w:t>Week 3: Stock-cover engine</w:t>
      </w:r>
    </w:p>
    <w:p>
      <w:pPr>
        <w:pStyle w:val="ListBullet"/>
      </w:pPr>
      <w:r>
        <w:t>Week 4: Shipment visibility</w:t>
      </w:r>
    </w:p>
    <w:p>
      <w:pPr>
        <w:pStyle w:val="ListBullet"/>
      </w:pPr>
      <w:r>
        <w:t>Week 5: Exception workflow</w:t>
      </w:r>
    </w:p>
    <w:p>
      <w:pPr>
        <w:pStyle w:val="ListBullet"/>
      </w:pPr>
      <w:r>
        <w:t>Week 6–8: Pilot deployment</w:t>
      </w:r>
    </w:p>
    <w:p>
      <w:pPr>
        <w:pStyle w:val="ListBullet"/>
      </w:pPr>
      <w:r>
        <w:t>Month 3: Email + shared folder automation</w:t>
      </w:r>
    </w:p>
    <w:p>
      <w:pPr>
        <w:pStyle w:val="ListBullet"/>
      </w:pPr>
      <w:r>
        <w:t>Month 4–6: ERP + AIS integration</w:t>
      </w:r>
    </w:p>
    <w:p>
      <w:pPr>
        <w:pStyle w:val="Heading1"/>
      </w:pPr>
      <w:r>
        <w:t>3. Revenue Impact Mapping</w:t>
      </w:r>
    </w:p>
    <w:p>
      <w:r>
        <w:t>Must-Have features drive initial deal closure by solving continuity risk.</w:t>
      </w:r>
    </w:p>
    <w:p>
      <w:r>
        <w:t>Should-Have features improve adoption and retention during pilot.</w:t>
      </w:r>
    </w:p>
    <w:p>
      <w:r>
        <w:t>Post-Pilot features enable expansion and upsell opportunities.</w:t>
      </w:r>
    </w:p>
    <w:p>
      <w:pPr>
        <w:pStyle w:val="Heading1"/>
      </w:pPr>
      <w:r>
        <w:t>4. Pitch Alignment</w:t>
      </w:r>
    </w:p>
    <w:p>
      <w:r>
        <w:t>Problem: Fragmented inbound visibility and reactive operations.</w:t>
      </w:r>
    </w:p>
    <w:p>
      <w:r>
        <w:t>Solution: Unified control tower with predictive risk and workflow.</w:t>
      </w:r>
    </w:p>
    <w:p>
      <w:r>
        <w:t>How it Works: Data ingestion → normalization → stock-cover → exceptions → action.</w:t>
      </w:r>
    </w:p>
    <w:p>
      <w:r>
        <w:t>Roadmap: Start simple, then automate and scale.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