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936"/>
      </w:tblGrid>
      <w:tr w:rsidR="004011B9" w14:paraId="452E341D" w14:textId="77777777">
        <w:trPr>
          <w:jc w:val="center"/>
        </w:trPr>
        <w:tc>
          <w:tcPr>
            <w:tcW w:w="9936" w:type="dxa"/>
            <w:shd w:val="clear" w:color="auto" w:fill="0E1726"/>
            <w:tcMar>
              <w:top w:w="160" w:type="dxa"/>
              <w:left w:w="180" w:type="dxa"/>
              <w:bottom w:w="160" w:type="dxa"/>
              <w:right w:w="180" w:type="dxa"/>
            </w:tcMar>
          </w:tcPr>
          <w:p w14:paraId="2FDCD042" w14:textId="77777777" w:rsidR="004011B9" w:rsidRDefault="00000000">
            <w:pPr>
              <w:spacing w:after="0"/>
            </w:pPr>
            <w:r>
              <w:rPr>
                <w:rFonts w:ascii="Aptos Display" w:hAnsi="Aptos Display"/>
                <w:b/>
                <w:color w:val="FFFFFF"/>
                <w:sz w:val="48"/>
              </w:rPr>
              <w:t>Steel Inbound Control Tower</w:t>
            </w:r>
            <w:r>
              <w:rPr>
                <w:rFonts w:ascii="Aptos Display" w:hAnsi="Aptos Display"/>
                <w:b/>
                <w:color w:val="FFFFFF"/>
                <w:sz w:val="48"/>
              </w:rPr>
              <w:br/>
            </w:r>
            <w:r>
              <w:rPr>
                <w:rFonts w:ascii="Aptos" w:hAnsi="Aptos"/>
                <w:color w:val="DBEAFE"/>
                <w:sz w:val="25"/>
              </w:rPr>
              <w:t>Founder memo | client proposal | boardroom pack | India GTM plan</w:t>
            </w:r>
          </w:p>
        </w:tc>
      </w:tr>
    </w:tbl>
    <w:p w14:paraId="189228F6" w14:textId="77777777" w:rsidR="004011B9" w:rsidRDefault="004011B9">
      <w:pPr>
        <w:spacing w:after="80"/>
      </w:pPr>
    </w:p>
    <w:p w14:paraId="3A3A127A" w14:textId="77777777" w:rsidR="004011B9" w:rsidRDefault="00000000">
      <w:pPr>
        <w:spacing w:after="40"/>
      </w:pPr>
      <w:r>
        <w:rPr>
          <w:rFonts w:ascii="Aptos" w:hAnsi="Aptos"/>
          <w:b/>
          <w:color w:val="2D6CDF"/>
        </w:rPr>
        <w:t>Purpose</w:t>
      </w:r>
    </w:p>
    <w:p w14:paraId="60E39322" w14:textId="77777777" w:rsidR="004011B9" w:rsidRDefault="00000000">
      <w:r>
        <w:rPr>
          <w:rFonts w:ascii="Aptos" w:hAnsi="Aptos"/>
          <w:color w:val="334155"/>
        </w:rPr>
        <w:t>This document combines the product thesis, the client-facing proposal, the phased build roadmap, the 10-slide pitch narrative, and the India-specific first customer acquisition plan for a steel-specific raw-material inbound control tower.</w:t>
      </w:r>
    </w:p>
    <w:tbl>
      <w:tblPr>
        <w:tblW w:w="0" w:type="auto"/>
        <w:jc w:val="center"/>
        <w:tblLook w:val="04A0" w:firstRow="1" w:lastRow="0" w:firstColumn="1" w:lastColumn="0" w:noHBand="0" w:noVBand="1"/>
      </w:tblPr>
      <w:tblGrid>
        <w:gridCol w:w="9936"/>
      </w:tblGrid>
      <w:tr w:rsidR="004011B9" w14:paraId="5E69D695" w14:textId="77777777">
        <w:trPr>
          <w:jc w:val="center"/>
        </w:trPr>
        <w:tc>
          <w:tcPr>
            <w:tcW w:w="9936" w:type="dxa"/>
            <w:shd w:val="clear" w:color="auto" w:fill="EAF2FF"/>
            <w:tcMar>
              <w:top w:w="70" w:type="dxa"/>
              <w:left w:w="120" w:type="dxa"/>
              <w:bottom w:w="70" w:type="dxa"/>
              <w:right w:w="120" w:type="dxa"/>
            </w:tcMar>
            <w:vAlign w:val="center"/>
          </w:tcPr>
          <w:p w14:paraId="15905DC4" w14:textId="77777777" w:rsidR="004011B9" w:rsidRDefault="00000000">
            <w:r>
              <w:rPr>
                <w:rFonts w:ascii="Aptos" w:hAnsi="Aptos"/>
                <w:b/>
                <w:color w:val="102A43"/>
              </w:rPr>
              <w:t>What a first-time reader should understand</w:t>
            </w:r>
          </w:p>
        </w:tc>
      </w:tr>
      <w:tr w:rsidR="004011B9" w14:paraId="203F5DEE" w14:textId="77777777">
        <w:trPr>
          <w:jc w:val="center"/>
        </w:trPr>
        <w:tc>
          <w:tcPr>
            <w:tcW w:w="9936" w:type="dxa"/>
            <w:shd w:val="clear" w:color="auto" w:fill="F6F8FB"/>
            <w:tcMar>
              <w:top w:w="70" w:type="dxa"/>
              <w:left w:w="120" w:type="dxa"/>
              <w:bottom w:w="70" w:type="dxa"/>
              <w:right w:w="120" w:type="dxa"/>
            </w:tcMar>
            <w:vAlign w:val="center"/>
          </w:tcPr>
          <w:p w14:paraId="1D59FCAE" w14:textId="77777777" w:rsidR="004011B9" w:rsidRDefault="00000000">
            <w:pPr>
              <w:spacing w:line="269" w:lineRule="auto"/>
            </w:pPr>
            <w:r>
              <w:rPr>
                <w:rFonts w:ascii="Aptos" w:hAnsi="Aptos"/>
                <w:color w:val="334155"/>
                <w:sz w:val="20"/>
              </w:rPr>
              <w:t>1) What the product does and why steel inbound risk is different from generic procurement. 2) What data the system uses and how onboarding starts without heavy ERP integration. 3) What the dashboard shows, how the workflow closes the loop, and how a pilot proves value. 4) Which accounts to target first in India and how a founder-led motion should land the first pilot.</w:t>
            </w:r>
          </w:p>
        </w:tc>
      </w:tr>
    </w:tbl>
    <w:p w14:paraId="3A032836" w14:textId="77777777" w:rsidR="004011B9" w:rsidRDefault="004011B9">
      <w:pPr>
        <w:spacing w:after="80"/>
      </w:pPr>
    </w:p>
    <w:p w14:paraId="262A74AA" w14:textId="77777777" w:rsidR="004011B9" w:rsidRDefault="00000000">
      <w:r>
        <w:br w:type="page"/>
      </w:r>
    </w:p>
    <w:p w14:paraId="45CA5774" w14:textId="77777777" w:rsidR="004011B9" w:rsidRDefault="00000000">
      <w:pPr>
        <w:spacing w:before="200" w:after="100"/>
      </w:pPr>
      <w:r>
        <w:rPr>
          <w:rFonts w:ascii="Aptos Display" w:hAnsi="Aptos Display"/>
          <w:b/>
          <w:color w:val="102A43"/>
          <w:sz w:val="36"/>
        </w:rPr>
        <w:lastRenderedPageBreak/>
        <w:t>1. Executive summary</w:t>
      </w:r>
    </w:p>
    <w:p w14:paraId="7E89D1BB" w14:textId="77777777" w:rsidR="004011B9" w:rsidRDefault="00000000">
      <w:pPr>
        <w:spacing w:after="120"/>
      </w:pPr>
      <w:r>
        <w:rPr>
          <w:rFonts w:ascii="Aptos" w:hAnsi="Aptos"/>
          <w:color w:val="1F2937"/>
          <w:sz w:val="21"/>
        </w:rPr>
        <w:t>SteelOps is not a generic procurement suite. It is a steel-specific inbound decision layer that sits beside ERP and converts fragmented shipment, port, inland, stock and quality signals into one operating rhythm for procurement, logistics, planning and plant teams.</w:t>
      </w:r>
    </w:p>
    <w:p w14:paraId="083FF5E9" w14:textId="77777777" w:rsidR="004011B9" w:rsidRDefault="00000000">
      <w:pPr>
        <w:spacing w:after="120"/>
      </w:pPr>
      <w:r>
        <w:rPr>
          <w:rFonts w:ascii="Aptos" w:hAnsi="Aptos"/>
          <w:color w:val="1F2937"/>
          <w:sz w:val="21"/>
        </w:rPr>
        <w:t>The strongest entry point is the raw-material inbound control tower: shipment visibility, days-of-cover prediction, exception workflow, and sponsor-level risk visibility. The product is designed to work in the real operating environment of Indian steel — Excel trackers, SAP extracts, transporter messages, partial inland visibility, and uneven ecosystem digitisation — rather than waiting for perfect data.</w:t>
      </w:r>
    </w:p>
    <w:p w14:paraId="18C9B29B" w14:textId="77777777" w:rsidR="004011B9" w:rsidRDefault="00000000">
      <w:pPr>
        <w:spacing w:after="120"/>
      </w:pPr>
      <w:r>
        <w:rPr>
          <w:rFonts w:ascii="Aptos" w:hAnsi="Aptos"/>
          <w:color w:val="1F2937"/>
          <w:sz w:val="21"/>
        </w:rPr>
        <w:t>The commercial logic is simple: land with a 10–14 week pilot for one plant and one or two critical materials; prove earlier warnings, better cross-functional ownership, and reduced disruption noise; then expand by route, plant, and workflow depth.</w:t>
      </w:r>
    </w:p>
    <w:tbl>
      <w:tblPr>
        <w:tblW w:w="0" w:type="auto"/>
        <w:jc w:val="center"/>
        <w:tblLook w:val="04A0" w:firstRow="1" w:lastRow="0" w:firstColumn="1" w:lastColumn="0" w:noHBand="0" w:noVBand="1"/>
      </w:tblPr>
      <w:tblGrid>
        <w:gridCol w:w="9936"/>
      </w:tblGrid>
      <w:tr w:rsidR="004011B9" w14:paraId="7940EAC8" w14:textId="77777777">
        <w:trPr>
          <w:jc w:val="center"/>
        </w:trPr>
        <w:tc>
          <w:tcPr>
            <w:tcW w:w="9936" w:type="dxa"/>
            <w:shd w:val="clear" w:color="auto" w:fill="EAF2FF"/>
            <w:tcMar>
              <w:top w:w="70" w:type="dxa"/>
              <w:left w:w="120" w:type="dxa"/>
              <w:bottom w:w="70" w:type="dxa"/>
              <w:right w:w="120" w:type="dxa"/>
            </w:tcMar>
            <w:vAlign w:val="center"/>
          </w:tcPr>
          <w:p w14:paraId="0CD59850" w14:textId="77777777" w:rsidR="004011B9" w:rsidRDefault="00000000">
            <w:r>
              <w:rPr>
                <w:rFonts w:ascii="Aptos" w:hAnsi="Aptos"/>
                <w:b/>
                <w:color w:val="102A43"/>
              </w:rPr>
              <w:t>Core thesis</w:t>
            </w:r>
          </w:p>
        </w:tc>
      </w:tr>
      <w:tr w:rsidR="004011B9" w14:paraId="12AF6BF3" w14:textId="77777777">
        <w:trPr>
          <w:jc w:val="center"/>
        </w:trPr>
        <w:tc>
          <w:tcPr>
            <w:tcW w:w="9936" w:type="dxa"/>
            <w:shd w:val="clear" w:color="auto" w:fill="F6F8FB"/>
            <w:tcMar>
              <w:top w:w="70" w:type="dxa"/>
              <w:left w:w="120" w:type="dxa"/>
              <w:bottom w:w="70" w:type="dxa"/>
              <w:right w:w="120" w:type="dxa"/>
            </w:tcMar>
            <w:vAlign w:val="center"/>
          </w:tcPr>
          <w:p w14:paraId="4A7C03ED" w14:textId="77777777" w:rsidR="004011B9" w:rsidRDefault="00000000">
            <w:pPr>
              <w:spacing w:line="269" w:lineRule="auto"/>
            </w:pPr>
            <w:r>
              <w:rPr>
                <w:rFonts w:ascii="Aptos" w:hAnsi="Aptos"/>
                <w:color w:val="334155"/>
                <w:sz w:val="20"/>
              </w:rPr>
              <w:t>Build the steel-specific inbound operating layer first. Do not begin with a broad procurement platform. Own one painful coordination problem so clearly that the customer changes its daily operating rhythm.</w:t>
            </w:r>
          </w:p>
        </w:tc>
      </w:tr>
    </w:tbl>
    <w:p w14:paraId="6ECCFC60" w14:textId="77777777" w:rsidR="004011B9" w:rsidRDefault="004011B9">
      <w:pPr>
        <w:spacing w:after="80"/>
      </w:pPr>
    </w:p>
    <w:p w14:paraId="48FAEA6E" w14:textId="77777777" w:rsidR="004011B9" w:rsidRDefault="00000000">
      <w:pPr>
        <w:spacing w:before="200" w:after="100"/>
      </w:pPr>
      <w:r>
        <w:rPr>
          <w:rFonts w:ascii="Aptos Display" w:hAnsi="Aptos Display"/>
          <w:b/>
          <w:color w:val="102A43"/>
          <w:sz w:val="36"/>
        </w:rPr>
        <w:t>2. Why now</w:t>
      </w:r>
    </w:p>
    <w:p w14:paraId="5D006C07" w14:textId="77777777" w:rsidR="004011B9" w:rsidRDefault="00000000">
      <w:pPr>
        <w:spacing w:after="120"/>
      </w:pPr>
      <w:r>
        <w:rPr>
          <w:rFonts w:ascii="Aptos" w:hAnsi="Aptos"/>
          <w:color w:val="1F2937"/>
          <w:sz w:val="21"/>
        </w:rPr>
        <w:t>India’s steel sector continues to expand, while policy and company reporting keep raw-material security, supply-chain resilience, and digitalisation in the foreground. That creates the right backdrop for a steel-specific decision layer rather than another reporting project.</w:t>
      </w:r>
    </w:p>
    <w:tbl>
      <w:tblPr>
        <w:tblStyle w:val="TableGrid"/>
        <w:tblW w:w="0" w:type="auto"/>
        <w:jc w:val="center"/>
        <w:tblLook w:val="04A0" w:firstRow="1" w:lastRow="0" w:firstColumn="1" w:lastColumn="0" w:noHBand="0" w:noVBand="1"/>
      </w:tblPr>
      <w:tblGrid>
        <w:gridCol w:w="4968"/>
        <w:gridCol w:w="4968"/>
      </w:tblGrid>
      <w:tr w:rsidR="004011B9" w14:paraId="603AB16D" w14:textId="77777777">
        <w:trPr>
          <w:jc w:val="center"/>
        </w:trPr>
        <w:tc>
          <w:tcPr>
            <w:tcW w:w="4968" w:type="dxa"/>
            <w:shd w:val="clear" w:color="auto" w:fill="EAF2FF"/>
            <w:tcMar>
              <w:top w:w="80" w:type="dxa"/>
              <w:left w:w="120" w:type="dxa"/>
              <w:bottom w:w="80" w:type="dxa"/>
              <w:right w:w="120" w:type="dxa"/>
            </w:tcMar>
          </w:tcPr>
          <w:p w14:paraId="743D4239" w14:textId="77777777" w:rsidR="004011B9" w:rsidRDefault="00000000">
            <w:r>
              <w:rPr>
                <w:rFonts w:ascii="Aptos" w:hAnsi="Aptos"/>
                <w:b/>
                <w:color w:val="102A43"/>
                <w:sz w:val="19"/>
              </w:rPr>
              <w:t>Public signal</w:t>
            </w:r>
          </w:p>
        </w:tc>
        <w:tc>
          <w:tcPr>
            <w:tcW w:w="4968" w:type="dxa"/>
            <w:shd w:val="clear" w:color="auto" w:fill="EAF2FF"/>
            <w:tcMar>
              <w:top w:w="80" w:type="dxa"/>
              <w:left w:w="120" w:type="dxa"/>
              <w:bottom w:w="80" w:type="dxa"/>
              <w:right w:w="120" w:type="dxa"/>
            </w:tcMar>
          </w:tcPr>
          <w:p w14:paraId="6D22844F" w14:textId="77777777" w:rsidR="004011B9" w:rsidRDefault="00000000">
            <w:pPr>
              <w:jc w:val="center"/>
            </w:pPr>
            <w:r>
              <w:rPr>
                <w:rFonts w:ascii="Aptos" w:hAnsi="Aptos"/>
                <w:b/>
                <w:color w:val="102A43"/>
                <w:sz w:val="19"/>
              </w:rPr>
              <w:t>Why it matters commercially</w:t>
            </w:r>
          </w:p>
        </w:tc>
      </w:tr>
      <w:tr w:rsidR="004011B9" w14:paraId="43288F10" w14:textId="77777777">
        <w:trPr>
          <w:jc w:val="center"/>
        </w:trPr>
        <w:tc>
          <w:tcPr>
            <w:tcW w:w="4968" w:type="dxa"/>
            <w:tcMar>
              <w:top w:w="75" w:type="dxa"/>
              <w:left w:w="120" w:type="dxa"/>
              <w:bottom w:w="75" w:type="dxa"/>
              <w:right w:w="120" w:type="dxa"/>
            </w:tcMar>
            <w:vAlign w:val="center"/>
          </w:tcPr>
          <w:p w14:paraId="46B57DA3" w14:textId="77777777" w:rsidR="004011B9" w:rsidRDefault="00000000">
            <w:r>
              <w:rPr>
                <w:rFonts w:ascii="Aptos" w:hAnsi="Aptos"/>
                <w:sz w:val="19"/>
              </w:rPr>
              <w:t>Policy ambition to scale Indian steel capacity materially over the next decade</w:t>
            </w:r>
          </w:p>
        </w:tc>
        <w:tc>
          <w:tcPr>
            <w:tcW w:w="4968" w:type="dxa"/>
            <w:tcMar>
              <w:top w:w="75" w:type="dxa"/>
              <w:left w:w="120" w:type="dxa"/>
              <w:bottom w:w="75" w:type="dxa"/>
              <w:right w:w="120" w:type="dxa"/>
            </w:tcMar>
            <w:vAlign w:val="center"/>
          </w:tcPr>
          <w:p w14:paraId="3BA1A44A" w14:textId="77777777" w:rsidR="004011B9" w:rsidRDefault="00000000">
            <w:r>
              <w:rPr>
                <w:rFonts w:ascii="Aptos" w:hAnsi="Aptos"/>
                <w:sz w:val="19"/>
              </w:rPr>
              <w:t>More movements, more route complexity, more coordination events</w:t>
            </w:r>
          </w:p>
        </w:tc>
      </w:tr>
      <w:tr w:rsidR="004011B9" w14:paraId="25469732" w14:textId="77777777">
        <w:trPr>
          <w:jc w:val="center"/>
        </w:trPr>
        <w:tc>
          <w:tcPr>
            <w:tcW w:w="4968" w:type="dxa"/>
            <w:shd w:val="clear" w:color="auto" w:fill="FBFCFE"/>
            <w:tcMar>
              <w:top w:w="75" w:type="dxa"/>
              <w:left w:w="120" w:type="dxa"/>
              <w:bottom w:w="75" w:type="dxa"/>
              <w:right w:w="120" w:type="dxa"/>
            </w:tcMar>
            <w:vAlign w:val="center"/>
          </w:tcPr>
          <w:p w14:paraId="06052D09" w14:textId="77777777" w:rsidR="004011B9" w:rsidRDefault="00000000">
            <w:r>
              <w:rPr>
                <w:rFonts w:ascii="Aptos" w:hAnsi="Aptos"/>
                <w:sz w:val="19"/>
              </w:rPr>
              <w:t>Continued discussion of coking-coal dependence and resource security</w:t>
            </w:r>
          </w:p>
        </w:tc>
        <w:tc>
          <w:tcPr>
            <w:tcW w:w="4968" w:type="dxa"/>
            <w:shd w:val="clear" w:color="auto" w:fill="FBFCFE"/>
            <w:tcMar>
              <w:top w:w="75" w:type="dxa"/>
              <w:left w:w="120" w:type="dxa"/>
              <w:bottom w:w="75" w:type="dxa"/>
              <w:right w:w="120" w:type="dxa"/>
            </w:tcMar>
            <w:vAlign w:val="center"/>
          </w:tcPr>
          <w:p w14:paraId="0F9D6C0B" w14:textId="77777777" w:rsidR="004011B9" w:rsidRDefault="00000000">
            <w:r>
              <w:rPr>
                <w:rFonts w:ascii="Aptos" w:hAnsi="Aptos"/>
                <w:sz w:val="19"/>
              </w:rPr>
              <w:t>Inbound raw materials remain strategic, not local</w:t>
            </w:r>
          </w:p>
        </w:tc>
      </w:tr>
      <w:tr w:rsidR="004011B9" w14:paraId="5FEAE3A0" w14:textId="77777777">
        <w:trPr>
          <w:jc w:val="center"/>
        </w:trPr>
        <w:tc>
          <w:tcPr>
            <w:tcW w:w="4968" w:type="dxa"/>
            <w:tcMar>
              <w:top w:w="75" w:type="dxa"/>
              <w:left w:w="120" w:type="dxa"/>
              <w:bottom w:w="75" w:type="dxa"/>
              <w:right w:w="120" w:type="dxa"/>
            </w:tcMar>
            <w:vAlign w:val="center"/>
          </w:tcPr>
          <w:p w14:paraId="202331A8" w14:textId="77777777" w:rsidR="004011B9" w:rsidRDefault="00000000">
            <w:r>
              <w:rPr>
                <w:rFonts w:ascii="Aptos" w:hAnsi="Aptos"/>
                <w:sz w:val="19"/>
              </w:rPr>
              <w:t>Large producers publicly discuss digitalisation and supply-chain optimisation</w:t>
            </w:r>
          </w:p>
        </w:tc>
        <w:tc>
          <w:tcPr>
            <w:tcW w:w="4968" w:type="dxa"/>
            <w:tcMar>
              <w:top w:w="75" w:type="dxa"/>
              <w:left w:w="120" w:type="dxa"/>
              <w:bottom w:w="75" w:type="dxa"/>
              <w:right w:w="120" w:type="dxa"/>
            </w:tcMar>
            <w:vAlign w:val="center"/>
          </w:tcPr>
          <w:p w14:paraId="0134C15E" w14:textId="77777777" w:rsidR="004011B9" w:rsidRDefault="00000000">
            <w:r>
              <w:rPr>
                <w:rFonts w:ascii="Aptos" w:hAnsi="Aptos"/>
                <w:sz w:val="19"/>
              </w:rPr>
              <w:t>The buyer already understands the problem; the startup must go deeper than dashboards</w:t>
            </w:r>
          </w:p>
        </w:tc>
      </w:tr>
      <w:tr w:rsidR="004011B9" w14:paraId="4D9C00D4" w14:textId="77777777">
        <w:trPr>
          <w:jc w:val="center"/>
        </w:trPr>
        <w:tc>
          <w:tcPr>
            <w:tcW w:w="4968" w:type="dxa"/>
            <w:shd w:val="clear" w:color="auto" w:fill="FBFCFE"/>
            <w:tcMar>
              <w:top w:w="75" w:type="dxa"/>
              <w:left w:w="120" w:type="dxa"/>
              <w:bottom w:w="75" w:type="dxa"/>
              <w:right w:w="120" w:type="dxa"/>
            </w:tcMar>
            <w:vAlign w:val="center"/>
          </w:tcPr>
          <w:p w14:paraId="512B5EF8" w14:textId="77777777" w:rsidR="004011B9" w:rsidRDefault="00000000">
            <w:r>
              <w:rPr>
                <w:rFonts w:ascii="Aptos" w:hAnsi="Aptos"/>
                <w:sz w:val="19"/>
              </w:rPr>
              <w:t>Integrated producers keep expanding site and network complexity</w:t>
            </w:r>
          </w:p>
        </w:tc>
        <w:tc>
          <w:tcPr>
            <w:tcW w:w="4968" w:type="dxa"/>
            <w:shd w:val="clear" w:color="auto" w:fill="FBFCFE"/>
            <w:tcMar>
              <w:top w:w="75" w:type="dxa"/>
              <w:left w:w="120" w:type="dxa"/>
              <w:bottom w:w="75" w:type="dxa"/>
              <w:right w:w="120" w:type="dxa"/>
            </w:tcMar>
            <w:vAlign w:val="center"/>
          </w:tcPr>
          <w:p w14:paraId="07E74057" w14:textId="77777777" w:rsidR="004011B9" w:rsidRDefault="00000000">
            <w:r>
              <w:rPr>
                <w:rFonts w:ascii="Aptos" w:hAnsi="Aptos"/>
                <w:sz w:val="19"/>
              </w:rPr>
              <w:t>One avoided disruption can justify enterprise software spend</w:t>
            </w:r>
          </w:p>
        </w:tc>
      </w:tr>
    </w:tbl>
    <w:p w14:paraId="74D899D5" w14:textId="77777777" w:rsidR="004011B9" w:rsidRDefault="004011B9">
      <w:pPr>
        <w:spacing w:after="100"/>
      </w:pPr>
    </w:p>
    <w:p w14:paraId="349271E5" w14:textId="77777777" w:rsidR="004011B9" w:rsidRDefault="00000000">
      <w:pPr>
        <w:spacing w:before="200" w:after="100"/>
      </w:pPr>
      <w:r>
        <w:rPr>
          <w:rFonts w:ascii="Aptos Display" w:hAnsi="Aptos Display"/>
          <w:b/>
          <w:color w:val="102A43"/>
          <w:sz w:val="36"/>
        </w:rPr>
        <w:t>3. What the product is and is not</w:t>
      </w:r>
    </w:p>
    <w:tbl>
      <w:tblPr>
        <w:tblStyle w:val="TableGrid"/>
        <w:tblW w:w="0" w:type="auto"/>
        <w:jc w:val="center"/>
        <w:tblLook w:val="04A0" w:firstRow="1" w:lastRow="0" w:firstColumn="1" w:lastColumn="0" w:noHBand="0" w:noVBand="1"/>
      </w:tblPr>
      <w:tblGrid>
        <w:gridCol w:w="4968"/>
        <w:gridCol w:w="4968"/>
      </w:tblGrid>
      <w:tr w:rsidR="004011B9" w14:paraId="302628CF" w14:textId="77777777">
        <w:trPr>
          <w:jc w:val="center"/>
        </w:trPr>
        <w:tc>
          <w:tcPr>
            <w:tcW w:w="4968" w:type="dxa"/>
            <w:shd w:val="clear" w:color="auto" w:fill="EAF2FF"/>
            <w:tcMar>
              <w:top w:w="80" w:type="dxa"/>
              <w:left w:w="120" w:type="dxa"/>
              <w:bottom w:w="80" w:type="dxa"/>
              <w:right w:w="120" w:type="dxa"/>
            </w:tcMar>
          </w:tcPr>
          <w:p w14:paraId="71283F39" w14:textId="77777777" w:rsidR="004011B9" w:rsidRDefault="00000000">
            <w:r>
              <w:rPr>
                <w:rFonts w:ascii="Aptos" w:hAnsi="Aptos"/>
                <w:b/>
                <w:color w:val="102A43"/>
                <w:sz w:val="19"/>
              </w:rPr>
              <w:t>What it is</w:t>
            </w:r>
          </w:p>
        </w:tc>
        <w:tc>
          <w:tcPr>
            <w:tcW w:w="4968" w:type="dxa"/>
            <w:shd w:val="clear" w:color="auto" w:fill="EAF2FF"/>
            <w:tcMar>
              <w:top w:w="80" w:type="dxa"/>
              <w:left w:w="120" w:type="dxa"/>
              <w:bottom w:w="80" w:type="dxa"/>
              <w:right w:w="120" w:type="dxa"/>
            </w:tcMar>
          </w:tcPr>
          <w:p w14:paraId="300E502A" w14:textId="77777777" w:rsidR="004011B9" w:rsidRDefault="00000000">
            <w:pPr>
              <w:jc w:val="center"/>
            </w:pPr>
            <w:r>
              <w:rPr>
                <w:rFonts w:ascii="Aptos" w:hAnsi="Aptos"/>
                <w:b/>
                <w:color w:val="102A43"/>
                <w:sz w:val="19"/>
              </w:rPr>
              <w:t>What it is not</w:t>
            </w:r>
          </w:p>
        </w:tc>
      </w:tr>
      <w:tr w:rsidR="004011B9" w14:paraId="731F6BD5" w14:textId="77777777">
        <w:trPr>
          <w:jc w:val="center"/>
        </w:trPr>
        <w:tc>
          <w:tcPr>
            <w:tcW w:w="4968" w:type="dxa"/>
            <w:tcMar>
              <w:top w:w="75" w:type="dxa"/>
              <w:left w:w="120" w:type="dxa"/>
              <w:bottom w:w="75" w:type="dxa"/>
              <w:right w:w="120" w:type="dxa"/>
            </w:tcMar>
            <w:vAlign w:val="center"/>
          </w:tcPr>
          <w:p w14:paraId="42F866F7" w14:textId="77777777" w:rsidR="004011B9" w:rsidRDefault="00000000">
            <w:r>
              <w:rPr>
                <w:rFonts w:ascii="Aptos" w:hAnsi="Aptos"/>
                <w:sz w:val="19"/>
              </w:rPr>
              <w:t>A steel-specific inbound decision layer beside ERP</w:t>
            </w:r>
          </w:p>
        </w:tc>
        <w:tc>
          <w:tcPr>
            <w:tcW w:w="4968" w:type="dxa"/>
            <w:tcMar>
              <w:top w:w="75" w:type="dxa"/>
              <w:left w:w="120" w:type="dxa"/>
              <w:bottom w:w="75" w:type="dxa"/>
              <w:right w:w="120" w:type="dxa"/>
            </w:tcMar>
            <w:vAlign w:val="center"/>
          </w:tcPr>
          <w:p w14:paraId="4E92DC6F" w14:textId="77777777" w:rsidR="004011B9" w:rsidRDefault="00000000">
            <w:r>
              <w:rPr>
                <w:rFonts w:ascii="Aptos" w:hAnsi="Aptos"/>
                <w:sz w:val="19"/>
              </w:rPr>
              <w:t>An ERP replacement</w:t>
            </w:r>
          </w:p>
        </w:tc>
      </w:tr>
      <w:tr w:rsidR="004011B9" w14:paraId="13674E3B" w14:textId="77777777">
        <w:trPr>
          <w:jc w:val="center"/>
        </w:trPr>
        <w:tc>
          <w:tcPr>
            <w:tcW w:w="4968" w:type="dxa"/>
            <w:shd w:val="clear" w:color="auto" w:fill="FBFCFE"/>
            <w:tcMar>
              <w:top w:w="75" w:type="dxa"/>
              <w:left w:w="120" w:type="dxa"/>
              <w:bottom w:w="75" w:type="dxa"/>
              <w:right w:w="120" w:type="dxa"/>
            </w:tcMar>
            <w:vAlign w:val="center"/>
          </w:tcPr>
          <w:p w14:paraId="1778BE98" w14:textId="77777777" w:rsidR="004011B9" w:rsidRDefault="00000000">
            <w:r>
              <w:rPr>
                <w:rFonts w:ascii="Aptos" w:hAnsi="Aptos"/>
                <w:sz w:val="19"/>
              </w:rPr>
              <w:t>An operational truth model across shipment, port, inland, stock and quality</w:t>
            </w:r>
          </w:p>
        </w:tc>
        <w:tc>
          <w:tcPr>
            <w:tcW w:w="4968" w:type="dxa"/>
            <w:shd w:val="clear" w:color="auto" w:fill="FBFCFE"/>
            <w:tcMar>
              <w:top w:w="75" w:type="dxa"/>
              <w:left w:w="120" w:type="dxa"/>
              <w:bottom w:w="75" w:type="dxa"/>
              <w:right w:w="120" w:type="dxa"/>
            </w:tcMar>
            <w:vAlign w:val="center"/>
          </w:tcPr>
          <w:p w14:paraId="0E349C92" w14:textId="77777777" w:rsidR="004011B9" w:rsidRDefault="00000000">
            <w:r>
              <w:rPr>
                <w:rFonts w:ascii="Aptos" w:hAnsi="Aptos"/>
                <w:sz w:val="19"/>
              </w:rPr>
              <w:t>Only a vessel tracker</w:t>
            </w:r>
          </w:p>
        </w:tc>
      </w:tr>
      <w:tr w:rsidR="004011B9" w14:paraId="19F1F34A" w14:textId="77777777">
        <w:trPr>
          <w:jc w:val="center"/>
        </w:trPr>
        <w:tc>
          <w:tcPr>
            <w:tcW w:w="4968" w:type="dxa"/>
            <w:tcMar>
              <w:top w:w="75" w:type="dxa"/>
              <w:left w:w="120" w:type="dxa"/>
              <w:bottom w:w="75" w:type="dxa"/>
              <w:right w:w="120" w:type="dxa"/>
            </w:tcMar>
            <w:vAlign w:val="center"/>
          </w:tcPr>
          <w:p w14:paraId="7D30E1F4" w14:textId="77777777" w:rsidR="004011B9" w:rsidRDefault="00000000">
            <w:r>
              <w:rPr>
                <w:rFonts w:ascii="Aptos" w:hAnsi="Aptos"/>
                <w:sz w:val="19"/>
              </w:rPr>
              <w:t>An exception workflow engine with accountability</w:t>
            </w:r>
          </w:p>
        </w:tc>
        <w:tc>
          <w:tcPr>
            <w:tcW w:w="4968" w:type="dxa"/>
            <w:tcMar>
              <w:top w:w="75" w:type="dxa"/>
              <w:left w:w="120" w:type="dxa"/>
              <w:bottom w:w="75" w:type="dxa"/>
              <w:right w:w="120" w:type="dxa"/>
            </w:tcMar>
            <w:vAlign w:val="center"/>
          </w:tcPr>
          <w:p w14:paraId="57595A81" w14:textId="77777777" w:rsidR="004011B9" w:rsidRDefault="00000000">
            <w:r>
              <w:rPr>
                <w:rFonts w:ascii="Aptos" w:hAnsi="Aptos"/>
                <w:sz w:val="19"/>
              </w:rPr>
              <w:t>Only a BI dashboard</w:t>
            </w:r>
          </w:p>
        </w:tc>
      </w:tr>
      <w:tr w:rsidR="004011B9" w14:paraId="25BCF17B" w14:textId="77777777">
        <w:trPr>
          <w:jc w:val="center"/>
        </w:trPr>
        <w:tc>
          <w:tcPr>
            <w:tcW w:w="4968" w:type="dxa"/>
            <w:shd w:val="clear" w:color="auto" w:fill="FBFCFE"/>
            <w:tcMar>
              <w:top w:w="75" w:type="dxa"/>
              <w:left w:w="120" w:type="dxa"/>
              <w:bottom w:w="75" w:type="dxa"/>
              <w:right w:w="120" w:type="dxa"/>
            </w:tcMar>
            <w:vAlign w:val="center"/>
          </w:tcPr>
          <w:p w14:paraId="720F0AFD" w14:textId="77777777" w:rsidR="004011B9" w:rsidRDefault="00000000">
            <w:r>
              <w:rPr>
                <w:rFonts w:ascii="Aptos" w:hAnsi="Aptos"/>
                <w:sz w:val="19"/>
              </w:rPr>
              <w:t xml:space="preserve">A pilotable, staged system that starts with uploads and </w:t>
            </w:r>
            <w:r>
              <w:rPr>
                <w:rFonts w:ascii="Aptos" w:hAnsi="Aptos"/>
                <w:sz w:val="19"/>
              </w:rPr>
              <w:lastRenderedPageBreak/>
              <w:t>grows into passive ingestion</w:t>
            </w:r>
          </w:p>
        </w:tc>
        <w:tc>
          <w:tcPr>
            <w:tcW w:w="4968" w:type="dxa"/>
            <w:shd w:val="clear" w:color="auto" w:fill="FBFCFE"/>
            <w:tcMar>
              <w:top w:w="75" w:type="dxa"/>
              <w:left w:w="120" w:type="dxa"/>
              <w:bottom w:w="75" w:type="dxa"/>
              <w:right w:w="120" w:type="dxa"/>
            </w:tcMar>
            <w:vAlign w:val="center"/>
          </w:tcPr>
          <w:p w14:paraId="46257316" w14:textId="77777777" w:rsidR="004011B9" w:rsidRDefault="00000000">
            <w:r>
              <w:rPr>
                <w:rFonts w:ascii="Aptos" w:hAnsi="Aptos"/>
                <w:sz w:val="19"/>
              </w:rPr>
              <w:lastRenderedPageBreak/>
              <w:t>A heavy transformation program on day one</w:t>
            </w:r>
          </w:p>
        </w:tc>
      </w:tr>
    </w:tbl>
    <w:p w14:paraId="5C88B108" w14:textId="77777777" w:rsidR="004011B9" w:rsidRDefault="004011B9">
      <w:pPr>
        <w:spacing w:after="100"/>
      </w:pPr>
    </w:p>
    <w:p w14:paraId="02FC6656" w14:textId="77777777" w:rsidR="004011B9" w:rsidRDefault="00000000">
      <w:pPr>
        <w:spacing w:before="200" w:after="100"/>
      </w:pPr>
      <w:r>
        <w:rPr>
          <w:rFonts w:ascii="Aptos Display" w:hAnsi="Aptos Display"/>
          <w:b/>
          <w:color w:val="102A43"/>
          <w:sz w:val="36"/>
        </w:rPr>
        <w:t>4. Product walkthrough: what the buyer sees</w:t>
      </w:r>
    </w:p>
    <w:p w14:paraId="27EEB055" w14:textId="77777777" w:rsidR="004011B9" w:rsidRDefault="00000000">
      <w:pPr>
        <w:spacing w:after="120"/>
      </w:pPr>
      <w:r>
        <w:rPr>
          <w:rFonts w:ascii="Aptos" w:hAnsi="Aptos"/>
          <w:color w:val="1F2937"/>
          <w:sz w:val="21"/>
        </w:rPr>
        <w:t>The dashboard must make the product legible in under one minute. The sponsor should see plant-material risk and top exceptions. The operator should see movement state, ETA drift, and the next action. The product becomes useful when one movement change translates into one action record.</w:t>
      </w:r>
    </w:p>
    <w:p w14:paraId="0AEF847A" w14:textId="77777777" w:rsidR="004011B9" w:rsidRDefault="00000000">
      <w:pPr>
        <w:jc w:val="center"/>
      </w:pPr>
      <w:r>
        <w:rPr>
          <w:noProof/>
        </w:rPr>
        <w:drawing>
          <wp:inline distT="0" distB="0" distL="0" distR="0" wp14:anchorId="4DF63086" wp14:editId="78B053CD">
            <wp:extent cx="6035040" cy="3392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png"/>
                    <pic:cNvPicPr/>
                  </pic:nvPicPr>
                  <pic:blipFill>
                    <a:blip r:embed="rId8"/>
                    <a:stretch>
                      <a:fillRect/>
                    </a:stretch>
                  </pic:blipFill>
                  <pic:spPr>
                    <a:xfrm>
                      <a:off x="0" y="0"/>
                      <a:ext cx="6035040" cy="3392590"/>
                    </a:xfrm>
                    <a:prstGeom prst="rect">
                      <a:avLst/>
                    </a:prstGeom>
                  </pic:spPr>
                </pic:pic>
              </a:graphicData>
            </a:graphic>
          </wp:inline>
        </w:drawing>
      </w:r>
    </w:p>
    <w:p w14:paraId="21B9ED67" w14:textId="77777777" w:rsidR="004011B9" w:rsidRDefault="00000000">
      <w:pPr>
        <w:spacing w:after="160"/>
        <w:jc w:val="center"/>
      </w:pPr>
      <w:r>
        <w:rPr>
          <w:rFonts w:ascii="Aptos" w:hAnsi="Aptos"/>
          <w:i/>
          <w:color w:val="6B7280"/>
          <w:sz w:val="17"/>
        </w:rPr>
        <w:t>Figure 1. Illustrative command-center screen showing at-risk materials, top active exception, and data freshness.</w:t>
      </w:r>
    </w:p>
    <w:p w14:paraId="74D53AEB" w14:textId="77777777" w:rsidR="004011B9" w:rsidRDefault="00000000">
      <w:pPr>
        <w:jc w:val="center"/>
      </w:pPr>
      <w:r>
        <w:rPr>
          <w:noProof/>
        </w:rPr>
        <w:drawing>
          <wp:inline distT="0" distB="0" distL="0" distR="0" wp14:anchorId="1F8BD87C" wp14:editId="52FCCE02">
            <wp:extent cx="6035040" cy="3392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png"/>
                    <pic:cNvPicPr/>
                  </pic:nvPicPr>
                  <pic:blipFill>
                    <a:blip r:embed="rId9"/>
                    <a:stretch>
                      <a:fillRect/>
                    </a:stretch>
                  </pic:blipFill>
                  <pic:spPr>
                    <a:xfrm>
                      <a:off x="0" y="0"/>
                      <a:ext cx="6035040" cy="3392590"/>
                    </a:xfrm>
                    <a:prstGeom prst="rect">
                      <a:avLst/>
                    </a:prstGeom>
                  </pic:spPr>
                </pic:pic>
              </a:graphicData>
            </a:graphic>
          </wp:inline>
        </w:drawing>
      </w:r>
    </w:p>
    <w:p w14:paraId="3342338C" w14:textId="77777777" w:rsidR="004011B9" w:rsidRDefault="00000000">
      <w:pPr>
        <w:spacing w:after="160"/>
        <w:jc w:val="center"/>
      </w:pPr>
      <w:r>
        <w:rPr>
          <w:rFonts w:ascii="Aptos" w:hAnsi="Aptos"/>
          <w:i/>
          <w:color w:val="6B7280"/>
          <w:sz w:val="17"/>
        </w:rPr>
        <w:lastRenderedPageBreak/>
        <w:t>Figure 2. Illustrative shipment visibility and exception workflow screens. The product becomes operational when timeline context and action ownership live in the same system.</w:t>
      </w:r>
    </w:p>
    <w:p w14:paraId="0DC0442D" w14:textId="77777777" w:rsidR="004011B9" w:rsidRDefault="00000000">
      <w:pPr>
        <w:spacing w:before="200" w:after="100"/>
      </w:pPr>
      <w:r>
        <w:rPr>
          <w:rFonts w:ascii="Aptos Display" w:hAnsi="Aptos Display"/>
          <w:b/>
          <w:color w:val="102A43"/>
          <w:sz w:val="36"/>
        </w:rPr>
        <w:t>5. How the system works</w:t>
      </w:r>
    </w:p>
    <w:p w14:paraId="24041C4F" w14:textId="77777777" w:rsidR="004011B9" w:rsidRDefault="00000000">
      <w:pPr>
        <w:spacing w:after="120"/>
      </w:pPr>
      <w:r>
        <w:rPr>
          <w:rFonts w:ascii="Aptos" w:hAnsi="Aptos"/>
          <w:color w:val="1F2937"/>
          <w:sz w:val="21"/>
        </w:rPr>
        <w:t>The MVP works in six steps: ingest, normalize, derive state, calculate risk, open exceptions, and drive action. This sequencing is critical. The product should not begin with AI, optimization, or heavy integration. It must begin with operational truth that users trust.</w:t>
      </w:r>
    </w:p>
    <w:p w14:paraId="4CBED1C0" w14:textId="77777777" w:rsidR="004011B9" w:rsidRDefault="00000000">
      <w:pPr>
        <w:pStyle w:val="ListBullet"/>
        <w:spacing w:after="60" w:line="269" w:lineRule="auto"/>
      </w:pPr>
      <w:r>
        <w:rPr>
          <w:rFonts w:ascii="Aptos" w:hAnsi="Aptos"/>
          <w:color w:val="1F2937"/>
          <w:sz w:val="21"/>
        </w:rPr>
        <w:t>Ingest: shipment files, stock snapshots and threshold files enter through tenant-scoped uploads first; later the same pipeline supports mailbox, folder, vessel, or ERP enrichment.</w:t>
      </w:r>
    </w:p>
    <w:p w14:paraId="4F817E6D" w14:textId="77777777" w:rsidR="004011B9" w:rsidRDefault="00000000">
      <w:pPr>
        <w:pStyle w:val="ListBullet"/>
        <w:spacing w:after="60" w:line="269" w:lineRule="auto"/>
      </w:pPr>
      <w:r>
        <w:rPr>
          <w:rFonts w:ascii="Aptos" w:hAnsi="Aptos"/>
          <w:color w:val="1F2937"/>
          <w:sz w:val="21"/>
        </w:rPr>
        <w:t>Normalize: plants, materials, shipments, thresholds and updates are mapped into a canonical steel-specific ontology rather than treated as loose rows.</w:t>
      </w:r>
    </w:p>
    <w:p w14:paraId="35DC06F9" w14:textId="77777777" w:rsidR="004011B9" w:rsidRDefault="00000000">
      <w:pPr>
        <w:pStyle w:val="ListBullet"/>
        <w:spacing w:after="60" w:line="269" w:lineRule="auto"/>
      </w:pPr>
      <w:r>
        <w:rPr>
          <w:rFonts w:ascii="Aptos" w:hAnsi="Aptos"/>
          <w:color w:val="1F2937"/>
          <w:sz w:val="21"/>
        </w:rPr>
        <w:t>Derive state: inbound material moves through states such as on water, at port, discharging, in transit and available to consume.</w:t>
      </w:r>
    </w:p>
    <w:p w14:paraId="55043D19" w14:textId="77777777" w:rsidR="004011B9" w:rsidRDefault="00000000">
      <w:pPr>
        <w:pStyle w:val="ListBullet"/>
        <w:spacing w:after="60" w:line="269" w:lineRule="auto"/>
      </w:pPr>
      <w:r>
        <w:rPr>
          <w:rFonts w:ascii="Aptos" w:hAnsi="Aptos"/>
          <w:color w:val="1F2937"/>
          <w:sz w:val="21"/>
        </w:rPr>
        <w:t>Calculate risk: the stock-cover engine combines available stock, daily consumption, thresholds and inbound pipeline to produce days of cover, breach status, estimated breach date and confidence.</w:t>
      </w:r>
    </w:p>
    <w:p w14:paraId="1EA8BC3B" w14:textId="77777777" w:rsidR="004011B9" w:rsidRDefault="00000000">
      <w:pPr>
        <w:pStyle w:val="ListBullet"/>
        <w:spacing w:after="60" w:line="269" w:lineRule="auto"/>
      </w:pPr>
      <w:r>
        <w:rPr>
          <w:rFonts w:ascii="Aptos" w:hAnsi="Aptos"/>
          <w:color w:val="1F2937"/>
          <w:sz w:val="21"/>
        </w:rPr>
        <w:t>Open exceptions: deterministic rules convert critical stock risk, ETA delay, stale updates and inland inconsistencies into trackable cases.</w:t>
      </w:r>
    </w:p>
    <w:p w14:paraId="4A49D63C" w14:textId="77777777" w:rsidR="004011B9" w:rsidRDefault="00000000">
      <w:pPr>
        <w:pStyle w:val="ListBullet"/>
        <w:spacing w:after="60" w:line="269" w:lineRule="auto"/>
      </w:pPr>
      <w:r>
        <w:rPr>
          <w:rFonts w:ascii="Aptos" w:hAnsi="Aptos"/>
          <w:color w:val="1F2937"/>
          <w:sz w:val="21"/>
        </w:rPr>
        <w:t>Drive action: users assign owners, change status, add notes, and close the loop in one system.</w:t>
      </w:r>
    </w:p>
    <w:tbl>
      <w:tblPr>
        <w:tblW w:w="0" w:type="auto"/>
        <w:jc w:val="center"/>
        <w:tblLook w:val="04A0" w:firstRow="1" w:lastRow="0" w:firstColumn="1" w:lastColumn="0" w:noHBand="0" w:noVBand="1"/>
      </w:tblPr>
      <w:tblGrid>
        <w:gridCol w:w="9936"/>
      </w:tblGrid>
      <w:tr w:rsidR="004011B9" w14:paraId="31D595CD" w14:textId="77777777">
        <w:trPr>
          <w:jc w:val="center"/>
        </w:trPr>
        <w:tc>
          <w:tcPr>
            <w:tcW w:w="9936" w:type="dxa"/>
            <w:shd w:val="clear" w:color="auto" w:fill="EAF2FF"/>
            <w:tcMar>
              <w:top w:w="70" w:type="dxa"/>
              <w:left w:w="120" w:type="dxa"/>
              <w:bottom w:w="70" w:type="dxa"/>
              <w:right w:w="120" w:type="dxa"/>
            </w:tcMar>
            <w:vAlign w:val="center"/>
          </w:tcPr>
          <w:p w14:paraId="0DAC9B7C" w14:textId="77777777" w:rsidR="004011B9" w:rsidRDefault="00000000">
            <w:r>
              <w:rPr>
                <w:rFonts w:ascii="Aptos" w:hAnsi="Aptos"/>
                <w:b/>
                <w:color w:val="102A43"/>
              </w:rPr>
              <w:t>Design rule that prevents product failure</w:t>
            </w:r>
          </w:p>
        </w:tc>
      </w:tr>
      <w:tr w:rsidR="004011B9" w14:paraId="6A0CEF99" w14:textId="77777777">
        <w:trPr>
          <w:jc w:val="center"/>
        </w:trPr>
        <w:tc>
          <w:tcPr>
            <w:tcW w:w="9936" w:type="dxa"/>
            <w:shd w:val="clear" w:color="auto" w:fill="F6F8FB"/>
            <w:tcMar>
              <w:top w:w="70" w:type="dxa"/>
              <w:left w:w="120" w:type="dxa"/>
              <w:bottom w:w="70" w:type="dxa"/>
              <w:right w:w="120" w:type="dxa"/>
            </w:tcMar>
            <w:vAlign w:val="center"/>
          </w:tcPr>
          <w:p w14:paraId="69E0A453" w14:textId="77777777" w:rsidR="004011B9" w:rsidRDefault="00000000">
            <w:pPr>
              <w:spacing w:line="269" w:lineRule="auto"/>
            </w:pPr>
            <w:r>
              <w:rPr>
                <w:rFonts w:ascii="Aptos" w:hAnsi="Aptos"/>
                <w:color w:val="334155"/>
                <w:sz w:val="20"/>
              </w:rPr>
              <w:t>Never ask users to maintain data in your system that they already maintain somewhere else. Absorb existing signals, then require only exception-level input.</w:t>
            </w:r>
          </w:p>
        </w:tc>
      </w:tr>
    </w:tbl>
    <w:p w14:paraId="0D50AC8F" w14:textId="77777777" w:rsidR="004011B9" w:rsidRDefault="004011B9">
      <w:pPr>
        <w:spacing w:after="80"/>
      </w:pPr>
    </w:p>
    <w:p w14:paraId="6AF8939B" w14:textId="77777777" w:rsidR="004011B9" w:rsidRDefault="00000000">
      <w:pPr>
        <w:spacing w:before="200" w:after="100"/>
      </w:pPr>
      <w:r>
        <w:rPr>
          <w:rFonts w:ascii="Aptos Display" w:hAnsi="Aptos Display"/>
          <w:b/>
          <w:color w:val="102A43"/>
          <w:sz w:val="36"/>
        </w:rPr>
        <w:t>6. Data model and onboarding logic</w:t>
      </w:r>
    </w:p>
    <w:p w14:paraId="5D43A136" w14:textId="77777777" w:rsidR="004011B9" w:rsidRDefault="00000000">
      <w:pPr>
        <w:spacing w:after="120"/>
      </w:pPr>
      <w:r>
        <w:rPr>
          <w:rFonts w:ascii="Aptos" w:hAnsi="Aptos"/>
          <w:color w:val="1F2937"/>
          <w:sz w:val="21"/>
        </w:rPr>
        <w:t>Onboarding should start with the minimum data required to produce the first real insight: one shipment tracker, one stock snapshot, and one threshold file. This is not a compromise. It is the right path to fast value and low friction.</w:t>
      </w:r>
    </w:p>
    <w:tbl>
      <w:tblPr>
        <w:tblStyle w:val="TableGrid"/>
        <w:tblW w:w="0" w:type="auto"/>
        <w:jc w:val="center"/>
        <w:tblLook w:val="04A0" w:firstRow="1" w:lastRow="0" w:firstColumn="1" w:lastColumn="0" w:noHBand="0" w:noVBand="1"/>
      </w:tblPr>
      <w:tblGrid>
        <w:gridCol w:w="3312"/>
        <w:gridCol w:w="3312"/>
        <w:gridCol w:w="3312"/>
      </w:tblGrid>
      <w:tr w:rsidR="004011B9" w14:paraId="1D2FD260" w14:textId="77777777">
        <w:trPr>
          <w:jc w:val="center"/>
        </w:trPr>
        <w:tc>
          <w:tcPr>
            <w:tcW w:w="3312" w:type="dxa"/>
            <w:shd w:val="clear" w:color="auto" w:fill="EAF2FF"/>
            <w:tcMar>
              <w:top w:w="80" w:type="dxa"/>
              <w:left w:w="120" w:type="dxa"/>
              <w:bottom w:w="80" w:type="dxa"/>
              <w:right w:w="120" w:type="dxa"/>
            </w:tcMar>
          </w:tcPr>
          <w:p w14:paraId="068C70DC" w14:textId="77777777" w:rsidR="004011B9" w:rsidRDefault="00000000">
            <w:r>
              <w:rPr>
                <w:rFonts w:ascii="Aptos" w:hAnsi="Aptos"/>
                <w:b/>
                <w:color w:val="102A43"/>
                <w:sz w:val="19"/>
              </w:rPr>
              <w:t>Input</w:t>
            </w:r>
          </w:p>
        </w:tc>
        <w:tc>
          <w:tcPr>
            <w:tcW w:w="3312" w:type="dxa"/>
            <w:shd w:val="clear" w:color="auto" w:fill="EAF2FF"/>
            <w:tcMar>
              <w:top w:w="80" w:type="dxa"/>
              <w:left w:w="120" w:type="dxa"/>
              <w:bottom w:w="80" w:type="dxa"/>
              <w:right w:w="120" w:type="dxa"/>
            </w:tcMar>
          </w:tcPr>
          <w:p w14:paraId="54D24C09" w14:textId="77777777" w:rsidR="004011B9" w:rsidRDefault="00000000">
            <w:pPr>
              <w:jc w:val="center"/>
            </w:pPr>
            <w:r>
              <w:rPr>
                <w:rFonts w:ascii="Aptos" w:hAnsi="Aptos"/>
                <w:b/>
                <w:color w:val="102A43"/>
                <w:sz w:val="19"/>
              </w:rPr>
              <w:t>Minimum purpose in pilot</w:t>
            </w:r>
          </w:p>
        </w:tc>
        <w:tc>
          <w:tcPr>
            <w:tcW w:w="3312" w:type="dxa"/>
            <w:shd w:val="clear" w:color="auto" w:fill="EAF2FF"/>
            <w:tcMar>
              <w:top w:w="80" w:type="dxa"/>
              <w:left w:w="120" w:type="dxa"/>
              <w:bottom w:w="80" w:type="dxa"/>
              <w:right w:w="120" w:type="dxa"/>
            </w:tcMar>
          </w:tcPr>
          <w:p w14:paraId="22BBE43E" w14:textId="77777777" w:rsidR="004011B9" w:rsidRDefault="00000000">
            <w:pPr>
              <w:jc w:val="center"/>
            </w:pPr>
            <w:r>
              <w:rPr>
                <w:rFonts w:ascii="Aptos" w:hAnsi="Aptos"/>
                <w:b/>
                <w:color w:val="102A43"/>
                <w:sz w:val="19"/>
              </w:rPr>
              <w:t>Later enrichment</w:t>
            </w:r>
          </w:p>
        </w:tc>
      </w:tr>
      <w:tr w:rsidR="004011B9" w14:paraId="1300F58C" w14:textId="77777777">
        <w:trPr>
          <w:jc w:val="center"/>
        </w:trPr>
        <w:tc>
          <w:tcPr>
            <w:tcW w:w="3312" w:type="dxa"/>
            <w:tcMar>
              <w:top w:w="75" w:type="dxa"/>
              <w:left w:w="120" w:type="dxa"/>
              <w:bottom w:w="75" w:type="dxa"/>
              <w:right w:w="120" w:type="dxa"/>
            </w:tcMar>
            <w:vAlign w:val="center"/>
          </w:tcPr>
          <w:p w14:paraId="4EA67B06" w14:textId="77777777" w:rsidR="004011B9" w:rsidRDefault="00000000">
            <w:r>
              <w:rPr>
                <w:rFonts w:ascii="Aptos" w:hAnsi="Aptos"/>
                <w:sz w:val="19"/>
              </w:rPr>
              <w:t>Shipment tracker</w:t>
            </w:r>
          </w:p>
        </w:tc>
        <w:tc>
          <w:tcPr>
            <w:tcW w:w="3312" w:type="dxa"/>
            <w:tcMar>
              <w:top w:w="75" w:type="dxa"/>
              <w:left w:w="120" w:type="dxa"/>
              <w:bottom w:w="75" w:type="dxa"/>
              <w:right w:w="120" w:type="dxa"/>
            </w:tcMar>
            <w:vAlign w:val="center"/>
          </w:tcPr>
          <w:p w14:paraId="63CA8053" w14:textId="77777777" w:rsidR="004011B9" w:rsidRDefault="00000000">
            <w:r>
              <w:rPr>
                <w:rFonts w:ascii="Aptos" w:hAnsi="Aptos"/>
                <w:sz w:val="19"/>
              </w:rPr>
              <w:t>Shipment ID, plant, material, quantity, ETA, route assumptions</w:t>
            </w:r>
          </w:p>
        </w:tc>
        <w:tc>
          <w:tcPr>
            <w:tcW w:w="3312" w:type="dxa"/>
            <w:tcMar>
              <w:top w:w="75" w:type="dxa"/>
              <w:left w:w="120" w:type="dxa"/>
              <w:bottom w:w="75" w:type="dxa"/>
              <w:right w:w="120" w:type="dxa"/>
            </w:tcMar>
            <w:vAlign w:val="center"/>
          </w:tcPr>
          <w:p w14:paraId="6AA9E69D" w14:textId="77777777" w:rsidR="004011B9" w:rsidRDefault="00000000">
            <w:pPr>
              <w:jc w:val="center"/>
            </w:pPr>
            <w:r>
              <w:rPr>
                <w:rFonts w:ascii="Aptos" w:hAnsi="Aptos"/>
                <w:sz w:val="19"/>
              </w:rPr>
              <w:t>Vessel enrichment, emails, partner updates</w:t>
            </w:r>
          </w:p>
        </w:tc>
      </w:tr>
      <w:tr w:rsidR="004011B9" w14:paraId="1E1E536A" w14:textId="77777777">
        <w:trPr>
          <w:jc w:val="center"/>
        </w:trPr>
        <w:tc>
          <w:tcPr>
            <w:tcW w:w="3312" w:type="dxa"/>
            <w:shd w:val="clear" w:color="auto" w:fill="FBFCFE"/>
            <w:tcMar>
              <w:top w:w="75" w:type="dxa"/>
              <w:left w:w="120" w:type="dxa"/>
              <w:bottom w:w="75" w:type="dxa"/>
              <w:right w:w="120" w:type="dxa"/>
            </w:tcMar>
            <w:vAlign w:val="center"/>
          </w:tcPr>
          <w:p w14:paraId="26D8AD8A" w14:textId="77777777" w:rsidR="004011B9" w:rsidRDefault="00000000">
            <w:r>
              <w:rPr>
                <w:rFonts w:ascii="Aptos" w:hAnsi="Aptos"/>
                <w:sz w:val="19"/>
              </w:rPr>
              <w:t>Stock snapshot</w:t>
            </w:r>
          </w:p>
        </w:tc>
        <w:tc>
          <w:tcPr>
            <w:tcW w:w="3312" w:type="dxa"/>
            <w:shd w:val="clear" w:color="auto" w:fill="FBFCFE"/>
            <w:tcMar>
              <w:top w:w="75" w:type="dxa"/>
              <w:left w:w="120" w:type="dxa"/>
              <w:bottom w:w="75" w:type="dxa"/>
              <w:right w:w="120" w:type="dxa"/>
            </w:tcMar>
            <w:vAlign w:val="center"/>
          </w:tcPr>
          <w:p w14:paraId="61864B04" w14:textId="77777777" w:rsidR="004011B9" w:rsidRDefault="00000000">
            <w:r>
              <w:rPr>
                <w:rFonts w:ascii="Aptos" w:hAnsi="Aptos"/>
                <w:sz w:val="19"/>
              </w:rPr>
              <w:t>Available-to-consume quantity and daily consumption</w:t>
            </w:r>
          </w:p>
        </w:tc>
        <w:tc>
          <w:tcPr>
            <w:tcW w:w="3312" w:type="dxa"/>
            <w:shd w:val="clear" w:color="auto" w:fill="FBFCFE"/>
            <w:tcMar>
              <w:top w:w="75" w:type="dxa"/>
              <w:left w:w="120" w:type="dxa"/>
              <w:bottom w:w="75" w:type="dxa"/>
              <w:right w:w="120" w:type="dxa"/>
            </w:tcMar>
            <w:vAlign w:val="center"/>
          </w:tcPr>
          <w:p w14:paraId="77F8C805" w14:textId="77777777" w:rsidR="004011B9" w:rsidRDefault="00000000">
            <w:pPr>
              <w:jc w:val="center"/>
            </w:pPr>
            <w:r>
              <w:rPr>
                <w:rFonts w:ascii="Aptos" w:hAnsi="Aptos"/>
                <w:sz w:val="19"/>
              </w:rPr>
              <w:t>ERP snapshots, quality-linked release states</w:t>
            </w:r>
          </w:p>
        </w:tc>
      </w:tr>
      <w:tr w:rsidR="004011B9" w14:paraId="4F59E34E" w14:textId="77777777">
        <w:trPr>
          <w:jc w:val="center"/>
        </w:trPr>
        <w:tc>
          <w:tcPr>
            <w:tcW w:w="3312" w:type="dxa"/>
            <w:tcMar>
              <w:top w:w="75" w:type="dxa"/>
              <w:left w:w="120" w:type="dxa"/>
              <w:bottom w:w="75" w:type="dxa"/>
              <w:right w:w="120" w:type="dxa"/>
            </w:tcMar>
            <w:vAlign w:val="center"/>
          </w:tcPr>
          <w:p w14:paraId="0C72DD0E" w14:textId="77777777" w:rsidR="004011B9" w:rsidRDefault="00000000">
            <w:r>
              <w:rPr>
                <w:rFonts w:ascii="Aptos" w:hAnsi="Aptos"/>
                <w:sz w:val="19"/>
              </w:rPr>
              <w:t>Thresholds</w:t>
            </w:r>
          </w:p>
        </w:tc>
        <w:tc>
          <w:tcPr>
            <w:tcW w:w="3312" w:type="dxa"/>
            <w:tcMar>
              <w:top w:w="75" w:type="dxa"/>
              <w:left w:w="120" w:type="dxa"/>
              <w:bottom w:w="75" w:type="dxa"/>
              <w:right w:w="120" w:type="dxa"/>
            </w:tcMar>
            <w:vAlign w:val="center"/>
          </w:tcPr>
          <w:p w14:paraId="2D9729DE" w14:textId="77777777" w:rsidR="004011B9" w:rsidRDefault="00000000">
            <w:r>
              <w:rPr>
                <w:rFonts w:ascii="Aptos" w:hAnsi="Aptos"/>
                <w:sz w:val="19"/>
              </w:rPr>
              <w:t>Warning / critical days of cover</w:t>
            </w:r>
          </w:p>
        </w:tc>
        <w:tc>
          <w:tcPr>
            <w:tcW w:w="3312" w:type="dxa"/>
            <w:tcMar>
              <w:top w:w="75" w:type="dxa"/>
              <w:left w:w="120" w:type="dxa"/>
              <w:bottom w:w="75" w:type="dxa"/>
              <w:right w:w="120" w:type="dxa"/>
            </w:tcMar>
            <w:vAlign w:val="center"/>
          </w:tcPr>
          <w:p w14:paraId="1B2E03F1" w14:textId="77777777" w:rsidR="004011B9" w:rsidRDefault="00000000">
            <w:pPr>
              <w:jc w:val="center"/>
            </w:pPr>
            <w:r>
              <w:rPr>
                <w:rFonts w:ascii="Aptos" w:hAnsi="Aptos"/>
                <w:sz w:val="19"/>
              </w:rPr>
              <w:t>Dynamic buffer policies by material family</w:t>
            </w:r>
          </w:p>
        </w:tc>
      </w:tr>
      <w:tr w:rsidR="004011B9" w14:paraId="1FE08D2B" w14:textId="77777777">
        <w:trPr>
          <w:jc w:val="center"/>
        </w:trPr>
        <w:tc>
          <w:tcPr>
            <w:tcW w:w="3312" w:type="dxa"/>
            <w:shd w:val="clear" w:color="auto" w:fill="FBFCFE"/>
            <w:tcMar>
              <w:top w:w="75" w:type="dxa"/>
              <w:left w:w="120" w:type="dxa"/>
              <w:bottom w:w="75" w:type="dxa"/>
              <w:right w:w="120" w:type="dxa"/>
            </w:tcMar>
            <w:vAlign w:val="center"/>
          </w:tcPr>
          <w:p w14:paraId="46720E5D" w14:textId="77777777" w:rsidR="004011B9" w:rsidRDefault="00000000">
            <w:r>
              <w:rPr>
                <w:rFonts w:ascii="Aptos" w:hAnsi="Aptos"/>
                <w:sz w:val="19"/>
              </w:rPr>
              <w:t>Port events</w:t>
            </w:r>
          </w:p>
        </w:tc>
        <w:tc>
          <w:tcPr>
            <w:tcW w:w="3312" w:type="dxa"/>
            <w:shd w:val="clear" w:color="auto" w:fill="FBFCFE"/>
            <w:tcMar>
              <w:top w:w="75" w:type="dxa"/>
              <w:left w:w="120" w:type="dxa"/>
              <w:bottom w:w="75" w:type="dxa"/>
              <w:right w:w="120" w:type="dxa"/>
            </w:tcMar>
            <w:vAlign w:val="center"/>
          </w:tcPr>
          <w:p w14:paraId="209DD643" w14:textId="77777777" w:rsidR="004011B9" w:rsidRDefault="00000000">
            <w:r>
              <w:rPr>
                <w:rFonts w:ascii="Aptos" w:hAnsi="Aptos"/>
                <w:sz w:val="19"/>
              </w:rPr>
              <w:t>Optional manual state correction</w:t>
            </w:r>
          </w:p>
        </w:tc>
        <w:tc>
          <w:tcPr>
            <w:tcW w:w="3312" w:type="dxa"/>
            <w:shd w:val="clear" w:color="auto" w:fill="FBFCFE"/>
            <w:tcMar>
              <w:top w:w="75" w:type="dxa"/>
              <w:left w:w="120" w:type="dxa"/>
              <w:bottom w:w="75" w:type="dxa"/>
              <w:right w:w="120" w:type="dxa"/>
            </w:tcMar>
            <w:vAlign w:val="center"/>
          </w:tcPr>
          <w:p w14:paraId="62317EF6" w14:textId="77777777" w:rsidR="004011B9" w:rsidRDefault="00000000">
            <w:pPr>
              <w:jc w:val="center"/>
            </w:pPr>
            <w:r>
              <w:rPr>
                <w:rFonts w:ascii="Aptos" w:hAnsi="Aptos"/>
                <w:sz w:val="19"/>
              </w:rPr>
              <w:t>Discharge feeds, port system updates</w:t>
            </w:r>
          </w:p>
        </w:tc>
      </w:tr>
      <w:tr w:rsidR="004011B9" w14:paraId="35EE0B90" w14:textId="77777777">
        <w:trPr>
          <w:jc w:val="center"/>
        </w:trPr>
        <w:tc>
          <w:tcPr>
            <w:tcW w:w="3312" w:type="dxa"/>
            <w:tcMar>
              <w:top w:w="75" w:type="dxa"/>
              <w:left w:w="120" w:type="dxa"/>
              <w:bottom w:w="75" w:type="dxa"/>
              <w:right w:w="120" w:type="dxa"/>
            </w:tcMar>
            <w:vAlign w:val="center"/>
          </w:tcPr>
          <w:p w14:paraId="04947062" w14:textId="77777777" w:rsidR="004011B9" w:rsidRDefault="00000000">
            <w:r>
              <w:rPr>
                <w:rFonts w:ascii="Aptos" w:hAnsi="Aptos"/>
                <w:sz w:val="19"/>
              </w:rPr>
              <w:t>Inland movement</w:t>
            </w:r>
          </w:p>
        </w:tc>
        <w:tc>
          <w:tcPr>
            <w:tcW w:w="3312" w:type="dxa"/>
            <w:tcMar>
              <w:top w:w="75" w:type="dxa"/>
              <w:left w:w="120" w:type="dxa"/>
              <w:bottom w:w="75" w:type="dxa"/>
              <w:right w:w="120" w:type="dxa"/>
            </w:tcMar>
            <w:vAlign w:val="center"/>
          </w:tcPr>
          <w:p w14:paraId="4DA81733" w14:textId="77777777" w:rsidR="004011B9" w:rsidRDefault="00000000">
            <w:r>
              <w:rPr>
                <w:rFonts w:ascii="Aptos" w:hAnsi="Aptos"/>
                <w:sz w:val="19"/>
              </w:rPr>
              <w:t>Optional dispatch and expected-arrival updates</w:t>
            </w:r>
          </w:p>
        </w:tc>
        <w:tc>
          <w:tcPr>
            <w:tcW w:w="3312" w:type="dxa"/>
            <w:tcMar>
              <w:top w:w="75" w:type="dxa"/>
              <w:left w:w="120" w:type="dxa"/>
              <w:bottom w:w="75" w:type="dxa"/>
              <w:right w:w="120" w:type="dxa"/>
            </w:tcMar>
            <w:vAlign w:val="center"/>
          </w:tcPr>
          <w:p w14:paraId="448ED0D3" w14:textId="77777777" w:rsidR="004011B9" w:rsidRDefault="00000000">
            <w:pPr>
              <w:jc w:val="center"/>
            </w:pPr>
            <w:r>
              <w:rPr>
                <w:rFonts w:ascii="Aptos" w:hAnsi="Aptos"/>
                <w:sz w:val="19"/>
              </w:rPr>
              <w:t>Transporter APIs, GPS or FASTag signals where available</w:t>
            </w:r>
          </w:p>
        </w:tc>
      </w:tr>
    </w:tbl>
    <w:p w14:paraId="083E7626" w14:textId="77777777" w:rsidR="004011B9" w:rsidRDefault="004011B9">
      <w:pPr>
        <w:spacing w:after="100"/>
      </w:pPr>
    </w:p>
    <w:p w14:paraId="5F473352" w14:textId="77777777" w:rsidR="004011B9" w:rsidRDefault="00000000">
      <w:pPr>
        <w:spacing w:after="120"/>
      </w:pPr>
      <w:r>
        <w:rPr>
          <w:rFonts w:ascii="Aptos" w:hAnsi="Aptos"/>
          <w:color w:val="1F2937"/>
          <w:sz w:val="21"/>
        </w:rPr>
        <w:lastRenderedPageBreak/>
        <w:t>Crucially, the product must not equate “vessel reached port” with “material is available to consume.” Material has to be modeled through states. When inland truth is incomplete, the product should estimate conservatively and display confidence explicitly.</w:t>
      </w:r>
    </w:p>
    <w:p w14:paraId="4988AE60" w14:textId="77777777" w:rsidR="004011B9" w:rsidRDefault="00000000">
      <w:pPr>
        <w:spacing w:before="200" w:after="100"/>
      </w:pPr>
      <w:r>
        <w:rPr>
          <w:rFonts w:ascii="Aptos Display" w:hAnsi="Aptos Display"/>
          <w:b/>
          <w:color w:val="102A43"/>
          <w:sz w:val="36"/>
        </w:rPr>
        <w:t>7. Build sequencing and scope buckets</w:t>
      </w:r>
    </w:p>
    <w:p w14:paraId="1B966DB2" w14:textId="77777777" w:rsidR="004011B9" w:rsidRDefault="00000000">
      <w:pPr>
        <w:spacing w:after="120"/>
      </w:pPr>
      <w:r>
        <w:rPr>
          <w:rFonts w:ascii="Aptos" w:hAnsi="Aptos"/>
          <w:color w:val="1F2937"/>
          <w:sz w:val="21"/>
        </w:rPr>
        <w:t>The right build order is truth first, risk second, workflow third, enrichment fourth, optimization last. This keeps the product shippable and prevents false precision.</w:t>
      </w:r>
    </w:p>
    <w:tbl>
      <w:tblPr>
        <w:tblStyle w:val="TableGrid"/>
        <w:tblW w:w="0" w:type="auto"/>
        <w:jc w:val="center"/>
        <w:tblLook w:val="04A0" w:firstRow="1" w:lastRow="0" w:firstColumn="1" w:lastColumn="0" w:noHBand="0" w:noVBand="1"/>
      </w:tblPr>
      <w:tblGrid>
        <w:gridCol w:w="3312"/>
        <w:gridCol w:w="3312"/>
        <w:gridCol w:w="3312"/>
      </w:tblGrid>
      <w:tr w:rsidR="004011B9" w14:paraId="4C9CF91E" w14:textId="77777777">
        <w:trPr>
          <w:jc w:val="center"/>
        </w:trPr>
        <w:tc>
          <w:tcPr>
            <w:tcW w:w="3312" w:type="dxa"/>
            <w:shd w:val="clear" w:color="auto" w:fill="EAF2FF"/>
            <w:tcMar>
              <w:top w:w="80" w:type="dxa"/>
              <w:left w:w="120" w:type="dxa"/>
              <w:bottom w:w="80" w:type="dxa"/>
              <w:right w:w="120" w:type="dxa"/>
            </w:tcMar>
          </w:tcPr>
          <w:p w14:paraId="74FB10D0" w14:textId="77777777" w:rsidR="004011B9" w:rsidRDefault="00000000">
            <w:r>
              <w:rPr>
                <w:rFonts w:ascii="Aptos" w:hAnsi="Aptos"/>
                <w:b/>
                <w:color w:val="102A43"/>
                <w:sz w:val="19"/>
              </w:rPr>
              <w:t>Bucket</w:t>
            </w:r>
          </w:p>
        </w:tc>
        <w:tc>
          <w:tcPr>
            <w:tcW w:w="3312" w:type="dxa"/>
            <w:shd w:val="clear" w:color="auto" w:fill="EAF2FF"/>
            <w:tcMar>
              <w:top w:w="80" w:type="dxa"/>
              <w:left w:w="120" w:type="dxa"/>
              <w:bottom w:w="80" w:type="dxa"/>
              <w:right w:w="120" w:type="dxa"/>
            </w:tcMar>
          </w:tcPr>
          <w:p w14:paraId="5EC102E2" w14:textId="77777777" w:rsidR="004011B9" w:rsidRDefault="00000000">
            <w:pPr>
              <w:jc w:val="center"/>
            </w:pPr>
            <w:r>
              <w:rPr>
                <w:rFonts w:ascii="Aptos" w:hAnsi="Aptos"/>
                <w:b/>
                <w:color w:val="102A43"/>
                <w:sz w:val="19"/>
              </w:rPr>
              <w:t>What belongs in it</w:t>
            </w:r>
          </w:p>
        </w:tc>
        <w:tc>
          <w:tcPr>
            <w:tcW w:w="3312" w:type="dxa"/>
            <w:shd w:val="clear" w:color="auto" w:fill="EAF2FF"/>
            <w:tcMar>
              <w:top w:w="80" w:type="dxa"/>
              <w:left w:w="120" w:type="dxa"/>
              <w:bottom w:w="80" w:type="dxa"/>
              <w:right w:w="120" w:type="dxa"/>
            </w:tcMar>
          </w:tcPr>
          <w:p w14:paraId="2D9873BE" w14:textId="77777777" w:rsidR="004011B9" w:rsidRDefault="00000000">
            <w:pPr>
              <w:jc w:val="center"/>
            </w:pPr>
            <w:r>
              <w:rPr>
                <w:rFonts w:ascii="Aptos" w:hAnsi="Aptos"/>
                <w:b/>
                <w:color w:val="102A43"/>
                <w:sz w:val="19"/>
              </w:rPr>
              <w:t>Why</w:t>
            </w:r>
          </w:p>
        </w:tc>
      </w:tr>
      <w:tr w:rsidR="004011B9" w14:paraId="738EB2DF" w14:textId="77777777">
        <w:trPr>
          <w:jc w:val="center"/>
        </w:trPr>
        <w:tc>
          <w:tcPr>
            <w:tcW w:w="3312" w:type="dxa"/>
            <w:tcMar>
              <w:top w:w="75" w:type="dxa"/>
              <w:left w:w="120" w:type="dxa"/>
              <w:bottom w:w="75" w:type="dxa"/>
              <w:right w:w="120" w:type="dxa"/>
            </w:tcMar>
            <w:vAlign w:val="center"/>
          </w:tcPr>
          <w:p w14:paraId="3D0DDD79" w14:textId="77777777" w:rsidR="004011B9" w:rsidRDefault="00000000">
            <w:r>
              <w:rPr>
                <w:rFonts w:ascii="Aptos" w:hAnsi="Aptos"/>
                <w:sz w:val="19"/>
              </w:rPr>
              <w:t>Must-have before first pilot</w:t>
            </w:r>
          </w:p>
        </w:tc>
        <w:tc>
          <w:tcPr>
            <w:tcW w:w="3312" w:type="dxa"/>
            <w:tcMar>
              <w:top w:w="75" w:type="dxa"/>
              <w:left w:w="120" w:type="dxa"/>
              <w:bottom w:w="75" w:type="dxa"/>
              <w:right w:w="120" w:type="dxa"/>
            </w:tcMar>
            <w:vAlign w:val="center"/>
          </w:tcPr>
          <w:p w14:paraId="57F6422C" w14:textId="77777777" w:rsidR="004011B9" w:rsidRDefault="00000000">
            <w:r>
              <w:rPr>
                <w:rFonts w:ascii="Aptos" w:hAnsi="Aptos"/>
                <w:sz w:val="19"/>
              </w:rPr>
              <w:t>Tenant/user setup, onboarding ingestion, canonical model, stock-cover engine, shipment state model, command-center dashboard, exception workflow, auditability</w:t>
            </w:r>
          </w:p>
        </w:tc>
        <w:tc>
          <w:tcPr>
            <w:tcW w:w="3312" w:type="dxa"/>
            <w:tcMar>
              <w:top w:w="75" w:type="dxa"/>
              <w:left w:w="120" w:type="dxa"/>
              <w:bottom w:w="75" w:type="dxa"/>
              <w:right w:w="120" w:type="dxa"/>
            </w:tcMar>
            <w:vAlign w:val="center"/>
          </w:tcPr>
          <w:p w14:paraId="1D557C4F" w14:textId="77777777" w:rsidR="004011B9" w:rsidRDefault="00000000">
            <w:pPr>
              <w:jc w:val="center"/>
            </w:pPr>
            <w:r>
              <w:rPr>
                <w:rFonts w:ascii="Aptos" w:hAnsi="Aptos"/>
                <w:sz w:val="19"/>
              </w:rPr>
              <w:t>Without these, the product is not operational</w:t>
            </w:r>
          </w:p>
        </w:tc>
      </w:tr>
      <w:tr w:rsidR="004011B9" w14:paraId="4331A4A7" w14:textId="77777777">
        <w:trPr>
          <w:jc w:val="center"/>
        </w:trPr>
        <w:tc>
          <w:tcPr>
            <w:tcW w:w="3312" w:type="dxa"/>
            <w:shd w:val="clear" w:color="auto" w:fill="FBFCFE"/>
            <w:tcMar>
              <w:top w:w="75" w:type="dxa"/>
              <w:left w:w="120" w:type="dxa"/>
              <w:bottom w:w="75" w:type="dxa"/>
              <w:right w:w="120" w:type="dxa"/>
            </w:tcMar>
            <w:vAlign w:val="center"/>
          </w:tcPr>
          <w:p w14:paraId="4470FC7D" w14:textId="77777777" w:rsidR="004011B9" w:rsidRDefault="00000000">
            <w:r>
              <w:rPr>
                <w:rFonts w:ascii="Aptos" w:hAnsi="Aptos"/>
                <w:sz w:val="19"/>
              </w:rPr>
              <w:t>Should-have during pilot</w:t>
            </w:r>
          </w:p>
        </w:tc>
        <w:tc>
          <w:tcPr>
            <w:tcW w:w="3312" w:type="dxa"/>
            <w:shd w:val="clear" w:color="auto" w:fill="FBFCFE"/>
            <w:tcMar>
              <w:top w:w="75" w:type="dxa"/>
              <w:left w:w="120" w:type="dxa"/>
              <w:bottom w:w="75" w:type="dxa"/>
              <w:right w:w="120" w:type="dxa"/>
            </w:tcMar>
            <w:vAlign w:val="center"/>
          </w:tcPr>
          <w:p w14:paraId="3D931B68" w14:textId="77777777" w:rsidR="004011B9" w:rsidRDefault="00000000">
            <w:r>
              <w:rPr>
                <w:rFonts w:ascii="Aptos" w:hAnsi="Aptos"/>
                <w:sz w:val="19"/>
              </w:rPr>
              <w:t>State-based contribution logic, inland tracking basics, confidence layer, mailbox/folder ingestion, overrides, better filters and reporting</w:t>
            </w:r>
          </w:p>
        </w:tc>
        <w:tc>
          <w:tcPr>
            <w:tcW w:w="3312" w:type="dxa"/>
            <w:shd w:val="clear" w:color="auto" w:fill="FBFCFE"/>
            <w:tcMar>
              <w:top w:w="75" w:type="dxa"/>
              <w:left w:w="120" w:type="dxa"/>
              <w:bottom w:w="75" w:type="dxa"/>
              <w:right w:w="120" w:type="dxa"/>
            </w:tcMar>
            <w:vAlign w:val="center"/>
          </w:tcPr>
          <w:p w14:paraId="4F8F3002" w14:textId="77777777" w:rsidR="004011B9" w:rsidRDefault="00000000">
            <w:pPr>
              <w:jc w:val="center"/>
            </w:pPr>
            <w:r>
              <w:rPr>
                <w:rFonts w:ascii="Aptos" w:hAnsi="Aptos"/>
                <w:sz w:val="19"/>
              </w:rPr>
              <w:t>These improve trust and reduce friction during live pilot use</w:t>
            </w:r>
          </w:p>
        </w:tc>
      </w:tr>
      <w:tr w:rsidR="004011B9" w14:paraId="0022BB74" w14:textId="77777777">
        <w:trPr>
          <w:jc w:val="center"/>
        </w:trPr>
        <w:tc>
          <w:tcPr>
            <w:tcW w:w="3312" w:type="dxa"/>
            <w:tcMar>
              <w:top w:w="75" w:type="dxa"/>
              <w:left w:w="120" w:type="dxa"/>
              <w:bottom w:w="75" w:type="dxa"/>
              <w:right w:w="120" w:type="dxa"/>
            </w:tcMar>
            <w:vAlign w:val="center"/>
          </w:tcPr>
          <w:p w14:paraId="62867208" w14:textId="77777777" w:rsidR="004011B9" w:rsidRDefault="00000000">
            <w:r>
              <w:rPr>
                <w:rFonts w:ascii="Aptos" w:hAnsi="Aptos"/>
                <w:sz w:val="19"/>
              </w:rPr>
              <w:t>Post-pilot expansion</w:t>
            </w:r>
          </w:p>
        </w:tc>
        <w:tc>
          <w:tcPr>
            <w:tcW w:w="3312" w:type="dxa"/>
            <w:tcMar>
              <w:top w:w="75" w:type="dxa"/>
              <w:left w:w="120" w:type="dxa"/>
              <w:bottom w:w="75" w:type="dxa"/>
              <w:right w:w="120" w:type="dxa"/>
            </w:tcMar>
            <w:vAlign w:val="center"/>
          </w:tcPr>
          <w:p w14:paraId="5AD1952A" w14:textId="77777777" w:rsidR="004011B9" w:rsidRDefault="00000000">
            <w:r>
              <w:rPr>
                <w:rFonts w:ascii="Aptos" w:hAnsi="Aptos"/>
                <w:sz w:val="19"/>
              </w:rPr>
              <w:t>AIS vessel enrichment, deeper inland feeds, ERP/TMS connectors, notifications, scenario simulation, AI recommendations, supplier portal, mobile workflows</w:t>
            </w:r>
          </w:p>
        </w:tc>
        <w:tc>
          <w:tcPr>
            <w:tcW w:w="3312" w:type="dxa"/>
            <w:tcMar>
              <w:top w:w="75" w:type="dxa"/>
              <w:left w:w="120" w:type="dxa"/>
              <w:bottom w:w="75" w:type="dxa"/>
              <w:right w:w="120" w:type="dxa"/>
            </w:tcMar>
            <w:vAlign w:val="center"/>
          </w:tcPr>
          <w:p w14:paraId="35545A8E" w14:textId="77777777" w:rsidR="004011B9" w:rsidRDefault="00000000">
            <w:pPr>
              <w:jc w:val="center"/>
            </w:pPr>
            <w:r>
              <w:rPr>
                <w:rFonts w:ascii="Aptos" w:hAnsi="Aptos"/>
                <w:sz w:val="19"/>
              </w:rPr>
              <w:t>These improve scale, automation and differentiation after trust is earned</w:t>
            </w:r>
          </w:p>
        </w:tc>
      </w:tr>
    </w:tbl>
    <w:p w14:paraId="4F7DF7A7" w14:textId="77777777" w:rsidR="004011B9" w:rsidRDefault="004011B9">
      <w:pPr>
        <w:spacing w:after="100"/>
      </w:pPr>
    </w:p>
    <w:p w14:paraId="2E92A972" w14:textId="77777777" w:rsidR="004011B9" w:rsidRDefault="00000000">
      <w:pPr>
        <w:spacing w:before="200" w:after="100"/>
      </w:pPr>
      <w:r>
        <w:rPr>
          <w:rFonts w:ascii="Aptos Display" w:hAnsi="Aptos Display"/>
          <w:b/>
          <w:color w:val="102A43"/>
          <w:sz w:val="36"/>
        </w:rPr>
        <w:t>8. Boardroom-ready roadmap</w:t>
      </w:r>
    </w:p>
    <w:p w14:paraId="4B7B523B" w14:textId="77777777" w:rsidR="004011B9" w:rsidRDefault="00000000">
      <w:pPr>
        <w:spacing w:after="120"/>
      </w:pPr>
      <w:r>
        <w:rPr>
          <w:rFonts w:ascii="Aptos" w:hAnsi="Aptos"/>
          <w:color w:val="1F2937"/>
          <w:sz w:val="21"/>
        </w:rPr>
        <w:t>The roadmap should be framed in horizons rather than feature sprawl.</w:t>
      </w:r>
    </w:p>
    <w:p w14:paraId="550E76C7" w14:textId="77777777" w:rsidR="004011B9" w:rsidRDefault="00000000">
      <w:pPr>
        <w:spacing w:after="100"/>
      </w:pPr>
      <w:r>
        <w:rPr>
          <w:rFonts w:ascii="Aptos" w:hAnsi="Aptos"/>
          <w:b/>
          <w:color w:val="102A43"/>
          <w:sz w:val="21"/>
        </w:rPr>
        <w:t xml:space="preserve">Horizon 1 — MVP pilot: </w:t>
      </w:r>
      <w:r>
        <w:rPr>
          <w:rFonts w:ascii="Aptos" w:hAnsi="Aptos"/>
          <w:color w:val="334155"/>
          <w:sz w:val="21"/>
        </w:rPr>
        <w:t>Schema, onboarding ingestion, stock-cover engine, shipment visibility, and exception workflow. Objective: prove one plant-material risk story and close the loop operationally.</w:t>
      </w:r>
    </w:p>
    <w:p w14:paraId="26EF85DD" w14:textId="77777777" w:rsidR="004011B9" w:rsidRDefault="00000000">
      <w:pPr>
        <w:spacing w:after="100"/>
      </w:pPr>
      <w:r>
        <w:rPr>
          <w:rFonts w:ascii="Aptos" w:hAnsi="Aptos"/>
          <w:b/>
          <w:color w:val="102A43"/>
          <w:sz w:val="21"/>
        </w:rPr>
        <w:t xml:space="preserve">Horizon 2 — Pilot enrichment: </w:t>
      </w:r>
      <w:r>
        <w:rPr>
          <w:rFonts w:ascii="Aptos" w:hAnsi="Aptos"/>
          <w:color w:val="334155"/>
          <w:sz w:val="21"/>
        </w:rPr>
        <w:t>Refine shipment contribution by state, capture inland truth more reliably, add confidence/freshness layers, and reduce manual friction through mailbox/folder ingestion.</w:t>
      </w:r>
    </w:p>
    <w:p w14:paraId="4DEF3365" w14:textId="77777777" w:rsidR="004011B9" w:rsidRDefault="00000000">
      <w:pPr>
        <w:spacing w:after="100"/>
      </w:pPr>
      <w:r>
        <w:rPr>
          <w:rFonts w:ascii="Aptos" w:hAnsi="Aptos"/>
          <w:b/>
          <w:color w:val="102A43"/>
          <w:sz w:val="21"/>
        </w:rPr>
        <w:t xml:space="preserve">Horizon 3 — Scalable enterprise: </w:t>
      </w:r>
      <w:r>
        <w:rPr>
          <w:rFonts w:ascii="Aptos" w:hAnsi="Aptos"/>
          <w:color w:val="334155"/>
          <w:sz w:val="21"/>
        </w:rPr>
        <w:t>Layer in ERP and TMS feeds, optional vessel enrichment, richer sponsor analytics, broader multi-plant visibility, and later optimization or recommendations.</w:t>
      </w:r>
    </w:p>
    <w:p w14:paraId="6C9387CD" w14:textId="77777777" w:rsidR="004011B9" w:rsidRDefault="00000000">
      <w:pPr>
        <w:spacing w:before="200" w:after="100"/>
      </w:pPr>
      <w:r>
        <w:rPr>
          <w:rFonts w:ascii="Aptos Display" w:hAnsi="Aptos Display"/>
          <w:b/>
          <w:color w:val="102A43"/>
          <w:sz w:val="36"/>
        </w:rPr>
        <w:t>9. 10-slide killer pitch narrative</w:t>
      </w:r>
    </w:p>
    <w:p w14:paraId="72CDA2B4" w14:textId="77777777" w:rsidR="004011B9" w:rsidRDefault="00000000">
      <w:pPr>
        <w:spacing w:after="120"/>
      </w:pPr>
      <w:r>
        <w:rPr>
          <w:rFonts w:ascii="Aptos" w:hAnsi="Aptos"/>
          <w:color w:val="1F2937"/>
          <w:sz w:val="21"/>
        </w:rPr>
        <w:t>The deck should not begin with features. It should begin with the operating problem. The narrative arc for first meetings should be:</w:t>
      </w:r>
    </w:p>
    <w:p w14:paraId="55E7CE7F" w14:textId="77777777" w:rsidR="004011B9" w:rsidRDefault="00000000">
      <w:pPr>
        <w:pStyle w:val="ListBullet"/>
        <w:spacing w:after="60" w:line="269" w:lineRule="auto"/>
      </w:pPr>
      <w:r>
        <w:rPr>
          <w:rFonts w:ascii="Aptos" w:hAnsi="Aptos"/>
          <w:color w:val="1F2937"/>
          <w:sz w:val="21"/>
        </w:rPr>
        <w:t>1. Why this matters now in India steel.</w:t>
      </w:r>
    </w:p>
    <w:p w14:paraId="38E9C8C3" w14:textId="2FDF302F" w:rsidR="004011B9" w:rsidRDefault="00000000">
      <w:pPr>
        <w:pStyle w:val="ListBullet"/>
        <w:spacing w:after="60" w:line="269" w:lineRule="auto"/>
      </w:pPr>
      <w:r>
        <w:rPr>
          <w:rFonts w:ascii="Aptos" w:hAnsi="Aptos"/>
          <w:color w:val="1F2937"/>
          <w:sz w:val="21"/>
        </w:rPr>
        <w:t xml:space="preserve">2. The operating problem today: ERP + + </w:t>
      </w:r>
      <w:r w:rsidR="007E216D">
        <w:rPr>
          <w:rFonts w:ascii="Aptos" w:hAnsi="Aptos"/>
          <w:color w:val="1F2937"/>
          <w:sz w:val="21"/>
        </w:rPr>
        <w:t xml:space="preserve">Excel + WhatsApp </w:t>
      </w:r>
      <w:r>
        <w:rPr>
          <w:rFonts w:ascii="Aptos" w:hAnsi="Aptos"/>
          <w:color w:val="1F2937"/>
          <w:sz w:val="21"/>
        </w:rPr>
        <w:t>blind spots between port and plant.</w:t>
      </w:r>
    </w:p>
    <w:p w14:paraId="7BC7A685" w14:textId="77777777" w:rsidR="004011B9" w:rsidRDefault="00000000">
      <w:pPr>
        <w:pStyle w:val="ListBullet"/>
        <w:spacing w:after="60" w:line="269" w:lineRule="auto"/>
      </w:pPr>
      <w:r>
        <w:rPr>
          <w:rFonts w:ascii="Aptos" w:hAnsi="Aptos"/>
          <w:color w:val="1F2937"/>
          <w:sz w:val="21"/>
        </w:rPr>
        <w:t>3. What the product is and is not.</w:t>
      </w:r>
    </w:p>
    <w:p w14:paraId="354C39AC" w14:textId="77777777" w:rsidR="004011B9" w:rsidRDefault="00000000">
      <w:pPr>
        <w:pStyle w:val="ListBullet"/>
        <w:spacing w:after="60" w:line="269" w:lineRule="auto"/>
      </w:pPr>
      <w:r>
        <w:rPr>
          <w:rFonts w:ascii="Aptos" w:hAnsi="Aptos"/>
          <w:color w:val="1F2937"/>
          <w:sz w:val="21"/>
        </w:rPr>
        <w:t>4. How the system works from ingestion to action.</w:t>
      </w:r>
    </w:p>
    <w:p w14:paraId="484D50FA" w14:textId="77777777" w:rsidR="004011B9" w:rsidRDefault="00000000">
      <w:pPr>
        <w:pStyle w:val="ListBullet"/>
        <w:spacing w:after="60" w:line="269" w:lineRule="auto"/>
      </w:pPr>
      <w:r>
        <w:rPr>
          <w:rFonts w:ascii="Aptos" w:hAnsi="Aptos"/>
          <w:color w:val="1F2937"/>
          <w:sz w:val="21"/>
        </w:rPr>
        <w:t>5. What data it uses and how onboarding starts without heavy integration.</w:t>
      </w:r>
    </w:p>
    <w:p w14:paraId="59286A53" w14:textId="77777777" w:rsidR="004011B9" w:rsidRDefault="00000000">
      <w:pPr>
        <w:pStyle w:val="ListBullet"/>
        <w:spacing w:after="60" w:line="269" w:lineRule="auto"/>
      </w:pPr>
      <w:r>
        <w:rPr>
          <w:rFonts w:ascii="Aptos" w:hAnsi="Aptos"/>
          <w:color w:val="1F2937"/>
          <w:sz w:val="21"/>
        </w:rPr>
        <w:t>6. Illustrative command-center dashboard.</w:t>
      </w:r>
    </w:p>
    <w:p w14:paraId="7E83D461" w14:textId="77777777" w:rsidR="004011B9" w:rsidRDefault="00000000">
      <w:pPr>
        <w:pStyle w:val="ListBullet"/>
        <w:spacing w:after="60" w:line="269" w:lineRule="auto"/>
      </w:pPr>
      <w:r>
        <w:rPr>
          <w:rFonts w:ascii="Aptos" w:hAnsi="Aptos"/>
          <w:color w:val="1F2937"/>
          <w:sz w:val="21"/>
        </w:rPr>
        <w:t>7. Illustrative shipment visibility and exception workflow.</w:t>
      </w:r>
    </w:p>
    <w:p w14:paraId="22779277" w14:textId="77777777" w:rsidR="004011B9" w:rsidRDefault="00000000">
      <w:pPr>
        <w:pStyle w:val="ListBullet"/>
        <w:spacing w:after="60" w:line="269" w:lineRule="auto"/>
      </w:pPr>
      <w:r>
        <w:rPr>
          <w:rFonts w:ascii="Aptos" w:hAnsi="Aptos"/>
          <w:color w:val="1F2937"/>
          <w:sz w:val="21"/>
        </w:rPr>
        <w:lastRenderedPageBreak/>
        <w:t>8. Pilot design and implementation path.</w:t>
      </w:r>
    </w:p>
    <w:p w14:paraId="603A9135" w14:textId="77777777" w:rsidR="004011B9" w:rsidRDefault="00000000">
      <w:pPr>
        <w:pStyle w:val="ListBullet"/>
        <w:spacing w:after="60" w:line="269" w:lineRule="auto"/>
      </w:pPr>
      <w:r>
        <w:rPr>
          <w:rFonts w:ascii="Aptos" w:hAnsi="Aptos"/>
          <w:color w:val="1F2937"/>
          <w:sz w:val="21"/>
        </w:rPr>
        <w:t>9. Commercial value and KPI proof.</w:t>
      </w:r>
    </w:p>
    <w:p w14:paraId="41E17E03" w14:textId="77777777" w:rsidR="004011B9" w:rsidRDefault="00000000">
      <w:pPr>
        <w:pStyle w:val="ListBullet"/>
        <w:spacing w:after="60" w:line="269" w:lineRule="auto"/>
      </w:pPr>
      <w:r>
        <w:rPr>
          <w:rFonts w:ascii="Aptos" w:hAnsi="Aptos"/>
          <w:color w:val="1F2937"/>
          <w:sz w:val="21"/>
        </w:rPr>
        <w:t>10. India-specific first customer acquisition strategy.</w:t>
      </w:r>
    </w:p>
    <w:p w14:paraId="02AC182E" w14:textId="77777777" w:rsidR="004011B9" w:rsidRDefault="00000000">
      <w:pPr>
        <w:spacing w:before="200" w:after="100"/>
      </w:pPr>
      <w:r>
        <w:rPr>
          <w:rFonts w:ascii="Aptos Display" w:hAnsi="Aptos Display"/>
          <w:b/>
          <w:color w:val="102A43"/>
          <w:sz w:val="36"/>
        </w:rPr>
        <w:t>10. Client proposal structure</w:t>
      </w:r>
    </w:p>
    <w:p w14:paraId="1F283D15" w14:textId="77777777" w:rsidR="004011B9" w:rsidRDefault="00000000">
      <w:pPr>
        <w:spacing w:after="120"/>
      </w:pPr>
      <w:r>
        <w:rPr>
          <w:rFonts w:ascii="Aptos" w:hAnsi="Aptos"/>
          <w:color w:val="1F2937"/>
          <w:sz w:val="21"/>
        </w:rPr>
        <w:t>For buyer conversations, the proposal should be framed as a narrow operational pilot rather than a broad transformation. The commercial wedge is continuity protection and cleaner coordination — not software ideology.</w:t>
      </w:r>
    </w:p>
    <w:tbl>
      <w:tblPr>
        <w:tblW w:w="0" w:type="auto"/>
        <w:jc w:val="center"/>
        <w:tblLook w:val="04A0" w:firstRow="1" w:lastRow="0" w:firstColumn="1" w:lastColumn="0" w:noHBand="0" w:noVBand="1"/>
      </w:tblPr>
      <w:tblGrid>
        <w:gridCol w:w="9936"/>
      </w:tblGrid>
      <w:tr w:rsidR="004011B9" w14:paraId="7B5B8F71" w14:textId="77777777">
        <w:trPr>
          <w:jc w:val="center"/>
        </w:trPr>
        <w:tc>
          <w:tcPr>
            <w:tcW w:w="9936" w:type="dxa"/>
            <w:shd w:val="clear" w:color="auto" w:fill="EAF2FF"/>
            <w:tcMar>
              <w:top w:w="70" w:type="dxa"/>
              <w:left w:w="120" w:type="dxa"/>
              <w:bottom w:w="70" w:type="dxa"/>
              <w:right w:w="120" w:type="dxa"/>
            </w:tcMar>
            <w:vAlign w:val="center"/>
          </w:tcPr>
          <w:p w14:paraId="65BC1416" w14:textId="77777777" w:rsidR="004011B9" w:rsidRDefault="00000000">
            <w:r>
              <w:rPr>
                <w:rFonts w:ascii="Aptos" w:hAnsi="Aptos"/>
                <w:b/>
                <w:color w:val="102A43"/>
              </w:rPr>
              <w:t>Recommended pilot framing</w:t>
            </w:r>
          </w:p>
        </w:tc>
      </w:tr>
      <w:tr w:rsidR="004011B9" w14:paraId="0ABB8B3B" w14:textId="77777777">
        <w:trPr>
          <w:jc w:val="center"/>
        </w:trPr>
        <w:tc>
          <w:tcPr>
            <w:tcW w:w="9936" w:type="dxa"/>
            <w:shd w:val="clear" w:color="auto" w:fill="F6F8FB"/>
            <w:tcMar>
              <w:top w:w="70" w:type="dxa"/>
              <w:left w:w="120" w:type="dxa"/>
              <w:bottom w:w="70" w:type="dxa"/>
              <w:right w:w="120" w:type="dxa"/>
            </w:tcMar>
            <w:vAlign w:val="center"/>
          </w:tcPr>
          <w:p w14:paraId="029AE122" w14:textId="77777777" w:rsidR="004011B9" w:rsidRDefault="00000000">
            <w:pPr>
              <w:spacing w:line="269" w:lineRule="auto"/>
            </w:pPr>
            <w:r>
              <w:rPr>
                <w:rFonts w:ascii="Aptos" w:hAnsi="Aptos"/>
                <w:color w:val="334155"/>
                <w:sz w:val="20"/>
              </w:rPr>
              <w:t>One plant, one or two critical materials, and a 10–14 week duration. Start with uploads and existing trackers. Prove earlier warnings, better owner assignment, reduced disruption noise, and one quantifiable financial or continuity outcome.</w:t>
            </w:r>
          </w:p>
        </w:tc>
      </w:tr>
    </w:tbl>
    <w:p w14:paraId="57D8FA8D" w14:textId="77777777" w:rsidR="004011B9" w:rsidRDefault="004011B9">
      <w:pPr>
        <w:spacing w:after="80"/>
      </w:pPr>
    </w:p>
    <w:p w14:paraId="3A10D2D3" w14:textId="77777777" w:rsidR="004011B9" w:rsidRDefault="00000000">
      <w:pPr>
        <w:spacing w:before="200" w:after="100"/>
      </w:pPr>
      <w:r>
        <w:rPr>
          <w:rFonts w:ascii="Aptos Display" w:hAnsi="Aptos Display"/>
          <w:b/>
          <w:color w:val="102A43"/>
          <w:sz w:val="36"/>
        </w:rPr>
        <w:t>11. India-specific first customer acquisition strategy</w:t>
      </w:r>
    </w:p>
    <w:p w14:paraId="3274AA84" w14:textId="77777777" w:rsidR="004011B9" w:rsidRDefault="00000000">
      <w:pPr>
        <w:spacing w:after="120"/>
      </w:pPr>
      <w:r>
        <w:rPr>
          <w:rFonts w:ascii="Aptos" w:hAnsi="Aptos"/>
          <w:color w:val="1F2937"/>
          <w:sz w:val="21"/>
        </w:rPr>
        <w:t>The first-wave target profile should be integrated producers and complex single-site networks where inbound route complexity, continuity risk and sponsor visibility are all high. The secondary market is attractive later, but the first proof points should come from customers for whom one prevented disruption matters materially.</w:t>
      </w:r>
    </w:p>
    <w:tbl>
      <w:tblPr>
        <w:tblStyle w:val="TableGrid"/>
        <w:tblW w:w="0" w:type="auto"/>
        <w:jc w:val="center"/>
        <w:tblLook w:val="04A0" w:firstRow="1" w:lastRow="0" w:firstColumn="1" w:lastColumn="0" w:noHBand="0" w:noVBand="1"/>
      </w:tblPr>
      <w:tblGrid>
        <w:gridCol w:w="2484"/>
        <w:gridCol w:w="2484"/>
        <w:gridCol w:w="2484"/>
        <w:gridCol w:w="2484"/>
      </w:tblGrid>
      <w:tr w:rsidR="004011B9" w14:paraId="0218E999" w14:textId="77777777">
        <w:trPr>
          <w:jc w:val="center"/>
        </w:trPr>
        <w:tc>
          <w:tcPr>
            <w:tcW w:w="2484" w:type="dxa"/>
            <w:shd w:val="clear" w:color="auto" w:fill="EAF2FF"/>
            <w:tcMar>
              <w:top w:w="80" w:type="dxa"/>
              <w:left w:w="120" w:type="dxa"/>
              <w:bottom w:w="80" w:type="dxa"/>
              <w:right w:w="120" w:type="dxa"/>
            </w:tcMar>
          </w:tcPr>
          <w:p w14:paraId="40BE56D4" w14:textId="77777777" w:rsidR="004011B9" w:rsidRDefault="00000000">
            <w:r>
              <w:rPr>
                <w:rFonts w:ascii="Aptos" w:hAnsi="Aptos"/>
                <w:b/>
                <w:color w:val="102A43"/>
                <w:sz w:val="19"/>
              </w:rPr>
              <w:t>Priority</w:t>
            </w:r>
          </w:p>
        </w:tc>
        <w:tc>
          <w:tcPr>
            <w:tcW w:w="2484" w:type="dxa"/>
            <w:shd w:val="clear" w:color="auto" w:fill="EAF2FF"/>
            <w:tcMar>
              <w:top w:w="80" w:type="dxa"/>
              <w:left w:w="120" w:type="dxa"/>
              <w:bottom w:w="80" w:type="dxa"/>
              <w:right w:w="120" w:type="dxa"/>
            </w:tcMar>
          </w:tcPr>
          <w:p w14:paraId="6115EACA" w14:textId="77777777" w:rsidR="004011B9" w:rsidRDefault="00000000">
            <w:pPr>
              <w:jc w:val="center"/>
            </w:pPr>
            <w:r>
              <w:rPr>
                <w:rFonts w:ascii="Aptos" w:hAnsi="Aptos"/>
                <w:b/>
                <w:color w:val="102A43"/>
                <w:sz w:val="19"/>
              </w:rPr>
              <w:t>Target archetype</w:t>
            </w:r>
          </w:p>
        </w:tc>
        <w:tc>
          <w:tcPr>
            <w:tcW w:w="2484" w:type="dxa"/>
            <w:shd w:val="clear" w:color="auto" w:fill="EAF2FF"/>
            <w:tcMar>
              <w:top w:w="80" w:type="dxa"/>
              <w:left w:w="120" w:type="dxa"/>
              <w:bottom w:w="80" w:type="dxa"/>
              <w:right w:w="120" w:type="dxa"/>
            </w:tcMar>
          </w:tcPr>
          <w:p w14:paraId="20DD372E" w14:textId="77777777" w:rsidR="004011B9" w:rsidRDefault="00000000">
            <w:pPr>
              <w:jc w:val="center"/>
            </w:pPr>
            <w:r>
              <w:rPr>
                <w:rFonts w:ascii="Aptos" w:hAnsi="Aptos"/>
                <w:b/>
                <w:color w:val="102A43"/>
                <w:sz w:val="19"/>
              </w:rPr>
              <w:t>Reason to target now</w:t>
            </w:r>
          </w:p>
        </w:tc>
        <w:tc>
          <w:tcPr>
            <w:tcW w:w="2484" w:type="dxa"/>
            <w:shd w:val="clear" w:color="auto" w:fill="EAF2FF"/>
            <w:tcMar>
              <w:top w:w="80" w:type="dxa"/>
              <w:left w:w="120" w:type="dxa"/>
              <w:bottom w:w="80" w:type="dxa"/>
              <w:right w:w="120" w:type="dxa"/>
            </w:tcMar>
          </w:tcPr>
          <w:p w14:paraId="619A937C" w14:textId="77777777" w:rsidR="004011B9" w:rsidRDefault="00000000">
            <w:pPr>
              <w:jc w:val="center"/>
            </w:pPr>
            <w:r>
              <w:rPr>
                <w:rFonts w:ascii="Aptos" w:hAnsi="Aptos"/>
                <w:b/>
                <w:color w:val="102A43"/>
                <w:sz w:val="19"/>
              </w:rPr>
              <w:t>Best pilot wedge</w:t>
            </w:r>
          </w:p>
        </w:tc>
      </w:tr>
      <w:tr w:rsidR="004011B9" w14:paraId="2E3664FC" w14:textId="77777777">
        <w:trPr>
          <w:jc w:val="center"/>
        </w:trPr>
        <w:tc>
          <w:tcPr>
            <w:tcW w:w="2484" w:type="dxa"/>
            <w:tcMar>
              <w:top w:w="75" w:type="dxa"/>
              <w:left w:w="120" w:type="dxa"/>
              <w:bottom w:w="75" w:type="dxa"/>
              <w:right w:w="120" w:type="dxa"/>
            </w:tcMar>
            <w:vAlign w:val="center"/>
          </w:tcPr>
          <w:p w14:paraId="10C63521" w14:textId="77777777" w:rsidR="004011B9" w:rsidRDefault="00000000">
            <w:r>
              <w:rPr>
                <w:rFonts w:ascii="Aptos" w:hAnsi="Aptos"/>
                <w:sz w:val="19"/>
              </w:rPr>
              <w:t>1</w:t>
            </w:r>
          </w:p>
        </w:tc>
        <w:tc>
          <w:tcPr>
            <w:tcW w:w="2484" w:type="dxa"/>
            <w:tcMar>
              <w:top w:w="75" w:type="dxa"/>
              <w:left w:w="120" w:type="dxa"/>
              <w:bottom w:w="75" w:type="dxa"/>
              <w:right w:w="120" w:type="dxa"/>
            </w:tcMar>
            <w:vAlign w:val="center"/>
          </w:tcPr>
          <w:p w14:paraId="1EF0DC5A" w14:textId="77777777" w:rsidR="004011B9" w:rsidRDefault="00000000">
            <w:r>
              <w:rPr>
                <w:rFonts w:ascii="Aptos" w:hAnsi="Aptos"/>
                <w:sz w:val="19"/>
              </w:rPr>
              <w:t>JSW Steel / Tata Steel / AM/NS India</w:t>
            </w:r>
          </w:p>
        </w:tc>
        <w:tc>
          <w:tcPr>
            <w:tcW w:w="2484" w:type="dxa"/>
            <w:tcMar>
              <w:top w:w="75" w:type="dxa"/>
              <w:left w:w="120" w:type="dxa"/>
              <w:bottom w:w="75" w:type="dxa"/>
              <w:right w:w="120" w:type="dxa"/>
            </w:tcMar>
            <w:vAlign w:val="center"/>
          </w:tcPr>
          <w:p w14:paraId="19423D5E" w14:textId="77777777" w:rsidR="004011B9" w:rsidRDefault="00000000">
            <w:pPr>
              <w:jc w:val="center"/>
            </w:pPr>
            <w:r>
              <w:rPr>
                <w:rFonts w:ascii="Aptos" w:hAnsi="Aptos"/>
                <w:sz w:val="19"/>
              </w:rPr>
              <w:t>Scale, digital readiness, route complexity and high sponsor value</w:t>
            </w:r>
          </w:p>
        </w:tc>
        <w:tc>
          <w:tcPr>
            <w:tcW w:w="2484" w:type="dxa"/>
            <w:tcMar>
              <w:top w:w="75" w:type="dxa"/>
              <w:left w:w="120" w:type="dxa"/>
              <w:bottom w:w="75" w:type="dxa"/>
              <w:right w:w="120" w:type="dxa"/>
            </w:tcMar>
            <w:vAlign w:val="center"/>
          </w:tcPr>
          <w:p w14:paraId="1D38FC5E" w14:textId="77777777" w:rsidR="004011B9" w:rsidRDefault="00000000">
            <w:pPr>
              <w:jc w:val="center"/>
            </w:pPr>
            <w:r>
              <w:rPr>
                <w:rFonts w:ascii="Aptos" w:hAnsi="Aptos"/>
                <w:sz w:val="19"/>
              </w:rPr>
              <w:t>One corridor / one plant / one material family + exception room</w:t>
            </w:r>
          </w:p>
        </w:tc>
      </w:tr>
      <w:tr w:rsidR="004011B9" w14:paraId="35BB21BB" w14:textId="77777777">
        <w:trPr>
          <w:jc w:val="center"/>
        </w:trPr>
        <w:tc>
          <w:tcPr>
            <w:tcW w:w="2484" w:type="dxa"/>
            <w:shd w:val="clear" w:color="auto" w:fill="FBFCFE"/>
            <w:tcMar>
              <w:top w:w="75" w:type="dxa"/>
              <w:left w:w="120" w:type="dxa"/>
              <w:bottom w:w="75" w:type="dxa"/>
              <w:right w:w="120" w:type="dxa"/>
            </w:tcMar>
            <w:vAlign w:val="center"/>
          </w:tcPr>
          <w:p w14:paraId="77CCF248" w14:textId="77777777" w:rsidR="004011B9" w:rsidRDefault="00000000">
            <w:r>
              <w:rPr>
                <w:rFonts w:ascii="Aptos" w:hAnsi="Aptos"/>
                <w:sz w:val="19"/>
              </w:rPr>
              <w:t>2</w:t>
            </w:r>
          </w:p>
        </w:tc>
        <w:tc>
          <w:tcPr>
            <w:tcW w:w="2484" w:type="dxa"/>
            <w:shd w:val="clear" w:color="auto" w:fill="FBFCFE"/>
            <w:tcMar>
              <w:top w:w="75" w:type="dxa"/>
              <w:left w:w="120" w:type="dxa"/>
              <w:bottom w:w="75" w:type="dxa"/>
              <w:right w:w="120" w:type="dxa"/>
            </w:tcMar>
            <w:vAlign w:val="center"/>
          </w:tcPr>
          <w:p w14:paraId="0C77B317" w14:textId="77777777" w:rsidR="004011B9" w:rsidRDefault="00000000">
            <w:r>
              <w:rPr>
                <w:rFonts w:ascii="Aptos" w:hAnsi="Aptos"/>
                <w:sz w:val="19"/>
              </w:rPr>
              <w:t>Regional integrated or ore-and-coal exposed producers</w:t>
            </w:r>
          </w:p>
        </w:tc>
        <w:tc>
          <w:tcPr>
            <w:tcW w:w="2484" w:type="dxa"/>
            <w:shd w:val="clear" w:color="auto" w:fill="FBFCFE"/>
            <w:tcMar>
              <w:top w:w="75" w:type="dxa"/>
              <w:left w:w="120" w:type="dxa"/>
              <w:bottom w:w="75" w:type="dxa"/>
              <w:right w:w="120" w:type="dxa"/>
            </w:tcMar>
            <w:vAlign w:val="center"/>
          </w:tcPr>
          <w:p w14:paraId="671E2171" w14:textId="77777777" w:rsidR="004011B9" w:rsidRDefault="00000000">
            <w:pPr>
              <w:jc w:val="center"/>
            </w:pPr>
            <w:r>
              <w:rPr>
                <w:rFonts w:ascii="Aptos" w:hAnsi="Aptos"/>
                <w:sz w:val="19"/>
              </w:rPr>
              <w:t>Strong pain with potentially faster founder-led access</w:t>
            </w:r>
          </w:p>
        </w:tc>
        <w:tc>
          <w:tcPr>
            <w:tcW w:w="2484" w:type="dxa"/>
            <w:shd w:val="clear" w:color="auto" w:fill="FBFCFE"/>
            <w:tcMar>
              <w:top w:w="75" w:type="dxa"/>
              <w:left w:w="120" w:type="dxa"/>
              <w:bottom w:w="75" w:type="dxa"/>
              <w:right w:w="120" w:type="dxa"/>
            </w:tcMar>
            <w:vAlign w:val="center"/>
          </w:tcPr>
          <w:p w14:paraId="09F5CCB6" w14:textId="77777777" w:rsidR="004011B9" w:rsidRDefault="00000000">
            <w:pPr>
              <w:jc w:val="center"/>
            </w:pPr>
            <w:r>
              <w:rPr>
                <w:rFonts w:ascii="Aptos" w:hAnsi="Aptos"/>
                <w:sz w:val="19"/>
              </w:rPr>
              <w:t>Command center + stock-cover + manual uploads first</w:t>
            </w:r>
          </w:p>
        </w:tc>
      </w:tr>
      <w:tr w:rsidR="004011B9" w14:paraId="1570F512" w14:textId="77777777">
        <w:trPr>
          <w:jc w:val="center"/>
        </w:trPr>
        <w:tc>
          <w:tcPr>
            <w:tcW w:w="2484" w:type="dxa"/>
            <w:tcMar>
              <w:top w:w="75" w:type="dxa"/>
              <w:left w:w="120" w:type="dxa"/>
              <w:bottom w:w="75" w:type="dxa"/>
              <w:right w:w="120" w:type="dxa"/>
            </w:tcMar>
            <w:vAlign w:val="center"/>
          </w:tcPr>
          <w:p w14:paraId="6709E4F0" w14:textId="77777777" w:rsidR="004011B9" w:rsidRDefault="00000000">
            <w:r>
              <w:rPr>
                <w:rFonts w:ascii="Aptos" w:hAnsi="Aptos"/>
                <w:sz w:val="19"/>
              </w:rPr>
              <w:t>3</w:t>
            </w:r>
          </w:p>
        </w:tc>
        <w:tc>
          <w:tcPr>
            <w:tcW w:w="2484" w:type="dxa"/>
            <w:tcMar>
              <w:top w:w="75" w:type="dxa"/>
              <w:left w:w="120" w:type="dxa"/>
              <w:bottom w:w="75" w:type="dxa"/>
              <w:right w:w="120" w:type="dxa"/>
            </w:tcMar>
            <w:vAlign w:val="center"/>
          </w:tcPr>
          <w:p w14:paraId="01A0BB82" w14:textId="77777777" w:rsidR="004011B9" w:rsidRDefault="00000000">
            <w:r>
              <w:rPr>
                <w:rFonts w:ascii="Aptos" w:hAnsi="Aptos"/>
                <w:sz w:val="19"/>
              </w:rPr>
              <w:t>Secondary steel groups</w:t>
            </w:r>
          </w:p>
        </w:tc>
        <w:tc>
          <w:tcPr>
            <w:tcW w:w="2484" w:type="dxa"/>
            <w:tcMar>
              <w:top w:w="75" w:type="dxa"/>
              <w:left w:w="120" w:type="dxa"/>
              <w:bottom w:w="75" w:type="dxa"/>
              <w:right w:w="120" w:type="dxa"/>
            </w:tcMar>
            <w:vAlign w:val="center"/>
          </w:tcPr>
          <w:p w14:paraId="0E46286C" w14:textId="77777777" w:rsidR="004011B9" w:rsidRDefault="00000000">
            <w:pPr>
              <w:jc w:val="center"/>
            </w:pPr>
            <w:r>
              <w:rPr>
                <w:rFonts w:ascii="Aptos" w:hAnsi="Aptos"/>
                <w:sz w:val="19"/>
              </w:rPr>
              <w:t>Large long-tail opportunity after product simplification</w:t>
            </w:r>
          </w:p>
        </w:tc>
        <w:tc>
          <w:tcPr>
            <w:tcW w:w="2484" w:type="dxa"/>
            <w:tcMar>
              <w:top w:w="75" w:type="dxa"/>
              <w:left w:w="120" w:type="dxa"/>
              <w:bottom w:w="75" w:type="dxa"/>
              <w:right w:w="120" w:type="dxa"/>
            </w:tcMar>
            <w:vAlign w:val="center"/>
          </w:tcPr>
          <w:p w14:paraId="34896192" w14:textId="77777777" w:rsidR="004011B9" w:rsidRDefault="00000000">
            <w:pPr>
              <w:jc w:val="center"/>
            </w:pPr>
            <w:r>
              <w:rPr>
                <w:rFonts w:ascii="Aptos" w:hAnsi="Aptos"/>
                <w:sz w:val="19"/>
              </w:rPr>
              <w:t>Mobile-first or lighter SKU later, not core first-wave motion</w:t>
            </w:r>
          </w:p>
        </w:tc>
      </w:tr>
    </w:tbl>
    <w:p w14:paraId="29767943" w14:textId="77777777" w:rsidR="004011B9" w:rsidRDefault="004011B9">
      <w:pPr>
        <w:spacing w:after="100"/>
      </w:pPr>
    </w:p>
    <w:p w14:paraId="4116C6A2" w14:textId="77777777" w:rsidR="004011B9" w:rsidRDefault="00000000">
      <w:pPr>
        <w:spacing w:after="120"/>
      </w:pPr>
      <w:r>
        <w:rPr>
          <w:rFonts w:ascii="Aptos" w:hAnsi="Aptos"/>
          <w:color w:val="1F2937"/>
          <w:sz w:val="21"/>
        </w:rPr>
        <w:t>From Ranchi and the eastern belt, the founder advantage is not “small local vendor” positioning. The advantage is discovery depth. You can speak credibly to the operating rhythm of Jamshedpur, Bokaro, ore-and-coal corridors, transporter realities, and the practical difference between vessel arrival and plant availability.</w:t>
      </w:r>
    </w:p>
    <w:p w14:paraId="21CF1B65" w14:textId="77777777" w:rsidR="004011B9" w:rsidRDefault="00000000">
      <w:pPr>
        <w:spacing w:before="160" w:after="100"/>
      </w:pPr>
      <w:r>
        <w:rPr>
          <w:rFonts w:ascii="Aptos Display" w:hAnsi="Aptos Display"/>
          <w:b/>
          <w:color w:val="102A43"/>
          <w:sz w:val="28"/>
        </w:rPr>
        <w:t>11.1 Buyer map and founder-led sales motion</w:t>
      </w:r>
    </w:p>
    <w:p w14:paraId="215AA817" w14:textId="77777777" w:rsidR="004011B9" w:rsidRDefault="00000000">
      <w:pPr>
        <w:pStyle w:val="ListBullet"/>
        <w:spacing w:after="60" w:line="269" w:lineRule="auto"/>
      </w:pPr>
      <w:r>
        <w:rPr>
          <w:rFonts w:ascii="Aptos" w:hAnsi="Aptos"/>
          <w:color w:val="1F2937"/>
          <w:sz w:val="21"/>
        </w:rPr>
        <w:t>Economic buyer: COO, supply-chain head, or group procurement leader depending on organization structure.</w:t>
      </w:r>
    </w:p>
    <w:p w14:paraId="2DEF4F40" w14:textId="77777777" w:rsidR="004011B9" w:rsidRDefault="00000000">
      <w:pPr>
        <w:pStyle w:val="ListBullet"/>
        <w:spacing w:after="60" w:line="269" w:lineRule="auto"/>
      </w:pPr>
      <w:r>
        <w:rPr>
          <w:rFonts w:ascii="Aptos" w:hAnsi="Aptos"/>
          <w:color w:val="1F2937"/>
          <w:sz w:val="21"/>
        </w:rPr>
        <w:t>Operational champion: raw-material procurement head, inbound logistics head, or plant planning leader.</w:t>
      </w:r>
    </w:p>
    <w:p w14:paraId="50C01C5F" w14:textId="77777777" w:rsidR="004011B9" w:rsidRDefault="00000000">
      <w:pPr>
        <w:pStyle w:val="ListBullet"/>
        <w:spacing w:after="60" w:line="269" w:lineRule="auto"/>
      </w:pPr>
      <w:r>
        <w:rPr>
          <w:rFonts w:ascii="Aptos" w:hAnsi="Aptos"/>
          <w:color w:val="1F2937"/>
          <w:sz w:val="21"/>
        </w:rPr>
        <w:t>Technical gatekeeper: CIO, enterprise architecture or plant IT.</w:t>
      </w:r>
    </w:p>
    <w:p w14:paraId="750D4558" w14:textId="77777777" w:rsidR="004011B9" w:rsidRDefault="00000000">
      <w:pPr>
        <w:pStyle w:val="ListBullet"/>
        <w:spacing w:after="60" w:line="269" w:lineRule="auto"/>
      </w:pPr>
      <w:r>
        <w:rPr>
          <w:rFonts w:ascii="Aptos" w:hAnsi="Aptos"/>
          <w:color w:val="1F2937"/>
          <w:sz w:val="21"/>
        </w:rPr>
        <w:t>Finance ally: controller or procurement finance partner who can validate demurrage, expedite or inventory-confidence benefits.</w:t>
      </w:r>
    </w:p>
    <w:p w14:paraId="192A4332" w14:textId="77777777" w:rsidR="004011B9" w:rsidRDefault="00000000">
      <w:pPr>
        <w:spacing w:before="160" w:after="100"/>
      </w:pPr>
      <w:r>
        <w:rPr>
          <w:rFonts w:ascii="Aptos Display" w:hAnsi="Aptos Display"/>
          <w:b/>
          <w:color w:val="102A43"/>
          <w:sz w:val="28"/>
        </w:rPr>
        <w:lastRenderedPageBreak/>
        <w:t>11.2 Outreach sequence</w:t>
      </w:r>
    </w:p>
    <w:p w14:paraId="0560A351" w14:textId="77777777" w:rsidR="004011B9" w:rsidRDefault="00000000">
      <w:pPr>
        <w:pStyle w:val="ListBullet"/>
        <w:spacing w:after="60" w:line="269" w:lineRule="auto"/>
      </w:pPr>
      <w:r>
        <w:rPr>
          <w:rFonts w:ascii="Aptos" w:hAnsi="Aptos"/>
          <w:color w:val="1F2937"/>
          <w:sz w:val="21"/>
        </w:rPr>
        <w:t>Lead with an insight meeting, not a full product tour. Reconstruct one recent disruption in the prospect’s language.</w:t>
      </w:r>
    </w:p>
    <w:p w14:paraId="67661F35" w14:textId="77777777" w:rsidR="004011B9" w:rsidRDefault="00000000">
      <w:pPr>
        <w:pStyle w:val="ListBullet"/>
        <w:spacing w:after="60" w:line="269" w:lineRule="auto"/>
      </w:pPr>
      <w:r>
        <w:rPr>
          <w:rFonts w:ascii="Aptos" w:hAnsi="Aptos"/>
          <w:color w:val="1F2937"/>
          <w:sz w:val="21"/>
        </w:rPr>
        <w:t>Run a diagnostic workshop to map the current truth gaps between nomination, ETA, port, inland movement and stock cover.</w:t>
      </w:r>
    </w:p>
    <w:p w14:paraId="53C82AB7" w14:textId="77777777" w:rsidR="004011B9" w:rsidRDefault="00000000">
      <w:pPr>
        <w:pStyle w:val="ListBullet"/>
        <w:spacing w:after="60" w:line="269" w:lineRule="auto"/>
      </w:pPr>
      <w:r>
        <w:rPr>
          <w:rFonts w:ascii="Aptos" w:hAnsi="Aptos"/>
          <w:color w:val="1F2937"/>
          <w:sz w:val="21"/>
        </w:rPr>
        <w:t>Offer a tightly scoped pilot with success metrics defined before contracting.</w:t>
      </w:r>
    </w:p>
    <w:p w14:paraId="411B8EFD" w14:textId="77777777" w:rsidR="004011B9" w:rsidRDefault="00000000">
      <w:pPr>
        <w:pStyle w:val="ListBullet"/>
        <w:spacing w:after="60" w:line="269" w:lineRule="auto"/>
      </w:pPr>
      <w:r>
        <w:rPr>
          <w:rFonts w:ascii="Aptos" w:hAnsi="Aptos"/>
          <w:color w:val="1F2937"/>
          <w:sz w:val="21"/>
        </w:rPr>
        <w:t>Use the product in weekly operating rhythm during the pilot, not as a static review deck.</w:t>
      </w:r>
    </w:p>
    <w:p w14:paraId="594957F3" w14:textId="77777777" w:rsidR="004011B9" w:rsidRDefault="00000000">
      <w:pPr>
        <w:pStyle w:val="ListBullet"/>
        <w:spacing w:after="60" w:line="269" w:lineRule="auto"/>
      </w:pPr>
      <w:r>
        <w:rPr>
          <w:rFonts w:ascii="Aptos" w:hAnsi="Aptos"/>
          <w:color w:val="1F2937"/>
          <w:sz w:val="21"/>
        </w:rPr>
        <w:t>Convert only after one measurable value story is visible.</w:t>
      </w:r>
    </w:p>
    <w:p w14:paraId="6DBFEF86" w14:textId="77777777" w:rsidR="004011B9" w:rsidRDefault="00000000">
      <w:pPr>
        <w:spacing w:before="200" w:after="100"/>
      </w:pPr>
      <w:r>
        <w:rPr>
          <w:rFonts w:ascii="Aptos Display" w:hAnsi="Aptos Display"/>
          <w:b/>
          <w:color w:val="102A43"/>
          <w:sz w:val="36"/>
        </w:rPr>
        <w:t>12. Founder operating plan for the next 90 days</w:t>
      </w:r>
    </w:p>
    <w:tbl>
      <w:tblPr>
        <w:tblStyle w:val="TableGrid"/>
        <w:tblW w:w="0" w:type="auto"/>
        <w:jc w:val="center"/>
        <w:tblLook w:val="04A0" w:firstRow="1" w:lastRow="0" w:firstColumn="1" w:lastColumn="0" w:noHBand="0" w:noVBand="1"/>
      </w:tblPr>
      <w:tblGrid>
        <w:gridCol w:w="3312"/>
        <w:gridCol w:w="3312"/>
        <w:gridCol w:w="3312"/>
      </w:tblGrid>
      <w:tr w:rsidR="004011B9" w14:paraId="49600FC3" w14:textId="77777777">
        <w:trPr>
          <w:jc w:val="center"/>
        </w:trPr>
        <w:tc>
          <w:tcPr>
            <w:tcW w:w="3312" w:type="dxa"/>
            <w:shd w:val="clear" w:color="auto" w:fill="EAF2FF"/>
            <w:tcMar>
              <w:top w:w="80" w:type="dxa"/>
              <w:left w:w="120" w:type="dxa"/>
              <w:bottom w:w="80" w:type="dxa"/>
              <w:right w:w="120" w:type="dxa"/>
            </w:tcMar>
          </w:tcPr>
          <w:p w14:paraId="7754D73F" w14:textId="77777777" w:rsidR="004011B9" w:rsidRDefault="00000000">
            <w:r>
              <w:rPr>
                <w:rFonts w:ascii="Aptos" w:hAnsi="Aptos"/>
                <w:b/>
                <w:color w:val="102A43"/>
                <w:sz w:val="19"/>
              </w:rPr>
              <w:t>Window</w:t>
            </w:r>
          </w:p>
        </w:tc>
        <w:tc>
          <w:tcPr>
            <w:tcW w:w="3312" w:type="dxa"/>
            <w:shd w:val="clear" w:color="auto" w:fill="EAF2FF"/>
            <w:tcMar>
              <w:top w:w="80" w:type="dxa"/>
              <w:left w:w="120" w:type="dxa"/>
              <w:bottom w:w="80" w:type="dxa"/>
              <w:right w:w="120" w:type="dxa"/>
            </w:tcMar>
          </w:tcPr>
          <w:p w14:paraId="0CD27790" w14:textId="77777777" w:rsidR="004011B9" w:rsidRDefault="00000000">
            <w:pPr>
              <w:jc w:val="center"/>
            </w:pPr>
            <w:r>
              <w:rPr>
                <w:rFonts w:ascii="Aptos" w:hAnsi="Aptos"/>
                <w:b/>
                <w:color w:val="102A43"/>
                <w:sz w:val="19"/>
              </w:rPr>
              <w:t>Primary outcome</w:t>
            </w:r>
          </w:p>
        </w:tc>
        <w:tc>
          <w:tcPr>
            <w:tcW w:w="3312" w:type="dxa"/>
            <w:shd w:val="clear" w:color="auto" w:fill="EAF2FF"/>
            <w:tcMar>
              <w:top w:w="80" w:type="dxa"/>
              <w:left w:w="120" w:type="dxa"/>
              <w:bottom w:w="80" w:type="dxa"/>
              <w:right w:w="120" w:type="dxa"/>
            </w:tcMar>
          </w:tcPr>
          <w:p w14:paraId="0141838B" w14:textId="77777777" w:rsidR="004011B9" w:rsidRDefault="00000000">
            <w:pPr>
              <w:jc w:val="center"/>
            </w:pPr>
            <w:r>
              <w:rPr>
                <w:rFonts w:ascii="Aptos" w:hAnsi="Aptos"/>
                <w:b/>
                <w:color w:val="102A43"/>
                <w:sz w:val="19"/>
              </w:rPr>
              <w:t>Founder focus</w:t>
            </w:r>
          </w:p>
        </w:tc>
      </w:tr>
      <w:tr w:rsidR="004011B9" w14:paraId="0E6E4880" w14:textId="77777777">
        <w:trPr>
          <w:jc w:val="center"/>
        </w:trPr>
        <w:tc>
          <w:tcPr>
            <w:tcW w:w="3312" w:type="dxa"/>
            <w:tcMar>
              <w:top w:w="75" w:type="dxa"/>
              <w:left w:w="120" w:type="dxa"/>
              <w:bottom w:w="75" w:type="dxa"/>
              <w:right w:w="120" w:type="dxa"/>
            </w:tcMar>
            <w:vAlign w:val="center"/>
          </w:tcPr>
          <w:p w14:paraId="05498263" w14:textId="77777777" w:rsidR="004011B9" w:rsidRDefault="00000000">
            <w:r>
              <w:rPr>
                <w:rFonts w:ascii="Aptos" w:hAnsi="Aptos"/>
                <w:sz w:val="19"/>
              </w:rPr>
              <w:t>Days 1–30</w:t>
            </w:r>
          </w:p>
        </w:tc>
        <w:tc>
          <w:tcPr>
            <w:tcW w:w="3312" w:type="dxa"/>
            <w:tcMar>
              <w:top w:w="75" w:type="dxa"/>
              <w:left w:w="120" w:type="dxa"/>
              <w:bottom w:w="75" w:type="dxa"/>
              <w:right w:w="120" w:type="dxa"/>
            </w:tcMar>
            <w:vAlign w:val="center"/>
          </w:tcPr>
          <w:p w14:paraId="701BC709" w14:textId="77777777" w:rsidR="004011B9" w:rsidRDefault="00000000">
            <w:r>
              <w:rPr>
                <w:rFonts w:ascii="Aptos" w:hAnsi="Aptos"/>
                <w:sz w:val="19"/>
              </w:rPr>
              <w:t>Finish MVP spine</w:t>
            </w:r>
          </w:p>
        </w:tc>
        <w:tc>
          <w:tcPr>
            <w:tcW w:w="3312" w:type="dxa"/>
            <w:tcMar>
              <w:top w:w="75" w:type="dxa"/>
              <w:left w:w="120" w:type="dxa"/>
              <w:bottom w:w="75" w:type="dxa"/>
              <w:right w:w="120" w:type="dxa"/>
            </w:tcMar>
            <w:vAlign w:val="center"/>
          </w:tcPr>
          <w:p w14:paraId="74AF9183" w14:textId="77777777" w:rsidR="004011B9" w:rsidRDefault="00000000">
            <w:pPr>
              <w:jc w:val="center"/>
            </w:pPr>
            <w:r>
              <w:rPr>
                <w:rFonts w:ascii="Aptos" w:hAnsi="Aptos"/>
                <w:sz w:val="19"/>
              </w:rPr>
              <w:t>Close ingestion, risk, shipment state and exception workflow; keep scope brutally tight</w:t>
            </w:r>
          </w:p>
        </w:tc>
      </w:tr>
      <w:tr w:rsidR="004011B9" w14:paraId="677BF4A2" w14:textId="77777777">
        <w:trPr>
          <w:jc w:val="center"/>
        </w:trPr>
        <w:tc>
          <w:tcPr>
            <w:tcW w:w="3312" w:type="dxa"/>
            <w:shd w:val="clear" w:color="auto" w:fill="FBFCFE"/>
            <w:tcMar>
              <w:top w:w="75" w:type="dxa"/>
              <w:left w:w="120" w:type="dxa"/>
              <w:bottom w:w="75" w:type="dxa"/>
              <w:right w:w="120" w:type="dxa"/>
            </w:tcMar>
            <w:vAlign w:val="center"/>
          </w:tcPr>
          <w:p w14:paraId="37E01E5B" w14:textId="77777777" w:rsidR="004011B9" w:rsidRDefault="00000000">
            <w:r>
              <w:rPr>
                <w:rFonts w:ascii="Aptos" w:hAnsi="Aptos"/>
                <w:sz w:val="19"/>
              </w:rPr>
              <w:t>Days 31–60</w:t>
            </w:r>
          </w:p>
        </w:tc>
        <w:tc>
          <w:tcPr>
            <w:tcW w:w="3312" w:type="dxa"/>
            <w:shd w:val="clear" w:color="auto" w:fill="FBFCFE"/>
            <w:tcMar>
              <w:top w:w="75" w:type="dxa"/>
              <w:left w:w="120" w:type="dxa"/>
              <w:bottom w:w="75" w:type="dxa"/>
              <w:right w:w="120" w:type="dxa"/>
            </w:tcMar>
            <w:vAlign w:val="center"/>
          </w:tcPr>
          <w:p w14:paraId="2BF96A51" w14:textId="77777777" w:rsidR="004011B9" w:rsidRDefault="00000000">
            <w:r>
              <w:rPr>
                <w:rFonts w:ascii="Aptos" w:hAnsi="Aptos"/>
                <w:sz w:val="19"/>
              </w:rPr>
              <w:t>Prepare pilot and deck</w:t>
            </w:r>
          </w:p>
        </w:tc>
        <w:tc>
          <w:tcPr>
            <w:tcW w:w="3312" w:type="dxa"/>
            <w:shd w:val="clear" w:color="auto" w:fill="FBFCFE"/>
            <w:tcMar>
              <w:top w:w="75" w:type="dxa"/>
              <w:left w:w="120" w:type="dxa"/>
              <w:bottom w:w="75" w:type="dxa"/>
              <w:right w:w="120" w:type="dxa"/>
            </w:tcMar>
            <w:vAlign w:val="center"/>
          </w:tcPr>
          <w:p w14:paraId="1A70766D" w14:textId="77777777" w:rsidR="004011B9" w:rsidRDefault="00000000">
            <w:pPr>
              <w:jc w:val="center"/>
            </w:pPr>
            <w:r>
              <w:rPr>
                <w:rFonts w:ascii="Aptos" w:hAnsi="Aptos"/>
                <w:sz w:val="19"/>
              </w:rPr>
              <w:t>Refine screens, tighten docs, collect realistic demo data, build outreach pack</w:t>
            </w:r>
          </w:p>
        </w:tc>
      </w:tr>
      <w:tr w:rsidR="004011B9" w14:paraId="5A0CDFFF" w14:textId="77777777">
        <w:trPr>
          <w:jc w:val="center"/>
        </w:trPr>
        <w:tc>
          <w:tcPr>
            <w:tcW w:w="3312" w:type="dxa"/>
            <w:tcMar>
              <w:top w:w="75" w:type="dxa"/>
              <w:left w:w="120" w:type="dxa"/>
              <w:bottom w:w="75" w:type="dxa"/>
              <w:right w:w="120" w:type="dxa"/>
            </w:tcMar>
            <w:vAlign w:val="center"/>
          </w:tcPr>
          <w:p w14:paraId="1964DE2B" w14:textId="77777777" w:rsidR="004011B9" w:rsidRDefault="00000000">
            <w:r>
              <w:rPr>
                <w:rFonts w:ascii="Aptos" w:hAnsi="Aptos"/>
                <w:sz w:val="19"/>
              </w:rPr>
              <w:t>Days 61–90</w:t>
            </w:r>
          </w:p>
        </w:tc>
        <w:tc>
          <w:tcPr>
            <w:tcW w:w="3312" w:type="dxa"/>
            <w:tcMar>
              <w:top w:w="75" w:type="dxa"/>
              <w:left w:w="120" w:type="dxa"/>
              <w:bottom w:w="75" w:type="dxa"/>
              <w:right w:w="120" w:type="dxa"/>
            </w:tcMar>
            <w:vAlign w:val="center"/>
          </w:tcPr>
          <w:p w14:paraId="4DABE000" w14:textId="77777777" w:rsidR="004011B9" w:rsidRDefault="00000000">
            <w:r>
              <w:rPr>
                <w:rFonts w:ascii="Aptos" w:hAnsi="Aptos"/>
                <w:sz w:val="19"/>
              </w:rPr>
              <w:t>Land first discovery meetings</w:t>
            </w:r>
          </w:p>
        </w:tc>
        <w:tc>
          <w:tcPr>
            <w:tcW w:w="3312" w:type="dxa"/>
            <w:tcMar>
              <w:top w:w="75" w:type="dxa"/>
              <w:left w:w="120" w:type="dxa"/>
              <w:bottom w:w="75" w:type="dxa"/>
              <w:right w:w="120" w:type="dxa"/>
            </w:tcMar>
            <w:vAlign w:val="center"/>
          </w:tcPr>
          <w:p w14:paraId="55BD4BAC" w14:textId="77777777" w:rsidR="004011B9" w:rsidRDefault="00000000">
            <w:pPr>
              <w:jc w:val="center"/>
            </w:pPr>
            <w:r>
              <w:rPr>
                <w:rFonts w:ascii="Aptos" w:hAnsi="Aptos"/>
                <w:sz w:val="19"/>
              </w:rPr>
              <w:t>Run targeted outreach to first-wave accounts and nearby eastern-belt prospects; sell one pilot wedge, not the whole roadmap</w:t>
            </w:r>
          </w:p>
        </w:tc>
      </w:tr>
    </w:tbl>
    <w:p w14:paraId="3AFA23A9" w14:textId="77777777" w:rsidR="004011B9" w:rsidRDefault="004011B9">
      <w:pPr>
        <w:spacing w:after="100"/>
      </w:pPr>
    </w:p>
    <w:p w14:paraId="2936E50F" w14:textId="77777777" w:rsidR="004011B9" w:rsidRDefault="00000000">
      <w:pPr>
        <w:spacing w:before="200" w:after="100"/>
      </w:pPr>
      <w:r>
        <w:rPr>
          <w:rFonts w:ascii="Aptos Display" w:hAnsi="Aptos Display"/>
          <w:b/>
          <w:color w:val="102A43"/>
          <w:sz w:val="36"/>
        </w:rPr>
        <w:t>13. References and public anchors</w:t>
      </w:r>
    </w:p>
    <w:p w14:paraId="39FE420C" w14:textId="77777777" w:rsidR="004011B9" w:rsidRDefault="00000000">
      <w:pPr>
        <w:pStyle w:val="ListBullet"/>
        <w:spacing w:after="60" w:line="269" w:lineRule="auto"/>
      </w:pPr>
      <w:r>
        <w:rPr>
          <w:rFonts w:ascii="Aptos" w:hAnsi="Aptos"/>
          <w:color w:val="334155"/>
          <w:sz w:val="20"/>
        </w:rPr>
        <w:t>Tata Steel Integrated Report FY2024-25: public statements on digitalisation, supply-chain optimisation, and the scale of material movement across India operations.</w:t>
      </w:r>
    </w:p>
    <w:p w14:paraId="6A3898C7" w14:textId="77777777" w:rsidR="004011B9" w:rsidRDefault="00000000">
      <w:pPr>
        <w:pStyle w:val="ListBullet"/>
        <w:spacing w:after="60" w:line="269" w:lineRule="auto"/>
      </w:pPr>
      <w:r>
        <w:rPr>
          <w:rFonts w:ascii="Aptos" w:hAnsi="Aptos"/>
          <w:color w:val="334155"/>
          <w:sz w:val="20"/>
        </w:rPr>
        <w:t>JSW Steel corporate presentation and annual/integrated reporting: digital bulk raw material supply-chain initiatives, logistics control-tower language, and raw-material security positioning.</w:t>
      </w:r>
    </w:p>
    <w:p w14:paraId="184A0301" w14:textId="77777777" w:rsidR="004011B9" w:rsidRDefault="00000000">
      <w:pPr>
        <w:pStyle w:val="ListBullet"/>
        <w:spacing w:after="60" w:line="269" w:lineRule="auto"/>
      </w:pPr>
      <w:r>
        <w:rPr>
          <w:rFonts w:ascii="Aptos" w:hAnsi="Aptos"/>
          <w:color w:val="334155"/>
          <w:sz w:val="20"/>
        </w:rPr>
        <w:t>AM/NS India public releases: expansion momentum and scale context for a control-tower land motion.</w:t>
      </w:r>
    </w:p>
    <w:p w14:paraId="6A6208BD" w14:textId="77777777" w:rsidR="004011B9" w:rsidRDefault="00000000">
      <w:pPr>
        <w:pStyle w:val="ListBullet"/>
        <w:spacing w:after="60" w:line="269" w:lineRule="auto"/>
      </w:pPr>
      <w:r>
        <w:rPr>
          <w:rFonts w:ascii="Aptos" w:hAnsi="Aptos"/>
          <w:color w:val="334155"/>
          <w:sz w:val="20"/>
        </w:rPr>
        <w:t>Reuters reporting on India’s draft National Steel Policy 2025: capacity ambition, emissions pressure, and coking-coal dependence context.</w:t>
      </w:r>
    </w:p>
    <w:sectPr w:rsidR="004011B9" w:rsidSect="00034616">
      <w:headerReference w:type="default" r:id="rId10"/>
      <w:footerReference w:type="default" r:id="rId11"/>
      <w:pgSz w:w="12240" w:h="15840"/>
      <w:pgMar w:top="1008" w:right="1152" w:bottom="79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4DA4F" w14:textId="77777777" w:rsidR="005A17BE" w:rsidRDefault="005A17BE">
      <w:pPr>
        <w:spacing w:after="0" w:line="240" w:lineRule="auto"/>
      </w:pPr>
      <w:r>
        <w:separator/>
      </w:r>
    </w:p>
  </w:endnote>
  <w:endnote w:type="continuationSeparator" w:id="0">
    <w:p w14:paraId="187713F3" w14:textId="77777777" w:rsidR="005A17BE" w:rsidRDefault="005A1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1C9F" w14:textId="77777777" w:rsidR="004011B9" w:rsidRDefault="00000000">
    <w:pPr>
      <w:pStyle w:val="Footer"/>
      <w:jc w:val="right"/>
    </w:pPr>
    <w:r>
      <w:rPr>
        <w:rFonts w:ascii="Aptos" w:hAnsi="Aptos"/>
        <w:color w:val="6B7280"/>
        <w:sz w:val="16"/>
      </w:rPr>
      <w:t>Boardroom strategy pack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DD2BB" w14:textId="77777777" w:rsidR="005A17BE" w:rsidRDefault="005A17BE">
      <w:pPr>
        <w:spacing w:after="0" w:line="240" w:lineRule="auto"/>
      </w:pPr>
      <w:r>
        <w:separator/>
      </w:r>
    </w:p>
  </w:footnote>
  <w:footnote w:type="continuationSeparator" w:id="0">
    <w:p w14:paraId="5F076D22" w14:textId="77777777" w:rsidR="005A17BE" w:rsidRDefault="005A1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808E6" w14:textId="77777777" w:rsidR="004011B9" w:rsidRDefault="00000000">
    <w:pPr>
      <w:pStyle w:val="Header"/>
      <w:jc w:val="right"/>
    </w:pPr>
    <w:proofErr w:type="spellStart"/>
    <w:r>
      <w:rPr>
        <w:rFonts w:ascii="Aptos" w:hAnsi="Aptos"/>
        <w:b/>
        <w:color w:val="102A43"/>
        <w:sz w:val="18"/>
      </w:rPr>
      <w:t>SteelOps</w:t>
    </w:r>
    <w:proofErr w:type="spellEnd"/>
    <w:r>
      <w:rPr>
        <w:rFonts w:ascii="Aptos" w:hAnsi="Aptos"/>
        <w:b/>
        <w:color w:val="102A43"/>
        <w:sz w:val="18"/>
      </w:rPr>
      <w:t xml:space="preserve"> | Steel Inbound Control Tower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7678954">
    <w:abstractNumId w:val="8"/>
  </w:num>
  <w:num w:numId="2" w16cid:durableId="714618716">
    <w:abstractNumId w:val="6"/>
  </w:num>
  <w:num w:numId="3" w16cid:durableId="28067939">
    <w:abstractNumId w:val="5"/>
  </w:num>
  <w:num w:numId="4" w16cid:durableId="218172621">
    <w:abstractNumId w:val="4"/>
  </w:num>
  <w:num w:numId="5" w16cid:durableId="341325886">
    <w:abstractNumId w:val="7"/>
  </w:num>
  <w:num w:numId="6" w16cid:durableId="251554572">
    <w:abstractNumId w:val="3"/>
  </w:num>
  <w:num w:numId="7" w16cid:durableId="1947691426">
    <w:abstractNumId w:val="2"/>
  </w:num>
  <w:num w:numId="8" w16cid:durableId="1992364742">
    <w:abstractNumId w:val="1"/>
  </w:num>
  <w:num w:numId="9" w16cid:durableId="952784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1B9"/>
    <w:rsid w:val="00437E08"/>
    <w:rsid w:val="005A17BE"/>
    <w:rsid w:val="00783030"/>
    <w:rsid w:val="007E21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CA2A6"/>
  <w14:defaultImageDpi w14:val="300"/>
  <w15:docId w15:val="{64186EEA-22D8-424C-A160-53A67D840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1769</Words>
  <Characters>10721</Characters>
  <Application>Microsoft Office Word</Application>
  <DocSecurity>0</DocSecurity>
  <Lines>274</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Shankar</cp:lastModifiedBy>
  <cp:revision>2</cp:revision>
  <dcterms:created xsi:type="dcterms:W3CDTF">2013-12-23T23:15:00Z</dcterms:created>
  <dcterms:modified xsi:type="dcterms:W3CDTF">2026-04-16T07:31:00Z</dcterms:modified>
  <cp:category/>
</cp:coreProperties>
</file>