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r>
        <w:t xml:space="preserve"/>
      </w:r>
    </w:p>
    <w:p>
      <w:pPr>
        <w:spacing w:before="0" w:after="0"/>
        <w:jc w:val="center"/>
      </w:pPr>
      <w:r>
        <w:rPr>
          <w:rFonts w:ascii="Arial" w:cs="Arial" w:eastAsia="Arial" w:hAnsi="Arial"/>
          <w:b/>
          <w:bCs/>
          <w:color w:val="1B4F8C"/>
          <w:sz w:val="64"/>
          <w:szCs w:val="64"/>
        </w:rPr>
        <w:t xml:space="preserve">PRIVACY CLAIMS TOKEN</w:t>
      </w:r>
    </w:p>
    <w:p>
      <w:pPr>
        <w:spacing w:before="80" w:after="0"/>
        <w:jc w:val="center"/>
      </w:pPr>
      <w:r>
        <w:rPr>
          <w:rFonts w:ascii="Arial" w:cs="Arial" w:eastAsia="Arial" w:hAnsi="Arial"/>
          <w:b/>
          <w:bCs/>
          <w:color w:val="2E86C1"/>
          <w:sz w:val="48"/>
          <w:szCs w:val="48"/>
        </w:rPr>
        <w:t xml:space="preserve">PCT</w:t>
      </w:r>
    </w:p>
    <w:p>
      <w:pPr>
        <w:spacing w:before="200" w:after="200"/>
      </w:pPr>
      <w:r>
        <w:t xml:space="preserve"/>
      </w:r>
    </w:p>
    <w:p>
      <w:pPr>
        <w:pBdr>
          <w:bottom w:val="single" w:color="1B4F8C" w:sz="8" w:space="4"/>
        </w:pBdr>
        <w:spacing w:before="0" w:after="40"/>
        <w:jc w:val="center"/>
      </w:pPr>
      <w:r>
        <w:rPr>
          <w:rFonts w:ascii="Arial" w:cs="Arial" w:eastAsia="Arial" w:hAnsi="Arial"/>
          <w:color w:val="444444"/>
          <w:sz w:val="28"/>
          <w:szCs w:val="28"/>
        </w:rPr>
        <w:t xml:space="preserve">Open Specification</w:t>
      </w:r>
    </w:p>
    <w:p>
      <w:pPr>
        <w:spacing w:before="200" w:after="200"/>
      </w:pPr>
      <w:r>
        <w:t xml:space="preserve"/>
      </w:r>
    </w:p>
    <w:p>
      <w:pPr>
        <w:spacing w:before="0" w:after="80"/>
        <w:jc w:val="center"/>
      </w:pPr>
      <w:r>
        <w:rPr>
          <w:rFonts w:ascii="Arial" w:cs="Arial" w:eastAsia="Arial" w:hAnsi="Arial"/>
          <w:i/>
          <w:iCs/>
          <w:color w:val="444444"/>
          <w:sz w:val="22"/>
          <w:szCs w:val="22"/>
        </w:rPr>
        <w:t xml:space="preserve">Version 0.1 — Draft for Public Comment</w:t>
      </w:r>
    </w:p>
    <w:p>
      <w:pPr>
        <w:spacing w:before="0" w:after="80"/>
        <w:jc w:val="center"/>
      </w:pPr>
      <w:r>
        <w:rPr>
          <w:rFonts w:ascii="Arial" w:cs="Arial" w:eastAsia="Arial" w:hAnsi="Arial"/>
          <w:color w:val="444444"/>
          <w:sz w:val="22"/>
          <w:szCs w:val="22"/>
        </w:rPr>
        <w:t xml:space="preserve">March 2026</w:t>
      </w:r>
    </w:p>
    <w:p>
      <w:pPr>
        <w:spacing w:before="600" w:after="600"/>
      </w:pPr>
      <w:r>
        <w:t xml:space="preserve"/>
      </w:r>
    </w:p>
    <w:p>
      <w:pPr>
        <w:spacing w:before="0" w:after="40"/>
        <w:jc w:val="center"/>
      </w:pPr>
      <w:r>
        <w:rPr>
          <w:rFonts w:ascii="Arial" w:cs="Arial" w:eastAsia="Arial" w:hAnsi="Arial"/>
          <w:color w:val="444444"/>
          <w:sz w:val="20"/>
          <w:szCs w:val="20"/>
        </w:rPr>
        <w:t xml:space="preserve">Specification authors:</w:t>
      </w:r>
    </w:p>
    <w:p>
      <w:pPr>
        <w:spacing w:before="0" w:after="0"/>
        <w:jc w:val="center"/>
      </w:pPr>
      <w:r>
        <w:rPr>
          <w:rFonts w:ascii="Arial" w:cs="Arial" w:eastAsia="Arial" w:hAnsi="Arial"/>
          <w:b/>
          <w:bCs/>
          <w:color w:val="1B4F8C"/>
          <w:sz w:val="22"/>
          <w:szCs w:val="22"/>
        </w:rPr>
        <w:t xml:space="preserve">DPG Labs  ·  The Data Privacy Group</w:t>
      </w:r>
    </w:p>
    <w:p>
      <w:pPr>
        <w:spacing w:before="0" w:after="80"/>
        <w:jc w:val="center"/>
      </w:pPr>
      <w:r>
        <w:rPr>
          <w:rFonts w:ascii="Arial" w:cs="Arial" w:eastAsia="Arial" w:hAnsi="Arial"/>
          <w:color w:val="2E86C1"/>
          <w:sz w:val="20"/>
          <w:szCs w:val="20"/>
        </w:rPr>
        <w:t xml:space="preserve">thedpg.com</w:t>
      </w:r>
    </w:p>
    <w:p>
      <w:pPr>
        <w:spacing w:before="600" w:after="600"/>
      </w:pPr>
      <w:r>
        <w:t xml:space="preserve"/>
      </w:r>
    </w:p>
    <w:p>
      <w:pPr>
        <w:spacing w:before="0" w:after="40"/>
        <w:jc w:val="center"/>
      </w:pPr>
      <w:r>
        <w:rPr>
          <w:rFonts w:ascii="Arial" w:cs="Arial" w:eastAsia="Arial" w:hAnsi="Arial"/>
          <w:b/>
          <w:bCs/>
          <w:color w:val="444444"/>
          <w:sz w:val="20"/>
          <w:szCs w:val="20"/>
        </w:rPr>
        <w:t xml:space="preserve">Licence</w:t>
      </w:r>
    </w:p>
    <w:p>
      <w:pPr>
        <w:spacing w:before="0" w:after="160"/>
        <w:jc w:val="center"/>
      </w:pPr>
      <w:r>
        <w:rPr>
          <w:rFonts w:ascii="Arial" w:cs="Arial" w:eastAsia="Arial" w:hAnsi="Arial"/>
          <w:color w:val="444444"/>
          <w:sz w:val="18"/>
          <w:szCs w:val="18"/>
        </w:rPr>
        <w:t xml:space="preserve">This specification is released under the Creative Commons Attribution 4.0 International Licence (CC BY 4.0). Anyone may implement, extend, or build upon it freely, provided attribution is given to the original authors.</w:t>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Abstract</w:t>
      </w:r>
    </w:p>
    <w:p>
      <w:pPr>
        <w:spacing w:before="80" w:after="120" w:line="300"/>
        <w:jc w:val="both"/>
      </w:pPr>
      <w:r>
        <w:rPr>
          <w:rFonts w:ascii="Arial" w:cs="Arial" w:eastAsia="Arial" w:hAnsi="Arial"/>
          <w:color w:val="444444"/>
          <w:sz w:val="22"/>
          <w:szCs w:val="22"/>
        </w:rPr>
        <w:t xml:space="preserve">The Privacy Claims Token (PCT) specification defines an open, portable format for expressing, signing, and verifying the data obligations that govern how a dataset may be lawfully processed, transferred, or used. A PCT is a structured, cryptographically signed object — inspired by the JSON Web Token (JWT) model — that travels with data through systems and pipelines, enabling any participating system to verify compliance before any action is permitted.</w:t>
      </w:r>
    </w:p>
    <w:p>
      <w:pPr>
        <w:spacing w:before="100" w:after="100"/>
      </w:pPr>
      <w:r>
        <w:t xml:space="preserve"/>
      </w:r>
    </w:p>
    <w:p>
      <w:pPr>
        <w:spacing w:before="80" w:after="120" w:line="300"/>
        <w:jc w:val="both"/>
      </w:pPr>
      <w:r>
        <w:rPr>
          <w:rFonts w:ascii="Arial" w:cs="Arial" w:eastAsia="Arial" w:hAnsi="Arial"/>
          <w:color w:val="444444"/>
          <w:sz w:val="22"/>
          <w:szCs w:val="22"/>
        </w:rPr>
        <w:t xml:space="preserve">This specification addresses the core gap in modern data governance: obligations are documented in policy platforms and systems of record, but are not consistently enforced at the point of execution. PCT bridges that gap by making obligations machine-readable, portable, tamper-evident, and verifiable in real time.</w:t>
      </w:r>
    </w:p>
    <w:p>
      <w:pPr>
        <w:spacing w:before="100" w:after="100"/>
      </w:pPr>
      <w:r>
        <w:t xml:space="preserve"/>
      </w:r>
    </w:p>
    <w:p>
      <w:pPr>
        <w:spacing w:before="80" w:after="120" w:line="300"/>
        <w:jc w:val="both"/>
      </w:pPr>
      <w:r>
        <w:rPr>
          <w:rFonts w:ascii="Arial" w:cs="Arial" w:eastAsia="Arial" w:hAnsi="Arial"/>
          <w:color w:val="444444"/>
          <w:sz w:val="22"/>
          <w:szCs w:val="22"/>
        </w:rPr>
        <w:t xml:space="preserve">Version 0.1 is a draft for public comment. Implementations, corrections, and extensions are welcomed from any party. The specification is designed to be jurisdiction-neutral and extensible to all current and future privacy, AI governance, and data sovereignty regulatory frameworks.</w:t>
      </w:r>
    </w:p>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Table of Contents</w:t>
      </w:r>
    </w:p>
    <w:p>
      <w:pPr>
        <w:spacing w:before="80" w:after="60"/>
      </w:pPr>
      <w:r>
        <w:rPr>
          <w:rFonts w:ascii="Arial" w:cs="Arial" w:hAnsi="Arial"/>
          <w:b/>
          <w:color w:val="1B4F8C"/>
          <w:sz w:val="22"/>
          <w:szCs w:val="22"/>
        </w:rPr>
        <w:t>1.</w:t>
      </w:r>
      <w:r>
        <w:rPr>
          <w:rFonts w:ascii="Arial" w:cs="Arial" w:hAnsi="Arial"/>
          <w:color w:val="444444"/>
          <w:sz w:val="22"/>
          <w:szCs w:val="22"/>
        </w:rPr>
        <w:t xml:space="preserve">  Introduction</w:t>
      </w:r>
    </w:p>
    <w:p>
      <w:pPr>
        <w:spacing w:before="40" w:after="40"/>
        <w:ind w:left="480"/>
      </w:pPr>
      <w:r>
        <w:rPr>
          <w:rFonts w:ascii="Arial" w:cs="Arial" w:hAnsi="Arial"/>
          <w:color w:val="444444"/>
          <w:sz w:val="20"/>
          <w:szCs w:val="20"/>
        </w:rPr>
        <w:t>1.1  The problem this specification addresses</w:t>
      </w:r>
    </w:p>
    <w:p>
      <w:pPr>
        <w:spacing w:before="40" w:after="40"/>
        <w:ind w:left="480"/>
      </w:pPr>
      <w:r>
        <w:rPr>
          <w:rFonts w:ascii="Arial" w:cs="Arial" w:hAnsi="Arial"/>
          <w:color w:val="444444"/>
          <w:sz w:val="20"/>
          <w:szCs w:val="20"/>
        </w:rPr>
        <w:t>1.2  The core concept</w:t>
      </w:r>
    </w:p>
    <w:p>
      <w:pPr>
        <w:spacing w:before="40" w:after="40"/>
        <w:ind w:left="480"/>
      </w:pPr>
      <w:r>
        <w:rPr>
          <w:rFonts w:ascii="Arial" w:cs="Arial" w:hAnsi="Arial"/>
          <w:color w:val="444444"/>
          <w:sz w:val="20"/>
          <w:szCs w:val="20"/>
        </w:rPr>
        <w:t>1.3  Design principles</w:t>
      </w:r>
    </w:p>
    <w:p>
      <w:pPr>
        <w:spacing w:before="80" w:after="60"/>
      </w:pPr>
      <w:r>
        <w:rPr>
          <w:rFonts w:ascii="Arial" w:cs="Arial" w:hAnsi="Arial"/>
          <w:b/>
          <w:color w:val="1B4F8C"/>
          <w:sz w:val="22"/>
          <w:szCs w:val="22"/>
        </w:rPr>
        <w:t>2.</w:t>
      </w:r>
      <w:r>
        <w:rPr>
          <w:rFonts w:ascii="Arial" w:cs="Arial" w:hAnsi="Arial"/>
          <w:color w:val="444444"/>
          <w:sz w:val="22"/>
          <w:szCs w:val="22"/>
        </w:rPr>
        <w:t xml:space="preserve">  Terminology and Definitions</w:t>
      </w:r>
    </w:p>
    <w:p>
      <w:pPr>
        <w:spacing w:before="80" w:after="60"/>
      </w:pPr>
      <w:r>
        <w:rPr>
          <w:rFonts w:ascii="Arial" w:cs="Arial" w:hAnsi="Arial"/>
          <w:b/>
          <w:color w:val="1B4F8C"/>
          <w:sz w:val="22"/>
          <w:szCs w:val="22"/>
        </w:rPr>
        <w:t>3.</w:t>
      </w:r>
      <w:r>
        <w:rPr>
          <w:rFonts w:ascii="Arial" w:cs="Arial" w:hAnsi="Arial"/>
          <w:color w:val="444444"/>
          <w:sz w:val="22"/>
          <w:szCs w:val="22"/>
        </w:rPr>
        <w:t xml:space="preserve">  Scope and Applicability</w:t>
      </w:r>
    </w:p>
    <w:p>
      <w:pPr>
        <w:spacing w:before="40" w:after="40"/>
        <w:ind w:left="480"/>
      </w:pPr>
      <w:r>
        <w:rPr>
          <w:rFonts w:ascii="Arial" w:cs="Arial" w:hAnsi="Arial"/>
          <w:color w:val="444444"/>
          <w:sz w:val="20"/>
          <w:szCs w:val="20"/>
        </w:rPr>
        <w:t>3.1  What PCT governs</w:t>
      </w:r>
    </w:p>
    <w:p>
      <w:pPr>
        <w:spacing w:before="40" w:after="40"/>
        <w:ind w:left="480"/>
      </w:pPr>
      <w:r>
        <w:rPr>
          <w:rFonts w:ascii="Arial" w:cs="Arial" w:hAnsi="Arial"/>
          <w:color w:val="444444"/>
          <w:sz w:val="20"/>
          <w:szCs w:val="20"/>
        </w:rPr>
        <w:t>3.2  What PCT does not govern</w:t>
      </w:r>
    </w:p>
    <w:p>
      <w:pPr>
        <w:spacing w:before="40" w:after="40"/>
        <w:ind w:left="480"/>
      </w:pPr>
      <w:r>
        <w:rPr>
          <w:rFonts w:ascii="Arial" w:cs="Arial" w:hAnsi="Arial"/>
          <w:color w:val="444444"/>
          <w:sz w:val="20"/>
          <w:szCs w:val="20"/>
        </w:rPr>
        <w:t>3.3  Regulatory frameworks addressed</w:t>
      </w:r>
    </w:p>
    <w:p>
      <w:pPr>
        <w:spacing w:before="80" w:after="60"/>
      </w:pPr>
      <w:r>
        <w:rPr>
          <w:rFonts w:ascii="Arial" w:cs="Arial" w:hAnsi="Arial"/>
          <w:b/>
          <w:color w:val="1B4F8C"/>
          <w:sz w:val="22"/>
          <w:szCs w:val="22"/>
        </w:rPr>
        <w:t>4.</w:t>
      </w:r>
      <w:r>
        <w:rPr>
          <w:rFonts w:ascii="Arial" w:cs="Arial" w:hAnsi="Arial"/>
          <w:color w:val="444444"/>
          <w:sz w:val="22"/>
          <w:szCs w:val="22"/>
        </w:rPr>
        <w:t xml:space="preserve">  The PCT Lifecycle</w:t>
      </w:r>
    </w:p>
    <w:p>
      <w:pPr>
        <w:spacing w:before="40" w:after="40"/>
        <w:ind w:left="480"/>
      </w:pPr>
      <w:r>
        <w:rPr>
          <w:rFonts w:ascii="Arial" w:cs="Arial" w:hAnsi="Arial"/>
          <w:color w:val="444444"/>
          <w:sz w:val="20"/>
          <w:szCs w:val="20"/>
        </w:rPr>
        <w:t>4.1  Overview</w:t>
      </w:r>
    </w:p>
    <w:p>
      <w:pPr>
        <w:spacing w:before="40" w:after="40"/>
        <w:ind w:left="480"/>
      </w:pPr>
      <w:r>
        <w:rPr>
          <w:rFonts w:ascii="Arial" w:cs="Arial" w:hAnsi="Arial"/>
          <w:color w:val="444444"/>
          <w:sz w:val="20"/>
          <w:szCs w:val="20"/>
        </w:rPr>
        <w:t>4.2  State 1 — Issuance</w:t>
      </w:r>
    </w:p>
    <w:p>
      <w:pPr>
        <w:spacing w:before="40" w:after="40"/>
        <w:ind w:left="480"/>
      </w:pPr>
      <w:r>
        <w:rPr>
          <w:rFonts w:ascii="Arial" w:cs="Arial" w:hAnsi="Arial"/>
          <w:color w:val="444444"/>
          <w:sz w:val="20"/>
          <w:szCs w:val="20"/>
        </w:rPr>
        <w:t>4.3  State 2 — Attachment</w:t>
      </w:r>
    </w:p>
    <w:p>
      <w:pPr>
        <w:spacing w:before="40" w:after="40"/>
        <w:ind w:left="480"/>
      </w:pPr>
      <w:r>
        <w:rPr>
          <w:rFonts w:ascii="Arial" w:cs="Arial" w:hAnsi="Arial"/>
          <w:color w:val="444444"/>
          <w:sz w:val="20"/>
          <w:szCs w:val="20"/>
        </w:rPr>
        <w:t>4.4  State 3 — Transmission</w:t>
      </w:r>
    </w:p>
    <w:p>
      <w:pPr>
        <w:spacing w:before="40" w:after="40"/>
        <w:ind w:left="480"/>
      </w:pPr>
      <w:r>
        <w:rPr>
          <w:rFonts w:ascii="Arial" w:cs="Arial" w:hAnsi="Arial"/>
          <w:color w:val="444444"/>
          <w:sz w:val="20"/>
          <w:szCs w:val="20"/>
        </w:rPr>
        <w:t>4.5  State 4 — Verification</w:t>
      </w:r>
    </w:p>
    <w:p>
      <w:pPr>
        <w:spacing w:before="40" w:after="40"/>
        <w:ind w:left="480"/>
      </w:pPr>
      <w:r>
        <w:rPr>
          <w:rFonts w:ascii="Arial" w:cs="Arial" w:hAnsi="Arial"/>
          <w:color w:val="444444"/>
          <w:sz w:val="20"/>
          <w:szCs w:val="20"/>
        </w:rPr>
        <w:t>4.6  State 5 — Decision</w:t>
      </w:r>
    </w:p>
    <w:p>
      <w:pPr>
        <w:spacing w:before="40" w:after="40"/>
        <w:ind w:left="480"/>
      </w:pPr>
      <w:r>
        <w:rPr>
          <w:rFonts w:ascii="Arial" w:cs="Arial" w:hAnsi="Arial"/>
          <w:color w:val="444444"/>
          <w:sz w:val="20"/>
          <w:szCs w:val="20"/>
        </w:rPr>
        <w:t>4.7  State 6 — Audit</w:t>
      </w:r>
    </w:p>
    <w:p>
      <w:pPr>
        <w:spacing w:before="80" w:after="60"/>
      </w:pPr>
      <w:r>
        <w:rPr>
          <w:rFonts w:ascii="Arial" w:cs="Arial" w:hAnsi="Arial"/>
          <w:b/>
          <w:color w:val="1B4F8C"/>
          <w:sz w:val="22"/>
          <w:szCs w:val="22"/>
        </w:rPr>
        <w:t>5.</w:t>
      </w:r>
      <w:r>
        <w:rPr>
          <w:rFonts w:ascii="Arial" w:cs="Arial" w:hAnsi="Arial"/>
          <w:color w:val="444444"/>
          <w:sz w:val="22"/>
          <w:szCs w:val="22"/>
        </w:rPr>
        <w:t xml:space="preserve">  Claims Schema</w:t>
      </w:r>
    </w:p>
    <w:p>
      <w:pPr>
        <w:spacing w:before="40" w:after="40"/>
        <w:ind w:left="480"/>
      </w:pPr>
      <w:r>
        <w:rPr>
          <w:rFonts w:ascii="Arial" w:cs="Arial" w:hAnsi="Arial"/>
          <w:color w:val="444444"/>
          <w:sz w:val="20"/>
          <w:szCs w:val="20"/>
        </w:rPr>
        <w:t>5.1  Structure overview</w:t>
      </w:r>
    </w:p>
    <w:p>
      <w:pPr>
        <w:spacing w:before="40" w:after="40"/>
        <w:ind w:left="480"/>
      </w:pPr>
      <w:r>
        <w:rPr>
          <w:rFonts w:ascii="Arial" w:cs="Arial" w:hAnsi="Arial"/>
          <w:color w:val="444444"/>
          <w:sz w:val="20"/>
          <w:szCs w:val="20"/>
        </w:rPr>
        <w:t>5.2  Header fields</w:t>
      </w:r>
    </w:p>
    <w:p>
      <w:pPr>
        <w:spacing w:before="40" w:after="40"/>
        <w:ind w:left="480"/>
      </w:pPr>
      <w:r>
        <w:rPr>
          <w:rFonts w:ascii="Arial" w:cs="Arial" w:hAnsi="Arial"/>
          <w:color w:val="444444"/>
          <w:sz w:val="20"/>
          <w:szCs w:val="20"/>
        </w:rPr>
        <w:t>5.3  Core payload fields</w:t>
      </w:r>
    </w:p>
    <w:p>
      <w:pPr>
        <w:spacing w:before="40" w:after="40"/>
        <w:ind w:left="480"/>
      </w:pPr>
      <w:r>
        <w:rPr>
          <w:rFonts w:ascii="Arial" w:cs="Arial" w:hAnsi="Arial"/>
          <w:color w:val="444444"/>
          <w:sz w:val="20"/>
          <w:szCs w:val="20"/>
        </w:rPr>
        <w:t>5.4  The lawful_basis object</w:t>
      </w:r>
    </w:p>
    <w:p>
      <w:pPr>
        <w:spacing w:before="40" w:after="40"/>
        <w:ind w:left="480"/>
      </w:pPr>
      <w:r>
        <w:rPr>
          <w:rFonts w:ascii="Arial" w:cs="Arial" w:hAnsi="Arial"/>
          <w:color w:val="444444"/>
          <w:sz w:val="20"/>
          <w:szCs w:val="20"/>
        </w:rPr>
        <w:t>5.5  The jurisdiction_rules object</w:t>
      </w:r>
    </w:p>
    <w:p>
      <w:pPr>
        <w:spacing w:before="40" w:after="40"/>
        <w:ind w:left="480"/>
      </w:pPr>
      <w:r>
        <w:rPr>
          <w:rFonts w:ascii="Arial" w:cs="Arial" w:hAnsi="Arial"/>
          <w:color w:val="444444"/>
          <w:sz w:val="20"/>
          <w:szCs w:val="20"/>
        </w:rPr>
        <w:t>5.6  The transfer_restrictions object</w:t>
      </w:r>
    </w:p>
    <w:p>
      <w:pPr>
        <w:spacing w:before="40" w:after="40"/>
        <w:ind w:left="480"/>
      </w:pPr>
      <w:r>
        <w:rPr>
          <w:rFonts w:ascii="Arial" w:cs="Arial" w:hAnsi="Arial"/>
          <w:color w:val="444444"/>
          <w:sz w:val="20"/>
          <w:szCs w:val="20"/>
        </w:rPr>
        <w:t>5.7  Extension namespaces</w:t>
      </w:r>
    </w:p>
    <w:p>
      <w:pPr>
        <w:spacing w:before="40" w:after="40"/>
        <w:ind w:left="480"/>
      </w:pPr>
      <w:r>
        <w:rPr>
          <w:rFonts w:ascii="Arial" w:cs="Arial" w:hAnsi="Arial"/>
          <w:color w:val="444444"/>
          <w:sz w:val="20"/>
          <w:szCs w:val="20"/>
        </w:rPr>
        <w:t>5.8  The ai_context object</w:t>
      </w:r>
    </w:p>
    <w:p>
      <w:pPr>
        <w:spacing w:before="80" w:after="60"/>
      </w:pPr>
      <w:r>
        <w:rPr>
          <w:rFonts w:ascii="Arial" w:cs="Arial" w:hAnsi="Arial"/>
          <w:b/>
          <w:color w:val="1B4F8C"/>
          <w:sz w:val="22"/>
          <w:szCs w:val="22"/>
        </w:rPr>
        <w:t>6.</w:t>
      </w:r>
      <w:r>
        <w:rPr>
          <w:rFonts w:ascii="Arial" w:cs="Arial" w:hAnsi="Arial"/>
          <w:color w:val="444444"/>
          <w:sz w:val="22"/>
          <w:szCs w:val="22"/>
        </w:rPr>
        <w:t xml:space="preserve">  Signing and Verification</w:t>
      </w:r>
    </w:p>
    <w:p>
      <w:pPr>
        <w:spacing w:before="40" w:after="40"/>
        <w:ind w:left="480"/>
      </w:pPr>
      <w:r>
        <w:rPr>
          <w:rFonts w:ascii="Arial" w:cs="Arial" w:hAnsi="Arial"/>
          <w:color w:val="444444"/>
          <w:sz w:val="20"/>
          <w:szCs w:val="20"/>
        </w:rPr>
        <w:t>6.1  Signing requirements</w:t>
      </w:r>
    </w:p>
    <w:p>
      <w:pPr>
        <w:spacing w:before="40" w:after="40"/>
        <w:ind w:left="480"/>
      </w:pPr>
      <w:r>
        <w:rPr>
          <w:rFonts w:ascii="Arial" w:cs="Arial" w:hAnsi="Arial"/>
          <w:color w:val="444444"/>
          <w:sz w:val="20"/>
          <w:szCs w:val="20"/>
        </w:rPr>
        <w:t>6.2  Signature construction</w:t>
      </w:r>
    </w:p>
    <w:p>
      <w:pPr>
        <w:spacing w:before="40" w:after="40"/>
        <w:ind w:left="480"/>
      </w:pPr>
      <w:r>
        <w:rPr>
          <w:rFonts w:ascii="Arial" w:cs="Arial" w:hAnsi="Arial"/>
          <w:color w:val="444444"/>
          <w:sz w:val="20"/>
          <w:szCs w:val="20"/>
        </w:rPr>
        <w:t>6.3  Verification procedure</w:t>
      </w:r>
    </w:p>
    <w:p>
      <w:pPr>
        <w:spacing w:before="80" w:after="60"/>
      </w:pPr>
      <w:r>
        <w:rPr>
          <w:rFonts w:ascii="Arial" w:cs="Arial" w:hAnsi="Arial"/>
          <w:b/>
          <w:color w:val="1B4F8C"/>
          <w:sz w:val="22"/>
          <w:szCs w:val="22"/>
        </w:rPr>
        <w:t>7.</w:t>
      </w:r>
      <w:r>
        <w:rPr>
          <w:rFonts w:ascii="Arial" w:cs="Arial" w:hAnsi="Arial"/>
          <w:color w:val="444444"/>
          <w:sz w:val="22"/>
          <w:szCs w:val="22"/>
        </w:rPr>
        <w:t xml:space="preserve">  Enforcement API</w:t>
      </w:r>
    </w:p>
    <w:p>
      <w:pPr>
        <w:spacing w:before="40" w:after="40"/>
        <w:ind w:left="480"/>
      </w:pPr>
      <w:r>
        <w:rPr>
          <w:rFonts w:ascii="Arial" w:cs="Arial" w:hAnsi="Arial"/>
          <w:color w:val="444444"/>
          <w:sz w:val="20"/>
          <w:szCs w:val="20"/>
        </w:rPr>
        <w:t>7.1  Overview</w:t>
      </w:r>
    </w:p>
    <w:p>
      <w:pPr>
        <w:spacing w:before="40" w:after="40"/>
        <w:ind w:left="480"/>
      </w:pPr>
      <w:r>
        <w:rPr>
          <w:rFonts w:ascii="Arial" w:cs="Arial" w:hAnsi="Arial"/>
          <w:color w:val="444444"/>
          <w:sz w:val="20"/>
          <w:szCs w:val="20"/>
        </w:rPr>
        <w:t>7.2  Verification request</w:t>
      </w:r>
    </w:p>
    <w:p>
      <w:pPr>
        <w:spacing w:before="40" w:after="40"/>
        <w:ind w:left="480"/>
      </w:pPr>
      <w:r>
        <w:rPr>
          <w:rFonts w:ascii="Arial" w:cs="Arial" w:hAnsi="Arial"/>
          <w:color w:val="444444"/>
          <w:sz w:val="20"/>
          <w:szCs w:val="20"/>
        </w:rPr>
        <w:t>7.3  Verification response</w:t>
      </w:r>
    </w:p>
    <w:p>
      <w:pPr>
        <w:spacing w:before="80" w:after="60"/>
      </w:pPr>
      <w:r>
        <w:rPr>
          <w:rFonts w:ascii="Arial" w:cs="Arial" w:hAnsi="Arial"/>
          <w:b/>
          <w:color w:val="1B4F8C"/>
          <w:sz w:val="22"/>
          <w:szCs w:val="22"/>
        </w:rPr>
        <w:t>8.</w:t>
      </w:r>
      <w:r>
        <w:rPr>
          <w:rFonts w:ascii="Arial" w:cs="Arial" w:hAnsi="Arial"/>
          <w:color w:val="444444"/>
          <w:sz w:val="22"/>
          <w:szCs w:val="22"/>
        </w:rPr>
        <w:t xml:space="preserve">  Audit Records</w:t>
      </w:r>
    </w:p>
    <w:p>
      <w:pPr>
        <w:spacing w:before="40" w:after="40"/>
        <w:ind w:left="480"/>
      </w:pPr>
      <w:r>
        <w:rPr>
          <w:rFonts w:ascii="Arial" w:cs="Arial" w:hAnsi="Arial"/>
          <w:color w:val="444444"/>
          <w:sz w:val="20"/>
          <w:szCs w:val="20"/>
        </w:rPr>
        <w:t>8.1  Requirements</w:t>
      </w:r>
    </w:p>
    <w:p>
      <w:pPr>
        <w:spacing w:before="40" w:after="40"/>
        <w:ind w:left="480"/>
      </w:pPr>
      <w:r>
        <w:rPr>
          <w:rFonts w:ascii="Arial" w:cs="Arial" w:hAnsi="Arial"/>
          <w:color w:val="444444"/>
          <w:sz w:val="20"/>
          <w:szCs w:val="20"/>
        </w:rPr>
        <w:t>8.2  Audit record schema</w:t>
      </w:r>
    </w:p>
    <w:p>
      <w:pPr>
        <w:spacing w:before="80" w:after="60"/>
      </w:pPr>
      <w:r>
        <w:rPr>
          <w:rFonts w:ascii="Arial" w:cs="Arial" w:hAnsi="Arial"/>
          <w:b/>
          <w:color w:val="1B4F8C"/>
          <w:sz w:val="22"/>
          <w:szCs w:val="22"/>
        </w:rPr>
        <w:t>9.</w:t>
      </w:r>
      <w:r>
        <w:rPr>
          <w:rFonts w:ascii="Arial" w:cs="Arial" w:hAnsi="Arial"/>
          <w:color w:val="444444"/>
          <w:sz w:val="22"/>
          <w:szCs w:val="22"/>
        </w:rPr>
        <w:t xml:space="preserve">  Example Tokens and Scenarios</w:t>
      </w:r>
    </w:p>
    <w:p>
      <w:pPr>
        <w:spacing w:before="80" w:after="60"/>
      </w:pPr>
      <w:r>
        <w:rPr>
          <w:rFonts w:ascii="Arial" w:cs="Arial" w:hAnsi="Arial"/>
          <w:b/>
          <w:color w:val="1B4F8C"/>
          <w:sz w:val="22"/>
          <w:szCs w:val="22"/>
        </w:rPr>
        <w:t>10.</w:t>
      </w:r>
      <w:r>
        <w:rPr>
          <w:rFonts w:ascii="Arial" w:cs="Arial" w:hAnsi="Arial"/>
          <w:color w:val="444444"/>
          <w:sz w:val="22"/>
          <w:szCs w:val="22"/>
        </w:rPr>
        <w:t xml:space="preserve">  Conformance</w:t>
      </w:r>
    </w:p>
    <w:p>
      <w:pPr>
        <w:spacing w:before="80" w:after="60"/>
      </w:pPr>
      <w:r>
        <w:rPr>
          <w:rFonts w:ascii="Arial" w:cs="Arial" w:hAnsi="Arial"/>
          <w:b/>
          <w:color w:val="1B4F8C"/>
          <w:sz w:val="22"/>
          <w:szCs w:val="22"/>
        </w:rPr>
        <w:t>11.</w:t>
      </w:r>
      <w:r>
        <w:rPr>
          <w:rFonts w:ascii="Arial" w:cs="Arial" w:hAnsi="Arial"/>
          <w:color w:val="444444"/>
          <w:sz w:val="22"/>
          <w:szCs w:val="22"/>
        </w:rPr>
        <w:t xml:space="preserve">  Security Considerations</w:t>
      </w:r>
    </w:p>
    <w:p>
      <w:pPr>
        <w:spacing w:before="80" w:after="60"/>
      </w:pPr>
      <w:r>
        <w:rPr>
          <w:rFonts w:ascii="Arial" w:cs="Arial" w:hAnsi="Arial"/>
          <w:b/>
          <w:color w:val="1B4F8C"/>
          <w:sz w:val="22"/>
          <w:szCs w:val="22"/>
        </w:rPr>
        <w:t>Appendix A</w:t>
      </w:r>
      <w:r>
        <w:rPr>
          <w:rFonts w:ascii="Arial" w:cs="Arial" w:hAnsi="Arial"/>
          <w:color w:val="444444"/>
          <w:sz w:val="22"/>
          <w:szCs w:val="22"/>
        </w:rPr>
        <w:t xml:space="preserve">  Full PCT JSON Schema</w:t>
      </w:r>
    </w:p>
    <w:p>
      <w:pPr>
        <w:spacing w:before="80" w:after="60"/>
      </w:pPr>
      <w:r>
        <w:rPr>
          <w:rFonts w:ascii="Arial" w:cs="Arial" w:hAnsi="Arial"/>
          <w:b/>
          <w:color w:val="1B4F8C"/>
          <w:sz w:val="22"/>
          <w:szCs w:val="22"/>
        </w:rPr>
        <w:t>Appendix B</w:t>
      </w:r>
      <w:r>
        <w:rPr>
          <w:rFonts w:ascii="Arial" w:cs="Arial" w:hAnsi="Arial"/>
          <w:color w:val="444444"/>
          <w:sz w:val="22"/>
          <w:szCs w:val="22"/>
        </w:rPr>
        <w:t xml:space="preserve">  Controlled Purpose Vocabulary</w:t>
      </w:r>
    </w:p>
    <w:p>
      <w:pPr>
        <w:spacing w:before="80" w:after="60"/>
      </w:pPr>
      <w:r>
        <w:rPr>
          <w:rFonts w:ascii="Arial" w:cs="Arial" w:hAnsi="Arial"/>
          <w:b/>
          <w:color w:val="1B4F8C"/>
          <w:sz w:val="22"/>
          <w:szCs w:val="22"/>
        </w:rPr>
        <w:t>Appendix C</w:t>
      </w:r>
      <w:r>
        <w:rPr>
          <w:rFonts w:ascii="Arial" w:cs="Arial" w:hAnsi="Arial"/>
          <w:color w:val="444444"/>
          <w:sz w:val="22"/>
          <w:szCs w:val="22"/>
        </w:rPr>
        <w:t xml:space="preserve">  Version History</w:t>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1.  Introduction</w:t>
      </w:r>
    </w:p>
    <w:p>
      <w:pPr>
        <w:pStyle w:val="Heading2"/>
        <w:spacing w:before="300" w:after="120"/>
      </w:pPr>
      <w:r>
        <w:rPr>
          <w:rFonts w:ascii="Arial" w:cs="Arial" w:eastAsia="Arial" w:hAnsi="Arial"/>
          <w:b/>
          <w:bCs/>
          <w:color w:val="1B4F8C"/>
          <w:sz w:val="26"/>
          <w:szCs w:val="26"/>
        </w:rPr>
        <w:t xml:space="preserve">1.1  The problem this specification addresses</w:t>
      </w:r>
    </w:p>
    <w:p>
      <w:pPr>
        <w:spacing w:before="80" w:after="120" w:line="300"/>
        <w:jc w:val="both"/>
      </w:pPr>
      <w:r>
        <w:rPr>
          <w:rFonts w:ascii="Arial" w:cs="Arial" w:eastAsia="Arial" w:hAnsi="Arial"/>
          <w:color w:val="444444"/>
          <w:sz w:val="22"/>
          <w:szCs w:val="22"/>
        </w:rPr>
        <w:t xml:space="preserve">Organisations operating across modern digital environments — multi-cloud infrastructure, SaaS platforms, AI pipelines, and cross-border data flows — face a structural compliance problem. Privacy and data governance obligations are documented, but not operationalised. The gap between what an organisation's policies say should happen and what its systems actually do when data moves is where regulatory risk, legal liability, and AI deployment failures accumulate.</w:t>
      </w:r>
    </w:p>
    <w:p>
      <w:pPr>
        <w:spacing w:before="100" w:after="100"/>
      </w:pPr>
      <w:r>
        <w:t xml:space="preserve"/>
      </w:r>
    </w:p>
    <w:p>
      <w:pPr>
        <w:spacing w:before="80" w:after="120" w:line="300"/>
        <w:jc w:val="both"/>
      </w:pPr>
      <w:r>
        <w:rPr>
          <w:rFonts w:ascii="Arial" w:cs="Arial" w:eastAsia="Arial" w:hAnsi="Arial"/>
          <w:color w:val="444444"/>
          <w:sz w:val="22"/>
          <w:szCs w:val="22"/>
        </w:rPr>
        <w:t xml:space="preserve">Existing tools address parts of this problem. Privacy management platforms such as OneTrust, Transcend, and TrustArc serve as systems of record — they document lawful bases, maintain records of processing activities, manage consent, and track regulatory obligations. Sovereign cloud infrastructure from hyperscalers provides data residency guarantees at the infrastructure level. However, none of these tools enforce obligations at runtime, at the moment data is actually used.</w:t>
      </w:r>
    </w:p>
    <w:p>
      <w:pPr>
        <w:spacing w:before="100" w:after="100"/>
      </w:pPr>
      <w:r>
        <w:t xml:space="preserve"/>
      </w:r>
    </w:p>
    <w:p>
      <w:pPr>
        <w:spacing w:before="80" w:after="120" w:line="300"/>
        <w:jc w:val="both"/>
      </w:pPr>
      <w:r>
        <w:rPr>
          <w:rFonts w:ascii="Arial" w:cs="Arial" w:eastAsia="Arial" w:hAnsi="Arial"/>
          <w:color w:val="444444"/>
          <w:sz w:val="22"/>
          <w:szCs w:val="22"/>
        </w:rPr>
        <w:t xml:space="preserve">The result is that compliance, for most organisations, exists in documents and dashboards — not in the execution path. When an AI model is called, when data crosses a jurisdiction, when a dataset is used for a purpose that was never consented to: there is no consistent, automatic mechanism to intercept, verify, and either permit or block that action.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The runtime gap</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PCT is designed specifically to close the gap between documented obligations and enforced obligations. It does not replace policy platforms or infrastructure controls — it makes them actionable at the moment of execution.</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1.2  The core concept</w:t>
      </w:r>
    </w:p>
    <w:p>
      <w:pPr>
        <w:spacing w:before="80" w:after="120" w:line="300"/>
        <w:jc w:val="both"/>
      </w:pPr>
      <w:r>
        <w:rPr>
          <w:rFonts w:ascii="Arial" w:cs="Arial" w:eastAsia="Arial" w:hAnsi="Arial"/>
          <w:color w:val="444444"/>
          <w:sz w:val="22"/>
          <w:szCs w:val="22"/>
        </w:rPr>
        <w:t xml:space="preserve">The Privacy Claims Token takes its conceptual model from JSON Web Tokens (JWTs), the standard mechanism for portable, signed identity claims in authentication systems. A JWT carries structured claims about a user — who they are, what they are permitted to do — and those claims travel with the user's session. Any system that receives the token can verify its authenticity and act on its claims without calling back to a central authority.</w:t>
      </w:r>
    </w:p>
    <w:p>
      <w:pPr>
        <w:spacing w:before="100" w:after="100"/>
      </w:pPr>
      <w:r>
        <w:t xml:space="preserve"/>
      </w:r>
    </w:p>
    <w:p>
      <w:pPr>
        <w:spacing w:before="80" w:after="120" w:line="300"/>
        <w:jc w:val="both"/>
      </w:pPr>
      <w:r>
        <w:rPr>
          <w:rFonts w:ascii="Arial" w:cs="Arial" w:eastAsia="Arial" w:hAnsi="Arial"/>
          <w:color w:val="444444"/>
          <w:sz w:val="22"/>
          <w:szCs w:val="22"/>
        </w:rPr>
        <w:t xml:space="preserve">PCT applies the same model to data rather than users. When a dataset is created, ingested, or enters a processing pipeline, a PCT is issued that encodes the obligations attached to that data: its jurisdiction of origin, the purposes for which it may be used, the lawful basis under which it was collected, consent status, transfer restrictions, and so forth. Those claims are cryptographically signed. Wherever the data travels, the PCT travels with it. Before any action — a processing operation, an AI model call, a cross-border transfer — the PCT is verified. If the claimed obligations permit the action, it proceeds. If not, it is blocked. In either case, a tamper-evident audit record is generated automatically.</w:t>
      </w:r>
    </w:p>
    <w:p>
      <w:pPr>
        <w:spacing w:before="100" w:after="100"/>
      </w:pPr>
      <w:r>
        <w:t xml:space="preserve"/>
      </w:r>
    </w:p>
    <w:p>
      <w:pPr>
        <w:spacing w:before="80" w:after="120" w:line="300"/>
        <w:jc w:val="both"/>
      </w:pPr>
      <w:r>
        <w:rPr>
          <w:rFonts w:ascii="Arial" w:cs="Arial" w:eastAsia="Arial" w:hAnsi="Arial"/>
          <w:color w:val="444444"/>
          <w:sz w:val="22"/>
          <w:szCs w:val="22"/>
        </w:rPr>
        <w:t xml:space="preserve">This model produces three outcomes that current approaches cannot deliver simultaneously: real-time enforcement, portable proof, and automatic audit.</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1.3  Design principles</w:t>
      </w:r>
    </w:p>
    <w:p>
      <w:pPr>
        <w:spacing w:before="80" w:after="120" w:line="300"/>
        <w:jc w:val="left"/>
      </w:pPr>
      <w:r>
        <w:rPr>
          <w:rFonts w:ascii="Arial" w:cs="Arial" w:eastAsia="Arial" w:hAnsi="Arial"/>
          <w:color w:val="444444"/>
          <w:sz w:val="22"/>
          <w:szCs w:val="22"/>
        </w:rPr>
        <w:t xml:space="preserve">This specification is governed by the following principles, which take precedence in cases of ambiguity or tension:</w:t>
      </w:r>
    </w:p>
    <w:p>
      <w:pPr>
        <w:spacing w:before="100" w:after="100"/>
      </w:pPr>
      <w:r>
        <w:t xml:space="preserve"/>
      </w:r>
    </w:p>
    <w:p>
      <w:pPr>
        <w:pStyle w:val="ListParagraph"/>
        <w:numPr>
          <w:ilvl w:val="0"/>
          <w:numId w:val="2"/>
        </w:numPr>
        <w:spacing w:before="40" w:after="40"/>
      </w:pPr>
      <w:r>
        <w:rPr>
          <w:rFonts w:ascii="Arial" w:cs="Arial" w:eastAsia="Arial" w:hAnsi="Arial"/>
          <w:color w:val="444444"/>
          <w:sz w:val="22"/>
          <w:szCs w:val="22"/>
        </w:rPr>
        <w:t xml:space="preserve">Jurisdiction-neutral. The claims model must be capable of expressing obligations arising under any privacy, AI governance, or data sovereignty regulatory framework, present or future. No single jurisdiction's requirements are privileged in the base schema.</w:t>
      </w:r>
    </w:p>
    <w:p>
      <w:pPr>
        <w:pStyle w:val="ListParagraph"/>
        <w:numPr>
          <w:ilvl w:val="0"/>
          <w:numId w:val="2"/>
        </w:numPr>
        <w:spacing w:before="40" w:after="40"/>
      </w:pPr>
      <w:r>
        <w:rPr>
          <w:rFonts w:ascii="Arial" w:cs="Arial" w:eastAsia="Arial" w:hAnsi="Arial"/>
          <w:color w:val="444444"/>
          <w:sz w:val="22"/>
          <w:szCs w:val="22"/>
        </w:rPr>
        <w:t xml:space="preserve">Extensible by design. The core schema defines a mandatory minimum. All claims fields support extension namespaces, allowing implementations to express regulatory requirements not anticipated at the time of this specification.</w:t>
      </w:r>
    </w:p>
    <w:p>
      <w:pPr>
        <w:pStyle w:val="ListParagraph"/>
        <w:numPr>
          <w:ilvl w:val="0"/>
          <w:numId w:val="2"/>
        </w:numPr>
        <w:spacing w:before="40" w:after="40"/>
      </w:pPr>
      <w:r>
        <w:rPr>
          <w:rFonts w:ascii="Arial" w:cs="Arial" w:eastAsia="Arial" w:hAnsi="Arial"/>
          <w:color w:val="444444"/>
          <w:sz w:val="22"/>
          <w:szCs w:val="22"/>
        </w:rPr>
        <w:t xml:space="preserve">Open and implementation-agnostic. This specification describes what a PCT must contain and how it must behave. It does not prescribe a specific technology stack, programming language, or vendor implementation.</w:t>
      </w:r>
    </w:p>
    <w:p>
      <w:pPr>
        <w:pStyle w:val="ListParagraph"/>
        <w:numPr>
          <w:ilvl w:val="0"/>
          <w:numId w:val="2"/>
        </w:numPr>
        <w:spacing w:before="40" w:after="40"/>
      </w:pPr>
      <w:r>
        <w:rPr>
          <w:rFonts w:ascii="Arial" w:cs="Arial" w:eastAsia="Arial" w:hAnsi="Arial"/>
          <w:color w:val="444444"/>
          <w:sz w:val="22"/>
          <w:szCs w:val="22"/>
        </w:rPr>
        <w:t xml:space="preserve">Cryptographically verifiable. Claims must be signed in a manner that allows any receiving system to verify authenticity and detect tampering without contacting the issuing system.</w:t>
      </w:r>
    </w:p>
    <w:p>
      <w:pPr>
        <w:pStyle w:val="ListParagraph"/>
        <w:numPr>
          <w:ilvl w:val="0"/>
          <w:numId w:val="2"/>
        </w:numPr>
        <w:spacing w:before="40" w:after="40"/>
      </w:pPr>
      <w:r>
        <w:rPr>
          <w:rFonts w:ascii="Arial" w:cs="Arial" w:eastAsia="Arial" w:hAnsi="Arial"/>
          <w:color w:val="444444"/>
          <w:sz w:val="22"/>
          <w:szCs w:val="22"/>
        </w:rPr>
        <w:t xml:space="preserve">Human-readable. While PCT is designed for machine processing, the claims vocabulary is drawn from established legal and regulatory terminology so that the token is comprehensible to lawyers, DPOs, and compliance professionals without specialist technical knowledge.</w:t>
      </w:r>
    </w:p>
    <w:p>
      <w:pPr>
        <w:pStyle w:val="ListParagraph"/>
        <w:numPr>
          <w:ilvl w:val="0"/>
          <w:numId w:val="2"/>
        </w:numPr>
        <w:spacing w:before="40" w:after="40"/>
      </w:pPr>
      <w:r>
        <w:rPr>
          <w:rFonts w:ascii="Arial" w:cs="Arial" w:eastAsia="Arial" w:hAnsi="Arial"/>
          <w:color w:val="444444"/>
          <w:sz w:val="22"/>
          <w:szCs w:val="22"/>
        </w:rPr>
        <w:t xml:space="preserve">Audit-first. Every verification event must produce a structured, tamper-evident audit record. Proof of compliance is not optional — it is a first-class output of the PCT lifecycle.</w:t>
      </w:r>
    </w:p>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2.  Terminology and Definitions</w:t>
      </w:r>
    </w:p>
    <w:p>
      <w:pPr>
        <w:spacing w:before="80" w:after="120" w:line="300"/>
        <w:jc w:val="left"/>
      </w:pPr>
      <w:r>
        <w:rPr>
          <w:rFonts w:ascii="Arial" w:cs="Arial" w:eastAsia="Arial" w:hAnsi="Arial"/>
          <w:color w:val="444444"/>
          <w:sz w:val="22"/>
          <w:szCs w:val="22"/>
        </w:rPr>
        <w:t xml:space="preserve">The following terms are used throughout this specification. Where a term has an established meaning under a referenced regulatory framework, the PCT definition is consistent with that meaning unless otherwise stated.</w:t>
      </w:r>
    </w:p>
    <w:p>
      <w:pP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PCT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Privacy Claims Token. A structured, signed object encoding the data obligations attached to a specific dataset or data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Claim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discrete, structured assertion within a PCT about a specific obligation or constraint governing the data. Analogous to a claim in the JWT specification (RFC 7519).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Issuer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entity responsible for generating and signing a PCT. The issuer attests to the accuracy of the claims at the time of issuance.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Subject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dataset, data flow, or processing operation to which the PCT is attached.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Verifier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Any system, service, or component that receives a PCT and evaluates its claims before permitting or blocking an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Enforcement point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system component at which PCT verification is performed and an allow/block decision is made. Equivalent to a policy enforcement point (PEP) in access control architecture.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Lawful basis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legal ground under which personal data may be processed. Under GDPR and equivalent frameworks, examples include consent, contract, legal obligation, vital interests, public task, and legitimate interests.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Purpose limitation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principle that data may only be used for the specific purpose(s) for which it was collected or subsequently legitimately specified.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Data obligation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Any legal, regulatory, or contractual requirement that constrains how data may be collected, stored, processed, transferred, or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Transfer restriction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constraint on the movement of data across a jurisdictional boundary, arising from regulatory requirements such as GDPR Chapter V, HIPAA cross-border provisions, or national data localisation laws.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Audit record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 structured, tamper-evident log entry generated at each PCT verification event, recording the decision, the claims evaluated, and the timestamp.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Signature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cryptographic mechanism — in this specification, an HMAC-SHA256 or RS256 signature — that allows a verifier to confirm that a PCT was issued by a trusted party and has not been modified since issuance.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Extension namespace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 convention for adding non-standard claims to a PCT without conflicting with the core schema, using a prefixed key format (e.g. x-hipaa:minimum_necessary).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PCT lifecycle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sequence of states through which a PCT passes: issuance, attachment, transmission, verification, decision, and audit.</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3.  Scope and Applicability</w:t>
      </w:r>
    </w:p>
    <w:p>
      <w:pPr>
        <w:pStyle w:val="Heading2"/>
        <w:spacing w:before="300" w:after="120"/>
      </w:pPr>
      <w:r>
        <w:rPr>
          <w:rFonts w:ascii="Arial" w:cs="Arial" w:eastAsia="Arial" w:hAnsi="Arial"/>
          <w:b/>
          <w:bCs/>
          <w:color w:val="1B4F8C"/>
          <w:sz w:val="26"/>
          <w:szCs w:val="26"/>
        </w:rPr>
        <w:t xml:space="preserve">3.1  What PCT governs</w:t>
      </w:r>
    </w:p>
    <w:p>
      <w:pPr>
        <w:spacing w:before="80" w:after="120" w:line="300"/>
        <w:jc w:val="left"/>
      </w:pPr>
      <w:r>
        <w:rPr>
          <w:rFonts w:ascii="Arial" w:cs="Arial" w:eastAsia="Arial" w:hAnsi="Arial"/>
          <w:color w:val="444444"/>
          <w:sz w:val="22"/>
          <w:szCs w:val="22"/>
        </w:rPr>
        <w:t xml:space="preserve">This specification governs the format, content, signing, verification, and audit of Privacy Claims Tokens. It applies to any processing operation, data transfer, or AI model interaction where a participating system chooses to implement PCT-based enforcement.</w:t>
      </w:r>
    </w:p>
    <w:p>
      <w:pPr>
        <w:spacing w:before="100" w:after="100"/>
      </w:pPr>
      <w:r>
        <w:t xml:space="preserve"/>
      </w:r>
    </w:p>
    <w:p>
      <w:pPr>
        <w:spacing w:before="80" w:after="120" w:line="300"/>
        <w:jc w:val="left"/>
      </w:pPr>
      <w:r>
        <w:rPr>
          <w:rFonts w:ascii="Arial" w:cs="Arial" w:eastAsia="Arial" w:hAnsi="Arial"/>
          <w:color w:val="444444"/>
          <w:sz w:val="22"/>
          <w:szCs w:val="22"/>
        </w:rPr>
        <w:t xml:space="preserve">PCT is applicable to, but not limited to, the following scenarios:</w:t>
      </w:r>
    </w:p>
    <w:p>
      <w:pPr>
        <w:spacing w:before="100" w:after="100"/>
      </w:pPr>
      <w:r>
        <w:t xml:space="preserve"/>
      </w:r>
    </w:p>
    <w:p>
      <w:pPr>
        <w:pStyle w:val="ListParagraph"/>
        <w:numPr>
          <w:ilvl w:val="0"/>
          <w:numId w:val="2"/>
        </w:numPr>
        <w:spacing w:before="40" w:after="40"/>
      </w:pPr>
      <w:r>
        <w:rPr>
          <w:rFonts w:ascii="Arial" w:cs="Arial" w:eastAsia="Arial" w:hAnsi="Arial"/>
          <w:color w:val="444444"/>
          <w:sz w:val="22"/>
          <w:szCs w:val="22"/>
        </w:rPr>
        <w:t xml:space="preserve">Personal data processing operations subject to GDPR, UK GDPR, or equivalent frameworks</w:t>
      </w:r>
    </w:p>
    <w:p>
      <w:pPr>
        <w:pStyle w:val="ListParagraph"/>
        <w:numPr>
          <w:ilvl w:val="0"/>
          <w:numId w:val="2"/>
        </w:numPr>
        <w:spacing w:before="40" w:after="40"/>
      </w:pPr>
      <w:r>
        <w:rPr>
          <w:rFonts w:ascii="Arial" w:cs="Arial" w:eastAsia="Arial" w:hAnsi="Arial"/>
          <w:color w:val="444444"/>
          <w:sz w:val="22"/>
          <w:szCs w:val="22"/>
        </w:rPr>
        <w:t xml:space="preserve">Cross-border data transfers subject to adequacy decisions, standard contractual clauses, or equivalent transfer mechanisms</w:t>
      </w:r>
    </w:p>
    <w:p>
      <w:pPr>
        <w:pStyle w:val="ListParagraph"/>
        <w:numPr>
          <w:ilvl w:val="0"/>
          <w:numId w:val="2"/>
        </w:numPr>
        <w:spacing w:before="40" w:after="40"/>
      </w:pPr>
      <w:r>
        <w:rPr>
          <w:rFonts w:ascii="Arial" w:cs="Arial" w:eastAsia="Arial" w:hAnsi="Arial"/>
          <w:color w:val="444444"/>
          <w:sz w:val="22"/>
          <w:szCs w:val="22"/>
        </w:rPr>
        <w:t xml:space="preserve">AI model interactions where personal or sensitive data forms part of the input, context, or training pipeline</w:t>
      </w:r>
    </w:p>
    <w:p>
      <w:pPr>
        <w:pStyle w:val="ListParagraph"/>
        <w:numPr>
          <w:ilvl w:val="0"/>
          <w:numId w:val="2"/>
        </w:numPr>
        <w:spacing w:before="40" w:after="40"/>
      </w:pPr>
      <w:r>
        <w:rPr>
          <w:rFonts w:ascii="Arial" w:cs="Arial" w:eastAsia="Arial" w:hAnsi="Arial"/>
          <w:color w:val="444444"/>
          <w:sz w:val="22"/>
          <w:szCs w:val="22"/>
        </w:rPr>
        <w:t xml:space="preserve">Clinical data processing subject to HIPAA, EU Clinical Trials Regulation, or equivalent frameworks</w:t>
      </w:r>
    </w:p>
    <w:p>
      <w:pPr>
        <w:pStyle w:val="ListParagraph"/>
        <w:numPr>
          <w:ilvl w:val="0"/>
          <w:numId w:val="2"/>
        </w:numPr>
        <w:spacing w:before="40" w:after="40"/>
      </w:pPr>
      <w:r>
        <w:rPr>
          <w:rFonts w:ascii="Arial" w:cs="Arial" w:eastAsia="Arial" w:hAnsi="Arial"/>
          <w:color w:val="444444"/>
          <w:sz w:val="22"/>
          <w:szCs w:val="22"/>
        </w:rPr>
        <w:t xml:space="preserve">Financial data processing subject to DORA, FCA requirements, or equivalent frameworks</w:t>
      </w:r>
    </w:p>
    <w:p>
      <w:pPr>
        <w:pStyle w:val="ListParagraph"/>
        <w:numPr>
          <w:ilvl w:val="0"/>
          <w:numId w:val="2"/>
        </w:numPr>
        <w:spacing w:before="40" w:after="40"/>
      </w:pPr>
      <w:r>
        <w:rPr>
          <w:rFonts w:ascii="Arial" w:cs="Arial" w:eastAsia="Arial" w:hAnsi="Arial"/>
          <w:color w:val="444444"/>
          <w:sz w:val="22"/>
          <w:szCs w:val="22"/>
        </w:rPr>
        <w:t xml:space="preserve">Electronic communications processing subject to PECR or the EU ePrivacy framework</w:t>
      </w:r>
    </w:p>
    <w:p>
      <w:pPr>
        <w:pStyle w:val="ListParagraph"/>
        <w:numPr>
          <w:ilvl w:val="0"/>
          <w:numId w:val="2"/>
        </w:numPr>
        <w:spacing w:before="40" w:after="40"/>
      </w:pPr>
      <w:r>
        <w:rPr>
          <w:rFonts w:ascii="Arial" w:cs="Arial" w:eastAsia="Arial" w:hAnsi="Arial"/>
          <w:color w:val="444444"/>
          <w:sz w:val="22"/>
          <w:szCs w:val="22"/>
        </w:rPr>
        <w:t xml:space="preserve">Any data processing subject to national data localisation or sovereignty requirements</w:t>
      </w:r>
    </w:p>
    <w:p>
      <w:pPr>
        <w:pStyle w:val="ListParagraph"/>
        <w:numPr>
          <w:ilvl w:val="0"/>
          <w:numId w:val="2"/>
        </w:numPr>
        <w:spacing w:before="40" w:after="40"/>
      </w:pPr>
      <w:r>
        <w:rPr>
          <w:rFonts w:ascii="Arial" w:cs="Arial" w:eastAsia="Arial" w:hAnsi="Arial"/>
          <w:color w:val="444444"/>
          <w:sz w:val="22"/>
          <w:szCs w:val="22"/>
        </w:rPr>
        <w:t xml:space="preserve">Automated decision-making and profiling operations subject to Article 22 GDPR or equivalent provisions</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3.2  What PCT does not govern</w:t>
      </w:r>
    </w:p>
    <w:p>
      <w:pPr>
        <w:spacing w:before="80" w:after="120" w:line="300"/>
        <w:jc w:val="left"/>
      </w:pPr>
      <w:r>
        <w:rPr>
          <w:rFonts w:ascii="Arial" w:cs="Arial" w:eastAsia="Arial" w:hAnsi="Arial"/>
          <w:color w:val="444444"/>
          <w:sz w:val="22"/>
          <w:szCs w:val="22"/>
        </w:rPr>
        <w:t xml:space="preserve">This specification does not govern:</w:t>
      </w:r>
    </w:p>
    <w:p>
      <w:pPr>
        <w:spacing w:before="100" w:after="100"/>
      </w:pPr>
      <w:r>
        <w:t xml:space="preserve"/>
      </w:r>
    </w:p>
    <w:p>
      <w:pPr>
        <w:pStyle w:val="ListParagraph"/>
        <w:numPr>
          <w:ilvl w:val="0"/>
          <w:numId w:val="2"/>
        </w:numPr>
        <w:spacing w:before="40" w:after="40"/>
      </w:pPr>
      <w:r>
        <w:rPr>
          <w:rFonts w:ascii="Arial" w:cs="Arial" w:eastAsia="Arial" w:hAnsi="Arial"/>
          <w:color w:val="444444"/>
          <w:sz w:val="22"/>
          <w:szCs w:val="22"/>
        </w:rPr>
        <w:t xml:space="preserve">The content of the underlying policies, consents, or lawful bases that a PCT records. Those are the responsibility of the issuing organisation and its legal counsel.</w:t>
      </w:r>
    </w:p>
    <w:p>
      <w:pPr>
        <w:pStyle w:val="ListParagraph"/>
        <w:numPr>
          <w:ilvl w:val="0"/>
          <w:numId w:val="2"/>
        </w:numPr>
        <w:spacing w:before="40" w:after="40"/>
      </w:pPr>
      <w:r>
        <w:rPr>
          <w:rFonts w:ascii="Arial" w:cs="Arial" w:eastAsia="Arial" w:hAnsi="Arial"/>
          <w:color w:val="444444"/>
          <w:sz w:val="22"/>
          <w:szCs w:val="22"/>
        </w:rPr>
        <w:t xml:space="preserve">The technical architecture of systems that implement PCT verification. Implementers are free to use any technology stack consistent with the requirements of Section 6.</w:t>
      </w:r>
    </w:p>
    <w:p>
      <w:pPr>
        <w:pStyle w:val="ListParagraph"/>
        <w:numPr>
          <w:ilvl w:val="0"/>
          <w:numId w:val="2"/>
        </w:numPr>
        <w:spacing w:before="40" w:after="40"/>
      </w:pPr>
      <w:r>
        <w:rPr>
          <w:rFonts w:ascii="Arial" w:cs="Arial" w:eastAsia="Arial" w:hAnsi="Arial"/>
          <w:color w:val="444444"/>
          <w:sz w:val="22"/>
          <w:szCs w:val="22"/>
        </w:rPr>
        <w:t xml:space="preserve">Liability arising from incorrect claims within a PCT. The issuer bears responsibility for the accuracy of claims at the time of issuance.</w:t>
      </w:r>
    </w:p>
    <w:p>
      <w:pPr>
        <w:pStyle w:val="ListParagraph"/>
        <w:numPr>
          <w:ilvl w:val="0"/>
          <w:numId w:val="2"/>
        </w:numPr>
        <w:spacing w:before="40" w:after="40"/>
      </w:pPr>
      <w:r>
        <w:rPr>
          <w:rFonts w:ascii="Arial" w:cs="Arial" w:eastAsia="Arial" w:hAnsi="Arial"/>
          <w:color w:val="444444"/>
          <w:sz w:val="22"/>
          <w:szCs w:val="22"/>
        </w:rPr>
        <w:t xml:space="preserve">The format or content of privacy notices, consent records, or records of processing activities (RoPAs), which remain governed by applicable regulatory frameworks.</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3.3  Regulatory frameworks addressed</w:t>
      </w:r>
    </w:p>
    <w:p>
      <w:pPr>
        <w:spacing w:before="80" w:after="120" w:line="300"/>
        <w:jc w:val="left"/>
      </w:pPr>
      <w:r>
        <w:rPr>
          <w:rFonts w:ascii="Arial" w:cs="Arial" w:eastAsia="Arial" w:hAnsi="Arial"/>
          <w:color w:val="444444"/>
          <w:sz w:val="22"/>
          <w:szCs w:val="22"/>
        </w:rPr>
        <w:t xml:space="preserve">Version 0.1 of this specification explicitly addresses the claims requirements arising from the following frameworks. The extension namespace mechanism (Section 5.7) supports any framework not listed here.</w:t>
      </w:r>
    </w:p>
    <w:p>
      <w:pP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3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Key obligations addressed</w:t>
            </w:r>
          </w:p>
        </w:tc>
        <w:tc>
          <w:tcPr>
            <w:tcW w:type="dxa" w:w="36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Relevant PCT fields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8"/>
                <w:szCs w:val="18"/>
              </w:rPr>
              <w:t xml:space="preserve">GDPR / UK GDPR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Lawful basis, purpose limitation, data minimisation, consent, transfer restrictions, DPA notification obligations, Article 22 automated decisions</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lawful_basis, allowed_purposes, consent_status, transfer_restrictions, data_categories, automated_decision_flag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8"/>
                <w:szCs w:val="18"/>
              </w:rPr>
              <w:t xml:space="preserve">EU AI 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High-risk AI system obligations, transparency requirements, human oversight, prohibited use cases, training data provenance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ai_context.risk_tier, ai_context.human_oversight, ai_context.prohibited_use_check, ai_context.training_data_flag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8"/>
                <w:szCs w:val="18"/>
              </w:rPr>
              <w:t xml:space="preserve">HIPAA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Minimum necessary standard, permitted disclosures, PHI handling, Business Associate obligations, breach notification triggers</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x-hipaa:minimum_necessary, x-hipaa:permitted_disclosure, x-hipaa:phi_flag, x-hipaa:baa_in_place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8"/>
                <w:szCs w:val="18"/>
              </w:rPr>
              <w:t xml:space="preserve">DORA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ICT risk management, operational resilience, third-party risk, incident reporting obligations for financial entities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x-dora:ict_risk_classification, x-dora:third_party_flag, x-dora:incident_trigger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8"/>
                <w:szCs w:val="18"/>
              </w:rPr>
              <w:t xml:space="preserve">DUAA (Data Use and Access Act)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Data access conditions, trusted research environment requirements, data intermediary rules</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x-duaa:access_condition, x-duaa:trusted_research_env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8"/>
                <w:szCs w:val="18"/>
              </w:rPr>
              <w:t xml:space="preserve">PECR / UK PECR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Cookie and tracking consent, electronic communications data, direct marketing permissions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x-pecr:tracking_consent, x-pecr:comms_data_flag, x-pecr:marketing_permission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8"/>
                <w:szCs w:val="18"/>
              </w:rPr>
              <w:t xml:space="preserve">Other frameworks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Any national or sectoral framework may be addressed via extension namespaces using the x-{framework}: prefix convention</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x-{framework}:{field}</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4.  The PCT Lifecycle</w:t>
      </w:r>
    </w:p>
    <w:p>
      <w:pPr>
        <w:pStyle w:val="Heading2"/>
        <w:spacing w:before="300" w:after="120"/>
      </w:pPr>
      <w:r>
        <w:rPr>
          <w:rFonts w:ascii="Arial" w:cs="Arial" w:eastAsia="Arial" w:hAnsi="Arial"/>
          <w:b/>
          <w:bCs/>
          <w:color w:val="1B4F8C"/>
          <w:sz w:val="26"/>
          <w:szCs w:val="26"/>
        </w:rPr>
        <w:t xml:space="preserve">4.1  Overview</w:t>
      </w:r>
    </w:p>
    <w:p>
      <w:pPr>
        <w:spacing w:before="80" w:after="120" w:line="300"/>
        <w:jc w:val="left"/>
      </w:pPr>
      <w:r>
        <w:rPr>
          <w:rFonts w:ascii="Arial" w:cs="Arial" w:eastAsia="Arial" w:hAnsi="Arial"/>
          <w:color w:val="444444"/>
          <w:sz w:val="22"/>
          <w:szCs w:val="22"/>
        </w:rPr>
        <w:t xml:space="preserve">A PCT passes through six defined states from creation to final audit record. Each state is described below. Implementations must support all six states; they may implement additional intermediate states provided these are documented.</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4.2  State 1 — Issuance</w:t>
      </w:r>
    </w:p>
    <w:p>
      <w:pPr>
        <w:spacing w:before="80" w:after="120" w:line="300"/>
        <w:jc w:val="left"/>
      </w:pPr>
      <w:r>
        <w:rPr>
          <w:rFonts w:ascii="Arial" w:cs="Arial" w:eastAsia="Arial" w:hAnsi="Arial"/>
          <w:color w:val="444444"/>
          <w:sz w:val="22"/>
          <w:szCs w:val="22"/>
        </w:rPr>
        <w:t xml:space="preserve">A PCT is issued by an authorised issuer at the point a dataset is created, ingested, or enters a processing environment where PCT enforcement is active. The issuer constructs the claims object in accordance with Section 5, signs it in accordance with Section 6, and records the issuance event.</w:t>
      </w:r>
    </w:p>
    <w:p>
      <w:pPr>
        <w:spacing w:before="100" w:after="100"/>
      </w:pPr>
      <w:r>
        <w:t xml:space="preserve"/>
      </w:r>
    </w:p>
    <w:p>
      <w:pPr>
        <w:spacing w:before="80" w:after="120" w:line="300"/>
        <w:jc w:val="left"/>
      </w:pPr>
      <w:r>
        <w:rPr>
          <w:rFonts w:ascii="Arial" w:cs="Arial" w:eastAsia="Arial" w:hAnsi="Arial"/>
          <w:color w:val="444444"/>
          <w:sz w:val="22"/>
          <w:szCs w:val="22"/>
        </w:rPr>
        <w:t xml:space="preserve">The issuer is responsible for:</w:t>
      </w:r>
    </w:p>
    <w:p>
      <w:pPr>
        <w:pStyle w:val="ListParagraph"/>
        <w:numPr>
          <w:ilvl w:val="0"/>
          <w:numId w:val="2"/>
        </w:numPr>
        <w:spacing w:before="40" w:after="40"/>
      </w:pPr>
      <w:r>
        <w:rPr>
          <w:rFonts w:ascii="Arial" w:cs="Arial" w:eastAsia="Arial" w:hAnsi="Arial"/>
          <w:color w:val="444444"/>
          <w:sz w:val="22"/>
          <w:szCs w:val="22"/>
        </w:rPr>
        <w:t xml:space="preserve">Accurately encoding all applicable obligations as claims</w:t>
      </w:r>
    </w:p>
    <w:p>
      <w:pPr>
        <w:pStyle w:val="ListParagraph"/>
        <w:numPr>
          <w:ilvl w:val="0"/>
          <w:numId w:val="2"/>
        </w:numPr>
        <w:spacing w:before="40" w:after="40"/>
      </w:pPr>
      <w:r>
        <w:rPr>
          <w:rFonts w:ascii="Arial" w:cs="Arial" w:eastAsia="Arial" w:hAnsi="Arial"/>
          <w:color w:val="444444"/>
          <w:sz w:val="22"/>
          <w:szCs w:val="22"/>
        </w:rPr>
        <w:t xml:space="preserve">Selecting the correct signature algorithm and key</w:t>
      </w:r>
    </w:p>
    <w:p>
      <w:pPr>
        <w:pStyle w:val="ListParagraph"/>
        <w:numPr>
          <w:ilvl w:val="0"/>
          <w:numId w:val="2"/>
        </w:numPr>
        <w:spacing w:before="40" w:after="40"/>
      </w:pPr>
      <w:r>
        <w:rPr>
          <w:rFonts w:ascii="Arial" w:cs="Arial" w:eastAsia="Arial" w:hAnsi="Arial"/>
          <w:color w:val="444444"/>
          <w:sz w:val="22"/>
          <w:szCs w:val="22"/>
        </w:rPr>
        <w:t xml:space="preserve">Setting the issued_at and expires_at timestamps</w:t>
      </w:r>
    </w:p>
    <w:p>
      <w:pPr>
        <w:pStyle w:val="ListParagraph"/>
        <w:numPr>
          <w:ilvl w:val="0"/>
          <w:numId w:val="2"/>
        </w:numPr>
        <w:spacing w:before="40" w:after="40"/>
      </w:pPr>
      <w:r>
        <w:rPr>
          <w:rFonts w:ascii="Arial" w:cs="Arial" w:eastAsia="Arial" w:hAnsi="Arial"/>
          <w:color w:val="444444"/>
          <w:sz w:val="22"/>
          <w:szCs w:val="22"/>
        </w:rPr>
        <w:t xml:space="preserve">Generating a globally unique pct_id</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Issuer responsibility</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PCT is not a legal guarantee. It is a machine-readable attestation by the issuer that, to the best of the issuer's knowledge at the time of issuance, the claims accurately reflect the obligations attached to the data. Issuers should have governance processes in place to ensure accuracy.</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4.3  State 2 — Attachment</w:t>
      </w:r>
    </w:p>
    <w:p>
      <w:pPr>
        <w:spacing w:before="80" w:after="120" w:line="300"/>
        <w:jc w:val="left"/>
      </w:pPr>
      <w:r>
        <w:rPr>
          <w:rFonts w:ascii="Arial" w:cs="Arial" w:eastAsia="Arial" w:hAnsi="Arial"/>
          <w:color w:val="444444"/>
          <w:sz w:val="22"/>
          <w:szCs w:val="22"/>
        </w:rPr>
        <w:t xml:space="preserve">The issued PCT is attached to the data subject. Attachment may be implemented as:</w:t>
      </w:r>
    </w:p>
    <w:p>
      <w:pPr>
        <w:pStyle w:val="ListParagraph"/>
        <w:numPr>
          <w:ilvl w:val="0"/>
          <w:numId w:val="2"/>
        </w:numPr>
        <w:spacing w:before="40" w:after="40"/>
      </w:pPr>
      <w:r>
        <w:rPr>
          <w:rFonts w:ascii="Arial" w:cs="Arial" w:eastAsia="Arial" w:hAnsi="Arial"/>
          <w:color w:val="444444"/>
          <w:sz w:val="22"/>
          <w:szCs w:val="22"/>
        </w:rPr>
        <w:t xml:space="preserve">A header field in an API request carrying the data</w:t>
      </w:r>
    </w:p>
    <w:p>
      <w:pPr>
        <w:pStyle w:val="ListParagraph"/>
        <w:numPr>
          <w:ilvl w:val="0"/>
          <w:numId w:val="2"/>
        </w:numPr>
        <w:spacing w:before="40" w:after="40"/>
      </w:pPr>
      <w:r>
        <w:rPr>
          <w:rFonts w:ascii="Arial" w:cs="Arial" w:eastAsia="Arial" w:hAnsi="Arial"/>
          <w:color w:val="444444"/>
          <w:sz w:val="22"/>
          <w:szCs w:val="22"/>
        </w:rPr>
        <w:t xml:space="preserve">A sidecar metadata file travelling alongside a dataset in a pipeline</w:t>
      </w:r>
    </w:p>
    <w:p>
      <w:pPr>
        <w:pStyle w:val="ListParagraph"/>
        <w:numPr>
          <w:ilvl w:val="0"/>
          <w:numId w:val="2"/>
        </w:numPr>
        <w:spacing w:before="40" w:after="40"/>
      </w:pPr>
      <w:r>
        <w:rPr>
          <w:rFonts w:ascii="Arial" w:cs="Arial" w:eastAsia="Arial" w:hAnsi="Arial"/>
          <w:color w:val="444444"/>
          <w:sz w:val="22"/>
          <w:szCs w:val="22"/>
        </w:rPr>
        <w:t xml:space="preserve">A field within a data envelope or wrapper</w:t>
      </w:r>
    </w:p>
    <w:p>
      <w:pPr>
        <w:pStyle w:val="ListParagraph"/>
        <w:numPr>
          <w:ilvl w:val="0"/>
          <w:numId w:val="2"/>
        </w:numPr>
        <w:spacing w:before="40" w:after="40"/>
      </w:pPr>
      <w:r>
        <w:rPr>
          <w:rFonts w:ascii="Arial" w:cs="Arial" w:eastAsia="Arial" w:hAnsi="Arial"/>
          <w:color w:val="444444"/>
          <w:sz w:val="22"/>
          <w:szCs w:val="22"/>
        </w:rPr>
        <w:t xml:space="preserve">A reference in a data catalogue or metadata store, retrieved at verification time</w:t>
      </w:r>
    </w:p>
    <w:p>
      <w:pPr>
        <w:spacing w:before="100" w:after="100"/>
      </w:pPr>
      <w:r>
        <w:t xml:space="preserve"/>
      </w:r>
    </w:p>
    <w:p>
      <w:pPr>
        <w:spacing w:before="80" w:after="120" w:line="300"/>
        <w:jc w:val="left"/>
      </w:pPr>
      <w:r>
        <w:rPr>
          <w:rFonts w:ascii="Arial" w:cs="Arial" w:eastAsia="Arial" w:hAnsi="Arial"/>
          <w:color w:val="444444"/>
          <w:sz w:val="22"/>
          <w:szCs w:val="22"/>
        </w:rPr>
        <w:t xml:space="preserve">Implementations must document their attachment mechanism. The attachment must be durable — the PCT must remain associated with the data throughout its journey through the system.</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4.4  State 3 — Transmission</w:t>
      </w:r>
    </w:p>
    <w:p>
      <w:pPr>
        <w:spacing w:before="80" w:after="120" w:line="300"/>
        <w:jc w:val="left"/>
      </w:pPr>
      <w:r>
        <w:rPr>
          <w:rFonts w:ascii="Arial" w:cs="Arial" w:eastAsia="Arial" w:hAnsi="Arial"/>
          <w:color w:val="444444"/>
          <w:sz w:val="22"/>
          <w:szCs w:val="22"/>
        </w:rPr>
        <w:t xml:space="preserve">The PCT travels with the data. Transmission may occur across network boundaries, jurisdictions, cloud environments, or AI pipeline stages. During transmission, the PCT must not be modified. Any system that modifies a PCT must re-sign it as a new issuance and record the re-issuance event, including a reference to the originating PCT by its pct_id.</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4.5  State 4 — Verification</w:t>
      </w:r>
    </w:p>
    <w:p>
      <w:pPr>
        <w:spacing w:before="80" w:after="120" w:line="300"/>
        <w:jc w:val="left"/>
      </w:pPr>
      <w:r>
        <w:rPr>
          <w:rFonts w:ascii="Arial" w:cs="Arial" w:eastAsia="Arial" w:hAnsi="Arial"/>
          <w:color w:val="444444"/>
          <w:sz w:val="22"/>
          <w:szCs w:val="22"/>
        </w:rPr>
        <w:t xml:space="preserve">At each enforcement point, before any action is permitted, the receiving system must verify the PCT. Verification comprises the following steps, which must be performed in order:</w:t>
      </w:r>
    </w:p>
    <w:p>
      <w:pPr>
        <w:spacing w:before="100" w:after="100"/>
      </w:pPr>
      <w:r>
        <w:t xml:space="preserve"/>
      </w:r>
    </w:p>
    <w:p>
      <w:pPr>
        <w:pStyle w:val="ListParagraph"/>
        <w:numPr>
          <w:ilvl w:val="0"/>
          <w:numId w:val="3"/>
        </w:numPr>
        <w:spacing w:before="40" w:after="40"/>
      </w:pPr>
      <w:r>
        <w:rPr>
          <w:rFonts w:ascii="Arial" w:cs="Arial" w:eastAsia="Arial" w:hAnsi="Arial"/>
          <w:color w:val="444444"/>
          <w:sz w:val="22"/>
          <w:szCs w:val="22"/>
        </w:rPr>
        <w:t xml:space="preserve">Signature verification. Confirm that the PCT signature is valid and was produced by a trusted issuer key. If signature verification fails, the action must be blocked regardless of claim content.</w:t>
      </w:r>
    </w:p>
    <w:p>
      <w:pPr>
        <w:pStyle w:val="ListParagraph"/>
        <w:numPr>
          <w:ilvl w:val="0"/>
          <w:numId w:val="3"/>
        </w:numPr>
        <w:spacing w:before="40" w:after="40"/>
      </w:pPr>
      <w:r>
        <w:rPr>
          <w:rFonts w:ascii="Arial" w:cs="Arial" w:eastAsia="Arial" w:hAnsi="Arial"/>
          <w:color w:val="444444"/>
          <w:sz w:val="22"/>
          <w:szCs w:val="22"/>
        </w:rPr>
        <w:t xml:space="preserve">Expiry check. Confirm that the current timestamp is within the valid_from / expires_at window. An expired PCT must be treated as invalid.</w:t>
      </w:r>
    </w:p>
    <w:p>
      <w:pPr>
        <w:pStyle w:val="ListParagraph"/>
        <w:numPr>
          <w:ilvl w:val="0"/>
          <w:numId w:val="3"/>
        </w:numPr>
        <w:spacing w:before="40" w:after="40"/>
      </w:pPr>
      <w:r>
        <w:rPr>
          <w:rFonts w:ascii="Arial" w:cs="Arial" w:eastAsia="Arial" w:hAnsi="Arial"/>
          <w:color w:val="444444"/>
          <w:sz w:val="22"/>
          <w:szCs w:val="22"/>
        </w:rPr>
        <w:t xml:space="preserve">Purpose check. Confirm that the requested_purpose of the action is present in the allowed_purposes claim. If not, block.</w:t>
      </w:r>
    </w:p>
    <w:p>
      <w:pPr>
        <w:pStyle w:val="ListParagraph"/>
        <w:numPr>
          <w:ilvl w:val="0"/>
          <w:numId w:val="3"/>
        </w:numPr>
        <w:spacing w:before="40" w:after="40"/>
      </w:pPr>
      <w:r>
        <w:rPr>
          <w:rFonts w:ascii="Arial" w:cs="Arial" w:eastAsia="Arial" w:hAnsi="Arial"/>
          <w:color w:val="444444"/>
          <w:sz w:val="22"/>
          <w:szCs w:val="22"/>
        </w:rPr>
        <w:t xml:space="preserve">Jurisdiction check. Confirm that the action's processing_region is consistent with the jurisdiction_rules claim. If not, block.</w:t>
      </w:r>
    </w:p>
    <w:p>
      <w:pPr>
        <w:pStyle w:val="ListParagraph"/>
        <w:numPr>
          <w:ilvl w:val="0"/>
          <w:numId w:val="3"/>
        </w:numPr>
        <w:spacing w:before="40" w:after="40"/>
      </w:pPr>
      <w:r>
        <w:rPr>
          <w:rFonts w:ascii="Arial" w:cs="Arial" w:eastAsia="Arial" w:hAnsi="Arial"/>
          <w:color w:val="444444"/>
          <w:sz w:val="22"/>
          <w:szCs w:val="22"/>
        </w:rPr>
        <w:t xml:space="preserve">Consent check. Where the lawful_basis is consent, confirm that consent_status is true and that the consent scope covers the requested purpose. If not, block.</w:t>
      </w:r>
    </w:p>
    <w:p>
      <w:pPr>
        <w:pStyle w:val="ListParagraph"/>
        <w:numPr>
          <w:ilvl w:val="0"/>
          <w:numId w:val="3"/>
        </w:numPr>
        <w:spacing w:before="40" w:after="40"/>
      </w:pPr>
      <w:r>
        <w:rPr>
          <w:rFonts w:ascii="Arial" w:cs="Arial" w:eastAsia="Arial" w:hAnsi="Arial"/>
          <w:color w:val="444444"/>
          <w:sz w:val="22"/>
          <w:szCs w:val="22"/>
        </w:rPr>
        <w:t xml:space="preserve">Data category check. Confirm that any special category data indicators (data_categories) are consistent with the additional safeguards required under applicable law for the requested action. If not, block.</w:t>
      </w:r>
    </w:p>
    <w:p>
      <w:pPr>
        <w:pStyle w:val="ListParagraph"/>
        <w:numPr>
          <w:ilvl w:val="0"/>
          <w:numId w:val="3"/>
        </w:numPr>
        <w:spacing w:before="40" w:after="40"/>
      </w:pPr>
      <w:r>
        <w:rPr>
          <w:rFonts w:ascii="Arial" w:cs="Arial" w:eastAsia="Arial" w:hAnsi="Arial"/>
          <w:color w:val="444444"/>
          <w:sz w:val="22"/>
          <w:szCs w:val="22"/>
        </w:rPr>
        <w:t xml:space="preserve">Transfer restriction check. Where the action involves cross-border data movement, confirm that the destination is listed in permitted_destinations or that an applicable transfer mechanism is recorded. If not, block.</w:t>
      </w:r>
    </w:p>
    <w:p>
      <w:pPr>
        <w:pStyle w:val="ListParagraph"/>
        <w:numPr>
          <w:ilvl w:val="0"/>
          <w:numId w:val="3"/>
        </w:numPr>
        <w:spacing w:before="40" w:after="40"/>
      </w:pPr>
      <w:r>
        <w:rPr>
          <w:rFonts w:ascii="Arial" w:cs="Arial" w:eastAsia="Arial" w:hAnsi="Arial"/>
          <w:color w:val="444444"/>
          <w:sz w:val="22"/>
          <w:szCs w:val="22"/>
        </w:rPr>
        <w:t xml:space="preserve">Extension claims check. Evaluate any extension namespace claims applicable to the action context. Block if any extension claim check fails.</w:t>
      </w:r>
    </w:p>
    <w:p>
      <w:pPr>
        <w:spacing w:before="100" w:after="100"/>
      </w:pPr>
      <w:r>
        <w:t xml:space="preserve"/>
      </w:r>
    </w:p>
    <w:p>
      <w:pPr>
        <w:spacing w:before="80" w:after="120" w:line="300"/>
        <w:jc w:val="left"/>
      </w:pPr>
      <w:r>
        <w:rPr>
          <w:rFonts w:ascii="Arial" w:cs="Arial" w:eastAsia="Arial" w:hAnsi="Arial"/>
          <w:color w:val="444444"/>
          <w:sz w:val="22"/>
          <w:szCs w:val="22"/>
        </w:rPr>
        <w:t xml:space="preserve">A single failed check is sufficient to block the action. Partial passes are not permitted.</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4.6  State 5 — Decision</w:t>
      </w:r>
    </w:p>
    <w:p>
      <w:pPr>
        <w:spacing w:before="80" w:after="120" w:line="300"/>
        <w:jc w:val="left"/>
      </w:pPr>
      <w:r>
        <w:rPr>
          <w:rFonts w:ascii="Arial" w:cs="Arial" w:eastAsia="Arial" w:hAnsi="Arial"/>
          <w:color w:val="444444"/>
          <w:sz w:val="22"/>
          <w:szCs w:val="22"/>
        </w:rPr>
        <w:t xml:space="preserve">Following verification, the enforcement point issues a decision: ALLOW or BLOCK. The decision, together with the specific checks that produced it, is recorded in the audit record (State 6). The decision is communicated to the requesting system via the enforcement API (see Section 7).</w:t>
      </w:r>
    </w:p>
    <w:p>
      <w:pPr>
        <w:spacing w:before="100" w:after="100"/>
      </w:pPr>
      <w:r>
        <w:t xml:space="preserve"/>
      </w:r>
    </w:p>
    <w:p>
      <w:pPr>
        <w:spacing w:before="80" w:after="120" w:line="300"/>
        <w:jc w:val="left"/>
      </w:pPr>
      <w:r>
        <w:rPr>
          <w:rFonts w:ascii="Arial" w:cs="Arial" w:eastAsia="Arial" w:hAnsi="Arial"/>
          <w:color w:val="444444"/>
          <w:sz w:val="22"/>
          <w:szCs w:val="22"/>
        </w:rPr>
        <w:t xml:space="preserve">In addition to ALLOW and BLOCK, an enforcement point may issue a TRANSFORM decision, indicating that the action may proceed subject to a data transformation — such as redaction, pseudonymisation, or tokenisation — that brings it within the permitted claims. TRANSFORM decisions must record both the original request and the transformation applied.</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4.7  State 6 — Audit</w:t>
      </w:r>
    </w:p>
    <w:p>
      <w:pPr>
        <w:spacing w:before="80" w:after="120" w:line="300"/>
        <w:jc w:val="left"/>
      </w:pPr>
      <w:r>
        <w:rPr>
          <w:rFonts w:ascii="Arial" w:cs="Arial" w:eastAsia="Arial" w:hAnsi="Arial"/>
          <w:color w:val="444444"/>
          <w:sz w:val="22"/>
          <w:szCs w:val="22"/>
        </w:rPr>
        <w:t xml:space="preserve">Every verification event must produce an audit record, regardless of the decision outcome. The audit record must be generated at the time of the decision, must be tamper-evident (see Section 8), and must be retained for a period consistent with applicable regulatory requirements.</w:t>
      </w:r>
    </w:p>
    <w:p>
      <w:pPr>
        <w:spacing w:before="100" w:after="100"/>
      </w:pPr>
      <w:r>
        <w:t xml:space="preserve"/>
      </w:r>
    </w:p>
    <w:p>
      <w:pPr>
        <w:spacing w:before="80" w:after="120" w:line="300"/>
        <w:jc w:val="left"/>
      </w:pPr>
      <w:r>
        <w:rPr>
          <w:rFonts w:ascii="Arial" w:cs="Arial" w:eastAsia="Arial" w:hAnsi="Arial"/>
          <w:color w:val="444444"/>
          <w:sz w:val="22"/>
          <w:szCs w:val="22"/>
        </w:rPr>
        <w:t xml:space="preserve">The minimum required fields of an audit record are defined in Section 8.</w:t>
      </w:r>
    </w:p>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5.  Claims Schema</w:t>
      </w:r>
    </w:p>
    <w:p>
      <w:pPr>
        <w:pStyle w:val="Heading2"/>
        <w:spacing w:before="300" w:after="120"/>
      </w:pPr>
      <w:r>
        <w:rPr>
          <w:rFonts w:ascii="Arial" w:cs="Arial" w:eastAsia="Arial" w:hAnsi="Arial"/>
          <w:b/>
          <w:bCs/>
          <w:color w:val="1B4F8C"/>
          <w:sz w:val="26"/>
          <w:szCs w:val="26"/>
        </w:rPr>
        <w:t xml:space="preserve">5.1  Structure overview</w:t>
      </w:r>
    </w:p>
    <w:p>
      <w:pPr>
        <w:spacing w:before="80" w:after="120" w:line="300"/>
        <w:jc w:val="left"/>
      </w:pPr>
      <w:r>
        <w:rPr>
          <w:rFonts w:ascii="Arial" w:cs="Arial" w:eastAsia="Arial" w:hAnsi="Arial"/>
          <w:color w:val="444444"/>
          <w:sz w:val="22"/>
          <w:szCs w:val="22"/>
        </w:rPr>
        <w:t xml:space="preserve">A PCT consists of three components, following the JWT convention:</w:t>
      </w:r>
    </w:p>
    <w:p>
      <w:pPr>
        <w:spacing w:before="100" w:after="100"/>
      </w:pPr>
      <w:r>
        <w:t xml:space="preserve"/>
      </w:r>
    </w:p>
    <w:p>
      <w:pPr>
        <w:pStyle w:val="ListParagraph"/>
        <w:numPr>
          <w:ilvl w:val="0"/>
          <w:numId w:val="2"/>
        </w:numPr>
        <w:spacing w:before="40" w:after="40"/>
      </w:pPr>
      <w:r>
        <w:rPr>
          <w:rFonts w:ascii="Arial" w:cs="Arial" w:eastAsia="Arial" w:hAnsi="Arial"/>
          <w:color w:val="444444"/>
          <w:sz w:val="22"/>
          <w:szCs w:val="22"/>
        </w:rPr>
        <w:t xml:space="preserve">Header. Metadata about the token itself: the signing algorithm, key identifier, and PCT specification version.</w:t>
      </w:r>
    </w:p>
    <w:p>
      <w:pPr>
        <w:pStyle w:val="ListParagraph"/>
        <w:numPr>
          <w:ilvl w:val="0"/>
          <w:numId w:val="2"/>
        </w:numPr>
        <w:spacing w:before="40" w:after="40"/>
      </w:pPr>
      <w:r>
        <w:rPr>
          <w:rFonts w:ascii="Arial" w:cs="Arial" w:eastAsia="Arial" w:hAnsi="Arial"/>
          <w:color w:val="444444"/>
          <w:sz w:val="22"/>
          <w:szCs w:val="22"/>
        </w:rPr>
        <w:t xml:space="preserve">Payload. The structured claims object encoding the data obligations.</w:t>
      </w:r>
    </w:p>
    <w:p>
      <w:pPr>
        <w:pStyle w:val="ListParagraph"/>
        <w:numPr>
          <w:ilvl w:val="0"/>
          <w:numId w:val="2"/>
        </w:numPr>
        <w:spacing w:before="40" w:after="40"/>
      </w:pPr>
      <w:r>
        <w:rPr>
          <w:rFonts w:ascii="Arial" w:cs="Arial" w:eastAsia="Arial" w:hAnsi="Arial"/>
          <w:color w:val="444444"/>
          <w:sz w:val="22"/>
          <w:szCs w:val="22"/>
        </w:rPr>
        <w:t xml:space="preserve">Signature. The cryptographic signature over the header and payload.</w:t>
      </w:r>
    </w:p>
    <w:p>
      <w:pPr>
        <w:spacing w:before="100" w:after="100"/>
      </w:pPr>
      <w:r>
        <w:t xml:space="preserve"/>
      </w:r>
    </w:p>
    <w:p>
      <w:pPr>
        <w:spacing w:before="80" w:after="120" w:line="300"/>
        <w:jc w:val="left"/>
      </w:pPr>
      <w:r>
        <w:rPr>
          <w:rFonts w:ascii="Arial" w:cs="Arial" w:eastAsia="Arial" w:hAnsi="Arial"/>
          <w:color w:val="444444"/>
          <w:sz w:val="22"/>
          <w:szCs w:val="22"/>
        </w:rPr>
        <w:t xml:space="preserve">When serialised for transmission, the PCT must be encoded as a Base64URL-encoded string of the form header.payload.signature, consistent with RFC 7519 compact serialisation. Human-readable JSON representations may be used for documentation, debugging, and audit log storage.</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5.2  Header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alg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Signing algorithm. Must be RS256 (RSA + SHA-256) or HS256 (HMAC + SHA-256). RS256 is recommended for multi-party deployments.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kid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Key identifier. A reference to the signing key used, enabling key rotation without token invalidation.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typ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Token type. Must be the literal string PCT.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pct_version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version of this specification the token conforms to. For this version, must be 0.1.</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5.3  Core payload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pct_id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(UUID v4)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Globally unique identifier for this PCT instance. Must be a UUID v4.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issued_at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integer (Unix epoch)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Timestamp at which the PCT was issued, in seconds since Unix epoch (UTC).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valid_from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integer (Unix epoch)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Timestamp from which the PCT is valid. May equal issued_at.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expires_at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integer (Unix epoch)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Timestamp after which the PCT is no longer valid. Verifiers must reject expired PCTs.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issuer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URI identifying the issuing entity. Should be a stable, resolvable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subject_id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Identifier for the dataset, data flow, or processing subject this PCT is attached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subject_type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Category of subject. Permitted values: dataset, data_flow, api_request, ai_interaction,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data_origin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(ISO 3166-1 alpha-2)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Two-letter country code of the jurisdiction where the data was originally collected.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data_categories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enum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categories of data present. Permitted values include: personal, sensitive, special_category, health, financial, biometric, genetic, criminal, communications, children, pseudonymised, anonymised.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lawful_basis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legal ground(s) for processing. See Section 5.4.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allowed_purposes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purposes for which the data may be used. Values should be drawn from a controlled vocabulary (see Appendix B) or expressed as URIs.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consent_status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Required when lawful_basis includes consent. True indicates valid, informed, current consent exists.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consent_scope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Required when consent_status is true. The specific purposes covered by the consent, consistent with allowed_purposes.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consent_record_ref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Reference to an external consent record, enabling verification against the system of record.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jurisdiction_rules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Constraints on where the data may be processed. See Section 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transfer_restrictions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Required when subject_type is transfer or when cross-border processing is anticipated. See Section 5.6.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retention_limit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(ISO 8601 duration)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maximum period for which the data may be retained (e.g. P2Y for two years).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automated_decision_flag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Set to true if the data may be used in automated decision-making subject to Article 22 GDPR or equivalent.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ai_context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Required when subject_type is ai_interaction. See Section 5.8.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extensions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Extension namespace claims. See Section 5.7.</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5.4  The lawful_basis object</w:t>
      </w:r>
    </w:p>
    <w:p>
      <w:pPr>
        <w:spacing w:before="80" w:after="120" w:line="300"/>
        <w:jc w:val="left"/>
      </w:pPr>
      <w:r>
        <w:rPr>
          <w:rFonts w:ascii="Arial" w:cs="Arial" w:eastAsia="Arial" w:hAnsi="Arial"/>
          <w:color w:val="444444"/>
          <w:sz w:val="22"/>
          <w:szCs w:val="22"/>
        </w:rPr>
        <w:t xml:space="preserve">The lawful_basis object must contain at least one basis. Where multiple bases apply, all must be listed.</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bases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enum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applicable lawful basis or bases. Permitted values: consent, contract, legal_obligation, vital_interests, public_task, legitimate_interests, not_applicable (for anonymised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legitimate_interests_assessment_ref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Required when bases includes legitimate_interests. Reference to the Legitimate Interests Assessment (LIA) on record.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legal_obligation_ref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Required when bases includes legal_obligation. Reference to the specific legal instrument creating the obligation.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framework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regulatory framework under which the lawful basis is assessed (e.g. GDPR, UK_GDPR, HIPAA). Where omitted, GDPR is assumed.</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5.5  The jurisdiction_rules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permitted_regions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string (ISO 3166-1 alpha-2)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Country codes in which processing is permitted. Use * to indicate no restriction, though this is discouraged for sensitive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restricted_regions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string (ISO 3166-1 alpha-2)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Country codes in which processing is explicitly prohibited, overriding any general permission.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residency_required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If true, data must remain within permitted_regions at all times and may not be temporarily processed elsewhere.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sovereignty_framework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Reference to a sovereignty or adequacy framework under which processing is permitted (e.g. GDPR_adequacy, UK_adequacy, APEC_CBPR).</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5.6  The transfer_restrictions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permitted_destinations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string (ISO 3166-1 alpha-2)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Country codes to which transfer is permitted.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transfer_mechanism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legal mechanism authorising the transfer. Permitted values: adequacy_decision, standard_contractual_clauses, binding_corporate_rules, derogation, not_required, other.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transfer_mechanism_ref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Reference to the specific instrument (e.g. the executed SCCs) authorising the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onward_transfer_permitted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Whether the recipient may further transfer the data to a third party.</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5.7  Extension namespaces</w:t>
      </w:r>
    </w:p>
    <w:p>
      <w:pPr>
        <w:spacing w:before="80" w:after="120" w:line="300"/>
        <w:jc w:val="left"/>
      </w:pPr>
      <w:r>
        <w:rPr>
          <w:rFonts w:ascii="Arial" w:cs="Arial" w:eastAsia="Arial" w:hAnsi="Arial"/>
          <w:color w:val="444444"/>
          <w:sz w:val="22"/>
          <w:szCs w:val="22"/>
        </w:rPr>
        <w:t xml:space="preserve">Extension claims are added to the extensions object using the prefix convention x-{framework}:{field}. Extension keys must not conflict with core schema field names. The following extension namespaces are defined in this version:</w:t>
      </w:r>
    </w:p>
    <w:p>
      <w:pPr>
        <w:spacing w:before="100" w:after="100"/>
      </w:pPr>
      <w:r>
        <w:t xml:space="preserve"/>
      </w:r>
    </w:p>
    <w:p>
      <w:pPr>
        <w:pStyle w:val="ListParagraph"/>
        <w:numPr>
          <w:ilvl w:val="0"/>
          <w:numId w:val="2"/>
        </w:numPr>
        <w:spacing w:before="40" w:after="40"/>
      </w:pPr>
      <w:r>
        <w:rPr>
          <w:rFonts w:ascii="Arial" w:cs="Arial" w:eastAsia="Arial" w:hAnsi="Arial"/>
          <w:color w:val="444444"/>
          <w:sz w:val="22"/>
          <w:szCs w:val="22"/>
        </w:rPr>
        <w:t xml:space="preserve">x-hipaa: Claims addressing HIPAA-specific obligations (minimum_necessary, phi_flag, permitted_disclosure, baa_in_place).</w:t>
      </w:r>
    </w:p>
    <w:p>
      <w:pPr>
        <w:pStyle w:val="ListParagraph"/>
        <w:numPr>
          <w:ilvl w:val="0"/>
          <w:numId w:val="2"/>
        </w:numPr>
        <w:spacing w:before="40" w:after="40"/>
      </w:pPr>
      <w:r>
        <w:rPr>
          <w:rFonts w:ascii="Arial" w:cs="Arial" w:eastAsia="Arial" w:hAnsi="Arial"/>
          <w:color w:val="444444"/>
          <w:sz w:val="22"/>
          <w:szCs w:val="22"/>
        </w:rPr>
        <w:t xml:space="preserve">x-dora: Claims addressing DORA-specific obligations (ict_risk_classification, third_party_flag, incident_trigger).</w:t>
      </w:r>
    </w:p>
    <w:p>
      <w:pPr>
        <w:pStyle w:val="ListParagraph"/>
        <w:numPr>
          <w:ilvl w:val="0"/>
          <w:numId w:val="2"/>
        </w:numPr>
        <w:spacing w:before="40" w:after="40"/>
      </w:pPr>
      <w:r>
        <w:rPr>
          <w:rFonts w:ascii="Arial" w:cs="Arial" w:eastAsia="Arial" w:hAnsi="Arial"/>
          <w:color w:val="444444"/>
          <w:sz w:val="22"/>
          <w:szCs w:val="22"/>
        </w:rPr>
        <w:t xml:space="preserve">x-duaa: Claims addressing UK Data Use and Access Act obligations (access_condition, trusted_research_env).</w:t>
      </w:r>
    </w:p>
    <w:p>
      <w:pPr>
        <w:pStyle w:val="ListParagraph"/>
        <w:numPr>
          <w:ilvl w:val="0"/>
          <w:numId w:val="2"/>
        </w:numPr>
        <w:spacing w:before="40" w:after="40"/>
      </w:pPr>
      <w:r>
        <w:rPr>
          <w:rFonts w:ascii="Arial" w:cs="Arial" w:eastAsia="Arial" w:hAnsi="Arial"/>
          <w:color w:val="444444"/>
          <w:sz w:val="22"/>
          <w:szCs w:val="22"/>
        </w:rPr>
        <w:t xml:space="preserve">x-pecr: Claims addressing PECR / ePrivacy obligations (tracking_consent, comms_data_flag, marketing_permission).</w:t>
      </w:r>
    </w:p>
    <w:p>
      <w:pPr>
        <w:pStyle w:val="ListParagraph"/>
        <w:numPr>
          <w:ilvl w:val="0"/>
          <w:numId w:val="2"/>
        </w:numPr>
        <w:spacing w:before="40" w:after="40"/>
      </w:pPr>
      <w:r>
        <w:rPr>
          <w:rFonts w:ascii="Arial" w:cs="Arial" w:eastAsia="Arial" w:hAnsi="Arial"/>
          <w:color w:val="444444"/>
          <w:sz w:val="22"/>
          <w:szCs w:val="22"/>
        </w:rPr>
        <w:t xml:space="preserve">x-ai-act: Claims addressing EU AI Act obligations (risk_tier, human_oversight_required, prohibited_use_check, training_data_flag, conformity_assessment_ref).</w:t>
      </w:r>
    </w:p>
    <w:p>
      <w:pPr>
        <w:spacing w:before="100" w:after="100"/>
      </w:pPr>
      <w:r>
        <w:t xml:space="preserve"/>
      </w:r>
    </w:p>
    <w:p>
      <w:pPr>
        <w:spacing w:before="80" w:after="120" w:line="300"/>
        <w:jc w:val="left"/>
      </w:pPr>
      <w:r>
        <w:rPr>
          <w:rFonts w:ascii="Arial" w:cs="Arial" w:eastAsia="Arial" w:hAnsi="Arial"/>
          <w:color w:val="444444"/>
          <w:sz w:val="22"/>
          <w:szCs w:val="22"/>
        </w:rPr>
        <w:t xml:space="preserve">Any implementer may define additional extension namespaces using the x-{label}: prefix. Extension namespaces not defined in this specification must be documented publicly by the defining party. Verifiers encountering unknown extension namespaces must not fail silently — they must either evaluate the extension claim or flag the PCT as requiring human review.</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5.8  The ai_context object</w:t>
      </w:r>
    </w:p>
    <w:p>
      <w:pPr>
        <w:spacing w:before="80" w:after="120" w:line="300"/>
        <w:jc w:val="left"/>
      </w:pPr>
      <w:r>
        <w:rPr>
          <w:rFonts w:ascii="Arial" w:cs="Arial" w:eastAsia="Arial" w:hAnsi="Arial"/>
          <w:color w:val="444444"/>
          <w:sz w:val="22"/>
          <w:szCs w:val="22"/>
        </w:rPr>
        <w:t xml:space="preserve">Required when subject_type is ai_interaction. This object addresses the specific obligations arising when personal or sensitive data is used in connection with an AI model.</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model_id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Identifier for the AI model being invoked.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model_region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(ISO 3166-1 alpha-2)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jurisdiction in which the model will process the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risk_tier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AI risk classification under the EU AI Act or equivalent. Permitted values: minimal, limited, high, unacceptable.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prohibited_use_check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Attests that the intended use has been checked against the list of prohibited AI applications under applicable law. Must be true to permit 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human_oversight_required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Indicates whether human review of the AI output is required before any decision is actioned.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training_data_flag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Set to true if the data may be used to train, fine-tune, or evaluate the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output_retention_permitted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boolean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Whether AI-generated outputs derived from this data may be retained.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conformity_assessment_ref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6"/>
                <w:szCs w:val="16"/>
              </w:rPr>
              <w:t xml:space="preserve">OPTIONAL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For high-risk AI systems, reference to the conformity assessment documentation.</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6.  Signing and Verification</w:t>
      </w:r>
    </w:p>
    <w:p>
      <w:pPr>
        <w:pStyle w:val="Heading2"/>
        <w:spacing w:before="300" w:after="120"/>
      </w:pPr>
      <w:r>
        <w:rPr>
          <w:rFonts w:ascii="Arial" w:cs="Arial" w:eastAsia="Arial" w:hAnsi="Arial"/>
          <w:b/>
          <w:bCs/>
          <w:color w:val="1B4F8C"/>
          <w:sz w:val="26"/>
          <w:szCs w:val="26"/>
        </w:rPr>
        <w:t xml:space="preserve">6.1  Signing requirements</w:t>
      </w:r>
    </w:p>
    <w:p>
      <w:pPr>
        <w:spacing w:before="80" w:after="120" w:line="300"/>
        <w:jc w:val="left"/>
      </w:pPr>
      <w:r>
        <w:rPr>
          <w:rFonts w:ascii="Arial" w:cs="Arial" w:eastAsia="Arial" w:hAnsi="Arial"/>
          <w:color w:val="444444"/>
          <w:sz w:val="22"/>
          <w:szCs w:val="22"/>
        </w:rPr>
        <w:t xml:space="preserve">All PCTs must be cryptographically signed before attachment. Unsigned PCTs must be rejected by all verifiers.</w:t>
      </w:r>
    </w:p>
    <w:p>
      <w:pPr>
        <w:spacing w:before="100" w:after="100"/>
      </w:pPr>
      <w:r>
        <w:t xml:space="preserve"/>
      </w:r>
    </w:p>
    <w:p>
      <w:pPr>
        <w:spacing w:before="80" w:after="120" w:line="300"/>
        <w:jc w:val="left"/>
      </w:pPr>
      <w:r>
        <w:rPr>
          <w:rFonts w:ascii="Arial" w:cs="Arial" w:eastAsia="Arial" w:hAnsi="Arial"/>
          <w:color w:val="444444"/>
          <w:sz w:val="22"/>
          <w:szCs w:val="22"/>
        </w:rPr>
        <w:t xml:space="preserve">The following signing algorithms are supported in version 0.1:</w:t>
      </w:r>
    </w:p>
    <w:p>
      <w:pPr>
        <w:pStyle w:val="ListParagraph"/>
        <w:numPr>
          <w:ilvl w:val="0"/>
          <w:numId w:val="2"/>
        </w:numPr>
        <w:spacing w:before="40" w:after="40"/>
      </w:pPr>
      <w:r>
        <w:rPr>
          <w:rFonts w:ascii="Arial" w:cs="Arial" w:eastAsia="Arial" w:hAnsi="Arial"/>
          <w:color w:val="444444"/>
          <w:sz w:val="22"/>
          <w:szCs w:val="22"/>
        </w:rPr>
        <w:t xml:space="preserve">RS256 (RSASSA-PKCS1-v1_5 with SHA-256). Recommended for all deployments where the issuer and verifier are different organisations or systems. Requires a public/private key pair.</w:t>
      </w:r>
    </w:p>
    <w:p>
      <w:pPr>
        <w:pStyle w:val="ListParagraph"/>
        <w:numPr>
          <w:ilvl w:val="0"/>
          <w:numId w:val="2"/>
        </w:numPr>
        <w:spacing w:before="40" w:after="40"/>
      </w:pPr>
      <w:r>
        <w:rPr>
          <w:rFonts w:ascii="Arial" w:cs="Arial" w:eastAsia="Arial" w:hAnsi="Arial"/>
          <w:color w:val="444444"/>
          <w:sz w:val="22"/>
          <w:szCs w:val="22"/>
        </w:rPr>
        <w:t xml:space="preserve">HS256 (HMAC with SHA-256). Permitted only for single-organisation deployments where the issuer and all verifiers share a secure secret. Must not be used across organisational boundaries.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Key management</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Issuers must implement key rotation procedures. The kid field in the PCT header enables verifiers to retrieve the correct public key without invalidating existing tokens. Expired or revoked keys must be maintained in a key registry for audit purposes.</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6.2  Signature construction</w:t>
      </w:r>
    </w:p>
    <w:p>
      <w:pPr>
        <w:spacing w:before="80" w:after="120" w:line="300"/>
        <w:jc w:val="left"/>
      </w:pPr>
      <w:r>
        <w:rPr>
          <w:rFonts w:ascii="Arial" w:cs="Arial" w:eastAsia="Arial" w:hAnsi="Arial"/>
          <w:color w:val="444444"/>
          <w:sz w:val="22"/>
          <w:szCs w:val="22"/>
        </w:rPr>
        <w:t xml:space="preserve">The signature is computed over the Base64URL encoding of the header concatenated with a period and the Base64URL encoding of the payload, consistent with RFC 7519 Section 7.2.</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D4D4D4"/>
                <w:sz w:val="17"/>
                <w:szCs w:val="17"/>
              </w:rPr>
              <w:t xml:space="preserve">signature = sign(</w:t>
            </w:r>
          </w:p>
          <w:p>
            <w:pPr>
              <w:spacing w:before="0" w:after="0"/>
            </w:pPr>
            <w:r>
              <w:rPr>
                <w:rFonts w:ascii="Courier New" w:cs="Courier New" w:eastAsia="Courier New" w:hAnsi="Courier New"/>
                <w:color w:val="D4D4D4"/>
                <w:sz w:val="17"/>
                <w:szCs w:val="17"/>
              </w:rPr>
              <w:t xml:space="preserve">  Base64URL(header) + '.' + Base64URL(payload),</w:t>
            </w:r>
          </w:p>
          <w:p>
            <w:pPr>
              <w:spacing w:before="0" w:after="0"/>
            </w:pPr>
            <w:r>
              <w:rPr>
                <w:rFonts w:ascii="Courier New" w:cs="Courier New" w:eastAsia="Courier New" w:hAnsi="Courier New"/>
                <w:color w:val="D4D4D4"/>
                <w:sz w:val="17"/>
                <w:szCs w:val="17"/>
              </w:rPr>
              <w:t xml:space="preserve">  private_key</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pct = Base64URL(header) + '.' + Base64URL(payload) + '.' + Base64URL(signature)</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6.3  Verification procedure</w:t>
      </w:r>
    </w:p>
    <w:p>
      <w:pPr>
        <w:spacing w:before="80" w:after="120" w:line="300"/>
        <w:jc w:val="left"/>
      </w:pPr>
      <w:r>
        <w:rPr>
          <w:rFonts w:ascii="Arial" w:cs="Arial" w:eastAsia="Arial" w:hAnsi="Arial"/>
          <w:color w:val="444444"/>
          <w:sz w:val="22"/>
          <w:szCs w:val="22"/>
        </w:rPr>
        <w:t xml:space="preserve">A verifier must perform all of the following steps before accepting a PCT:</w:t>
      </w:r>
    </w:p>
    <w:p>
      <w:pPr>
        <w:spacing w:before="100" w:after="100"/>
      </w:pPr>
      <w:r>
        <w:t xml:space="preserve"/>
      </w:r>
    </w:p>
    <w:p>
      <w:pPr>
        <w:pStyle w:val="ListParagraph"/>
        <w:numPr>
          <w:ilvl w:val="0"/>
          <w:numId w:val="3"/>
        </w:numPr>
        <w:spacing w:before="40" w:after="40"/>
      </w:pPr>
      <w:r>
        <w:rPr>
          <w:rFonts w:ascii="Arial" w:cs="Arial" w:eastAsia="Arial" w:hAnsi="Arial"/>
          <w:color w:val="444444"/>
          <w:sz w:val="22"/>
          <w:szCs w:val="22"/>
        </w:rPr>
        <w:t xml:space="preserve">Decode the three components of the compact serialised PCT.</w:t>
      </w:r>
    </w:p>
    <w:p>
      <w:pPr>
        <w:pStyle w:val="ListParagraph"/>
        <w:numPr>
          <w:ilvl w:val="0"/>
          <w:numId w:val="3"/>
        </w:numPr>
        <w:spacing w:before="40" w:after="40"/>
      </w:pPr>
      <w:r>
        <w:rPr>
          <w:rFonts w:ascii="Arial" w:cs="Arial" w:eastAsia="Arial" w:hAnsi="Arial"/>
          <w:color w:val="444444"/>
          <w:sz w:val="22"/>
          <w:szCs w:val="22"/>
        </w:rPr>
        <w:t xml:space="preserve">Retrieve the public key (or shared secret) associated with the kid value in the header.</w:t>
      </w:r>
    </w:p>
    <w:p>
      <w:pPr>
        <w:pStyle w:val="ListParagraph"/>
        <w:numPr>
          <w:ilvl w:val="0"/>
          <w:numId w:val="3"/>
        </w:numPr>
        <w:spacing w:before="40" w:after="40"/>
      </w:pPr>
      <w:r>
        <w:rPr>
          <w:rFonts w:ascii="Arial" w:cs="Arial" w:eastAsia="Arial" w:hAnsi="Arial"/>
          <w:color w:val="444444"/>
          <w:sz w:val="22"/>
          <w:szCs w:val="22"/>
        </w:rPr>
        <w:t xml:space="preserve">Verify the signature over header.payload using the retrieved key.</w:t>
      </w:r>
    </w:p>
    <w:p>
      <w:pPr>
        <w:pStyle w:val="ListParagraph"/>
        <w:numPr>
          <w:ilvl w:val="0"/>
          <w:numId w:val="3"/>
        </w:numPr>
        <w:spacing w:before="40" w:after="40"/>
      </w:pPr>
      <w:r>
        <w:rPr>
          <w:rFonts w:ascii="Arial" w:cs="Arial" w:eastAsia="Arial" w:hAnsi="Arial"/>
          <w:color w:val="444444"/>
          <w:sz w:val="22"/>
          <w:szCs w:val="22"/>
        </w:rPr>
        <w:t xml:space="preserve">Confirm that the pct_version in the header is a version supported by the verifier.</w:t>
      </w:r>
    </w:p>
    <w:p>
      <w:pPr>
        <w:pStyle w:val="ListParagraph"/>
        <w:numPr>
          <w:ilvl w:val="0"/>
          <w:numId w:val="3"/>
        </w:numPr>
        <w:spacing w:before="40" w:after="40"/>
      </w:pPr>
      <w:r>
        <w:rPr>
          <w:rFonts w:ascii="Arial" w:cs="Arial" w:eastAsia="Arial" w:hAnsi="Arial"/>
          <w:color w:val="444444"/>
          <w:sz w:val="22"/>
          <w:szCs w:val="22"/>
        </w:rPr>
        <w:t xml:space="preserve">Confirm that the current timestamp is between valid_from and expires_at.</w:t>
      </w:r>
    </w:p>
    <w:p>
      <w:pPr>
        <w:pStyle w:val="ListParagraph"/>
        <w:numPr>
          <w:ilvl w:val="0"/>
          <w:numId w:val="3"/>
        </w:numPr>
        <w:spacing w:before="40" w:after="40"/>
      </w:pPr>
      <w:r>
        <w:rPr>
          <w:rFonts w:ascii="Arial" w:cs="Arial" w:eastAsia="Arial" w:hAnsi="Arial"/>
          <w:color w:val="444444"/>
          <w:sz w:val="22"/>
          <w:szCs w:val="22"/>
        </w:rPr>
        <w:t xml:space="preserve">Proceed to claims evaluation as defined in Section 4.5.</w:t>
      </w:r>
    </w:p>
    <w:p>
      <w:pPr>
        <w:spacing w:before="100" w:after="100"/>
      </w:pPr>
      <w:r>
        <w:t xml:space="preserve"/>
      </w:r>
    </w:p>
    <w:p>
      <w:pPr>
        <w:spacing w:before="80" w:after="120" w:line="300"/>
        <w:jc w:val="left"/>
      </w:pPr>
      <w:r>
        <w:rPr>
          <w:rFonts w:ascii="Arial" w:cs="Arial" w:eastAsia="Arial" w:hAnsi="Arial"/>
          <w:color w:val="444444"/>
          <w:sz w:val="22"/>
          <w:szCs w:val="22"/>
        </w:rPr>
        <w:t xml:space="preserve">If any step fails, the PCT must be treated as invalid and the action must be blocked. Verifiers must not skip steps or apply partial verification.</w:t>
      </w:r>
    </w:p>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7.  Enforcement API</w:t>
      </w:r>
    </w:p>
    <w:p>
      <w:pPr>
        <w:pStyle w:val="Heading2"/>
        <w:spacing w:before="300" w:after="120"/>
      </w:pPr>
      <w:r>
        <w:rPr>
          <w:rFonts w:ascii="Arial" w:cs="Arial" w:eastAsia="Arial" w:hAnsi="Arial"/>
          <w:b/>
          <w:bCs/>
          <w:color w:val="1B4F8C"/>
          <w:sz w:val="26"/>
          <w:szCs w:val="26"/>
        </w:rPr>
        <w:t xml:space="preserve">7.1  Overview</w:t>
      </w:r>
    </w:p>
    <w:p>
      <w:pPr>
        <w:spacing w:before="80" w:after="120" w:line="300"/>
        <w:jc w:val="left"/>
      </w:pPr>
      <w:r>
        <w:rPr>
          <w:rFonts w:ascii="Arial" w:cs="Arial" w:eastAsia="Arial" w:hAnsi="Arial"/>
          <w:color w:val="444444"/>
          <w:sz w:val="22"/>
          <w:szCs w:val="22"/>
        </w:rPr>
        <w:t xml:space="preserve">This section defines the minimum API contract that a PCT-compliant enforcement point must expose. Implementations may provide richer interfaces; they must not expose less than the minimum defined here.</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7.2  Verification request</w:t>
      </w:r>
    </w:p>
    <w:p>
      <w:pPr>
        <w:spacing w:before="80" w:after="120" w:line="300"/>
        <w:jc w:val="left"/>
      </w:pPr>
      <w:r>
        <w:rPr>
          <w:rFonts w:ascii="Arial" w:cs="Arial" w:eastAsia="Arial" w:hAnsi="Arial"/>
          <w:color w:val="444444"/>
          <w:sz w:val="22"/>
          <w:szCs w:val="22"/>
        </w:rPr>
        <w:t xml:space="preserve">An enforcement point must accept a verification request containing the following fields: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compact serialised PCT (header.payload.signature).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requested_action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action being requested. Permitted values: process, transfer, ai_call, store, delete, disclose.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requested_purpose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specific purpose for which the action is being performed. Must match a value in allowed_purposes to 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processing_region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(ISO 3166-1 alpha-2)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country code where the action will occur.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requestor_id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Identifier of the system or service making the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request_timestamp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integer (Unix epoch)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Timestamp of the request.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(UUID v4)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Unique identifier for this verification request, used in the audit record.</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7.3  Verification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decision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enforcement decision. Values: ALLOW, BLOCK, TRANSFORM.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decision_reasons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Human-readable explanation of the checks that produced the decision. Required for BLOCK and TRANSFORM decisions.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transform_instructions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16"/>
                <w:szCs w:val="16"/>
              </w:rPr>
              <w:t xml:space="preserve">CONDITIONAL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Required when decision is TRANSFORM. Specifies the transformation to be applied (e.g. redact field x, pseudonymise field 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audit_record_id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(UUID v4)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identifier of the audit record generated for this decision.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response_timestamp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integer (Unix epoch)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Timestamp at which the decision was made.</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8.  Audit Records</w:t>
      </w:r>
    </w:p>
    <w:p>
      <w:pPr>
        <w:pStyle w:val="Heading2"/>
        <w:spacing w:before="300" w:after="120"/>
      </w:pPr>
      <w:r>
        <w:rPr>
          <w:rFonts w:ascii="Arial" w:cs="Arial" w:eastAsia="Arial" w:hAnsi="Arial"/>
          <w:b/>
          <w:bCs/>
          <w:color w:val="1B4F8C"/>
          <w:sz w:val="26"/>
          <w:szCs w:val="26"/>
        </w:rPr>
        <w:t xml:space="preserve">8.1  Requirements</w:t>
      </w:r>
    </w:p>
    <w:p>
      <w:pPr>
        <w:spacing w:before="80" w:after="120" w:line="300"/>
        <w:jc w:val="left"/>
      </w:pPr>
      <w:r>
        <w:rPr>
          <w:rFonts w:ascii="Arial" w:cs="Arial" w:eastAsia="Arial" w:hAnsi="Arial"/>
          <w:color w:val="444444"/>
          <w:sz w:val="22"/>
          <w:szCs w:val="22"/>
        </w:rPr>
        <w:t xml:space="preserve">Every verification event must produce an audit record. Audit records must be:</w:t>
      </w:r>
    </w:p>
    <w:p>
      <w:pPr>
        <w:pStyle w:val="ListParagraph"/>
        <w:numPr>
          <w:ilvl w:val="0"/>
          <w:numId w:val="2"/>
        </w:numPr>
        <w:spacing w:before="40" w:after="40"/>
      </w:pPr>
      <w:r>
        <w:rPr>
          <w:rFonts w:ascii="Arial" w:cs="Arial" w:eastAsia="Arial" w:hAnsi="Arial"/>
          <w:color w:val="444444"/>
          <w:sz w:val="22"/>
          <w:szCs w:val="22"/>
        </w:rPr>
        <w:t xml:space="preserve">Generated at the time of the decision, not retrospectively</w:t>
      </w:r>
    </w:p>
    <w:p>
      <w:pPr>
        <w:pStyle w:val="ListParagraph"/>
        <w:numPr>
          <w:ilvl w:val="0"/>
          <w:numId w:val="2"/>
        </w:numPr>
        <w:spacing w:before="40" w:after="40"/>
      </w:pPr>
      <w:r>
        <w:rPr>
          <w:rFonts w:ascii="Arial" w:cs="Arial" w:eastAsia="Arial" w:hAnsi="Arial"/>
          <w:color w:val="444444"/>
          <w:sz w:val="22"/>
          <w:szCs w:val="22"/>
        </w:rPr>
        <w:t xml:space="preserve">Tamper-evident, using a SHA-256 hash of the full record payload</w:t>
      </w:r>
    </w:p>
    <w:p>
      <w:pPr>
        <w:pStyle w:val="ListParagraph"/>
        <w:numPr>
          <w:ilvl w:val="0"/>
          <w:numId w:val="2"/>
        </w:numPr>
        <w:spacing w:before="40" w:after="40"/>
      </w:pPr>
      <w:r>
        <w:rPr>
          <w:rFonts w:ascii="Arial" w:cs="Arial" w:eastAsia="Arial" w:hAnsi="Arial"/>
          <w:color w:val="444444"/>
          <w:sz w:val="22"/>
          <w:szCs w:val="22"/>
        </w:rPr>
        <w:t xml:space="preserve">Retained for a minimum period consistent with applicable regulatory requirements (suggested minimum: 7 years for data subject to GDPR or HIPAA)</w:t>
      </w:r>
    </w:p>
    <w:p>
      <w:pPr>
        <w:pStyle w:val="ListParagraph"/>
        <w:numPr>
          <w:ilvl w:val="0"/>
          <w:numId w:val="2"/>
        </w:numPr>
        <w:spacing w:before="40" w:after="40"/>
      </w:pPr>
      <w:r>
        <w:rPr>
          <w:rFonts w:ascii="Arial" w:cs="Arial" w:eastAsia="Arial" w:hAnsi="Arial"/>
          <w:color w:val="444444"/>
          <w:sz w:val="22"/>
          <w:szCs w:val="22"/>
        </w:rPr>
        <w:t xml:space="preserve">Structured in a format that can be exported and presented to a regulator or auditor without specialist tooling</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8.2  Audit record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0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audit_id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(UUID v4)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Unique identifier for this audit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(UUID v4)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request_id from the originating verification request.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pct_id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(UUID v4)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pct_id of the PCT evaluated.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issuer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(URI)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issuer of the PCT evaluated.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requestor_id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system that made the verification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requested_action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action that was requested.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requested_purpose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purpose stated in the verification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processing_region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region in which the action was to be performed.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decision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enum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The enforcement decision: ALLOW, BLOCK, or TRANSFORM.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checks_performed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array of 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The ordered list of checks performed, each including check_name, result (pass/fail), and reason.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decision_timestamp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6"/>
                <w:szCs w:val="16"/>
              </w:rPr>
              <w:t xml:space="preserve">integer (Unix epoch)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6"/>
                <w:szCs w:val="16"/>
              </w:rPr>
              <w:t xml:space="preserve">Timestamp at which the decision was made.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6"/>
                <w:szCs w:val="16"/>
              </w:rPr>
              <w:t xml:space="preserve">record_hash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6"/>
                <w:szCs w:val="16"/>
              </w:rPr>
              <w:t xml:space="preserve">string (hex)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C"/>
                <w:sz w:val="16"/>
                <w:szCs w:val="16"/>
              </w:rPr>
              <w:t xml:space="preserve">REQUIRED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SHA-256 hash of the JSON-serialised audit record (excluding the record_hash field itself). Enables tamper detection.</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9.  Example Tokens and Scenarios</w:t>
      </w:r>
    </w:p>
    <w:p>
      <w:pPr>
        <w:pStyle w:val="Heading2"/>
        <w:spacing w:before="300" w:after="120"/>
      </w:pPr>
      <w:r>
        <w:rPr>
          <w:rFonts w:ascii="Arial" w:cs="Arial" w:eastAsia="Arial" w:hAnsi="Arial"/>
          <w:b/>
          <w:bCs/>
          <w:color w:val="1B4F8C"/>
          <w:sz w:val="26"/>
          <w:szCs w:val="26"/>
        </w:rPr>
        <w:t xml:space="preserve">9.1  Scenario 1 — Permitted: UK clinical data, UK processing, valid consent</w:t>
      </w:r>
    </w:p>
    <w:p>
      <w:pPr>
        <w:spacing w:before="80" w:after="120" w:line="300"/>
        <w:jc w:val="left"/>
      </w:pPr>
      <w:r>
        <w:rPr>
          <w:rFonts w:ascii="Arial" w:cs="Arial" w:eastAsia="Arial" w:hAnsi="Arial"/>
          <w:color w:val="444444"/>
          <w:sz w:val="22"/>
          <w:szCs w:val="22"/>
        </w:rPr>
        <w:t xml:space="preserve">This example shows a PCT that would result in an ALLOW decision for a clinical analytics AI call on UK patient data processed within the UK.</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"pct_id": "f3a2b1c4-1234-4abc-8def-000000000001",</w:t>
            </w:r>
          </w:p>
          <w:p>
            <w:pPr>
              <w:spacing w:before="0" w:after="0"/>
            </w:pPr>
            <w:r>
              <w:rPr>
                <w:rFonts w:ascii="Courier New" w:cs="Courier New" w:eastAsia="Courier New" w:hAnsi="Courier New"/>
                <w:color w:val="D4D4D4"/>
                <w:sz w:val="17"/>
                <w:szCs w:val="17"/>
              </w:rPr>
              <w:t xml:space="preserve">  "issued_at": 1743000000,</w:t>
            </w:r>
          </w:p>
          <w:p>
            <w:pPr>
              <w:spacing w:before="0" w:after="0"/>
            </w:pPr>
            <w:r>
              <w:rPr>
                <w:rFonts w:ascii="Courier New" w:cs="Courier New" w:eastAsia="Courier New" w:hAnsi="Courier New"/>
                <w:color w:val="D4D4D4"/>
                <w:sz w:val="17"/>
                <w:szCs w:val="17"/>
              </w:rPr>
              <w:t xml:space="preserve">  "valid_from": 1743000000,</w:t>
            </w:r>
          </w:p>
          <w:p>
            <w:pPr>
              <w:spacing w:before="0" w:after="0"/>
            </w:pPr>
            <w:r>
              <w:rPr>
                <w:rFonts w:ascii="Courier New" w:cs="Courier New" w:eastAsia="Courier New" w:hAnsi="Courier New"/>
                <w:color w:val="D4D4D4"/>
                <w:sz w:val="17"/>
                <w:szCs w:val="17"/>
              </w:rPr>
              <w:t xml:space="preserve">  "expires_at": 1774536000,</w:t>
            </w:r>
          </w:p>
          <w:p>
            <w:pPr>
              <w:spacing w:before="0" w:after="0"/>
            </w:pPr>
            <w:r>
              <w:rPr>
                <w:rFonts w:ascii="Courier New" w:cs="Courier New" w:eastAsia="Courier New" w:hAnsi="Courier New"/>
                <w:color w:val="D4D4D4"/>
                <w:sz w:val="17"/>
                <w:szCs w:val="17"/>
              </w:rPr>
              <w:t xml:space="preserve">  "issuer": "https://orchestrator.thedpg.com",</w:t>
            </w:r>
          </w:p>
          <w:p>
            <w:pPr>
              <w:spacing w:before="0" w:after="0"/>
            </w:pPr>
            <w:r>
              <w:rPr>
                <w:rFonts w:ascii="Courier New" w:cs="Courier New" w:eastAsia="Courier New" w:hAnsi="Courier New"/>
                <w:color w:val="D4D4D4"/>
                <w:sz w:val="17"/>
                <w:szCs w:val="17"/>
              </w:rPr>
              <w:t xml:space="preserve">  "subject_id": "dataset:patient-cohort-2026-03",</w:t>
            </w:r>
          </w:p>
          <w:p>
            <w:pPr>
              <w:spacing w:before="0" w:after="0"/>
            </w:pPr>
            <w:r>
              <w:rPr>
                <w:rFonts w:ascii="Courier New" w:cs="Courier New" w:eastAsia="Courier New" w:hAnsi="Courier New"/>
                <w:color w:val="D4D4D4"/>
                <w:sz w:val="17"/>
                <w:szCs w:val="17"/>
              </w:rPr>
              <w:t xml:space="preserve">  "subject_type": "ai_interaction",</w:t>
            </w:r>
          </w:p>
          <w:p>
            <w:pPr>
              <w:spacing w:before="0" w:after="0"/>
            </w:pPr>
            <w:r>
              <w:rPr>
                <w:rFonts w:ascii="Courier New" w:cs="Courier New" w:eastAsia="Courier New" w:hAnsi="Courier New"/>
                <w:color w:val="D4D4D4"/>
                <w:sz w:val="17"/>
                <w:szCs w:val="17"/>
              </w:rPr>
              <w:t xml:space="preserve">  "data_origin": "GB",</w:t>
            </w:r>
          </w:p>
          <w:p>
            <w:pPr>
              <w:spacing w:before="0" w:after="0"/>
            </w:pPr>
            <w:r>
              <w:rPr>
                <w:rFonts w:ascii="Courier New" w:cs="Courier New" w:eastAsia="Courier New" w:hAnsi="Courier New"/>
                <w:color w:val="D4D4D4"/>
                <w:sz w:val="17"/>
                <w:szCs w:val="17"/>
              </w:rPr>
              <w:t xml:space="preserve">  "data_categories": ["health", "special_category"],</w:t>
            </w:r>
          </w:p>
          <w:p>
            <w:pPr>
              <w:spacing w:before="0" w:after="0"/>
            </w:pPr>
            <w:r>
              <w:rPr>
                <w:rFonts w:ascii="Courier New" w:cs="Courier New" w:eastAsia="Courier New" w:hAnsi="Courier New"/>
                <w:color w:val="D4D4D4"/>
                <w:sz w:val="17"/>
                <w:szCs w:val="17"/>
              </w:rPr>
              <w:t xml:space="preserve">  "lawful_basis": {</w:t>
            </w:r>
          </w:p>
          <w:p>
            <w:pPr>
              <w:spacing w:before="0" w:after="0"/>
            </w:pPr>
            <w:r>
              <w:rPr>
                <w:rFonts w:ascii="Courier New" w:cs="Courier New" w:eastAsia="Courier New" w:hAnsi="Courier New"/>
                <w:color w:val="D4D4D4"/>
                <w:sz w:val="17"/>
                <w:szCs w:val="17"/>
              </w:rPr>
              <w:t xml:space="preserve">    "bases": ["consent"],</w:t>
            </w:r>
          </w:p>
          <w:p>
            <w:pPr>
              <w:spacing w:before="0" w:after="0"/>
            </w:pPr>
            <w:r>
              <w:rPr>
                <w:rFonts w:ascii="Courier New" w:cs="Courier New" w:eastAsia="Courier New" w:hAnsi="Courier New"/>
                <w:color w:val="D4D4D4"/>
                <w:sz w:val="17"/>
                <w:szCs w:val="17"/>
              </w:rPr>
              <w:t xml:space="preserve">    "framework": "UK_GDPR"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"allowed_purposes": ["clinical_analytics", "treatment_support"],</w:t>
            </w:r>
          </w:p>
          <w:p>
            <w:pPr>
              <w:spacing w:before="0" w:after="0"/>
            </w:pPr>
            <w:r>
              <w:rPr>
                <w:rFonts w:ascii="Courier New" w:cs="Courier New" w:eastAsia="Courier New" w:hAnsi="Courier New"/>
                <w:color w:val="D4D4D4"/>
                <w:sz w:val="17"/>
                <w:szCs w:val="17"/>
              </w:rPr>
              <w:t xml:space="preserve">  "consent_status": true,</w:t>
            </w:r>
          </w:p>
          <w:p>
            <w:pPr>
              <w:spacing w:before="0" w:after="0"/>
            </w:pPr>
            <w:r>
              <w:rPr>
                <w:rFonts w:ascii="Courier New" w:cs="Courier New" w:eastAsia="Courier New" w:hAnsi="Courier New"/>
                <w:color w:val="D4D4D4"/>
                <w:sz w:val="17"/>
                <w:szCs w:val="17"/>
              </w:rPr>
              <w:t xml:space="preserve">  "consent_scope": ["clinical_analytics", "treatment_support"],</w:t>
            </w:r>
          </w:p>
          <w:p>
            <w:pPr>
              <w:spacing w:before="0" w:after="0"/>
            </w:pPr>
            <w:r>
              <w:rPr>
                <w:rFonts w:ascii="Courier New" w:cs="Courier New" w:eastAsia="Courier New" w:hAnsi="Courier New"/>
                <w:color w:val="D4D4D4"/>
                <w:sz w:val="17"/>
                <w:szCs w:val="17"/>
              </w:rPr>
              <w:t xml:space="preserve">  "jurisdiction_rules": {</w:t>
            </w:r>
          </w:p>
          <w:p>
            <w:pPr>
              <w:spacing w:before="0" w:after="0"/>
            </w:pPr>
            <w:r>
              <w:rPr>
                <w:rFonts w:ascii="Courier New" w:cs="Courier New" w:eastAsia="Courier New" w:hAnsi="Courier New"/>
                <w:color w:val="D4D4D4"/>
                <w:sz w:val="17"/>
                <w:szCs w:val="17"/>
              </w:rPr>
              <w:t xml:space="preserve">    "permitted_regions": ["GB"],</w:t>
            </w:r>
          </w:p>
          <w:p>
            <w:pPr>
              <w:spacing w:before="0" w:after="0"/>
            </w:pPr>
            <w:r>
              <w:rPr>
                <w:rFonts w:ascii="Courier New" w:cs="Courier New" w:eastAsia="Courier New" w:hAnsi="Courier New"/>
                <w:color w:val="D4D4D4"/>
                <w:sz w:val="17"/>
                <w:szCs w:val="17"/>
              </w:rPr>
              <w:t xml:space="preserve">    "residency_required":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"ai_context": {</w:t>
            </w:r>
          </w:p>
          <w:p>
            <w:pPr>
              <w:spacing w:before="0" w:after="0"/>
            </w:pPr>
            <w:r>
              <w:rPr>
                <w:rFonts w:ascii="Courier New" w:cs="Courier New" w:eastAsia="Courier New" w:hAnsi="Courier New"/>
                <w:color w:val="D4D4D4"/>
                <w:sz w:val="17"/>
                <w:szCs w:val="17"/>
              </w:rPr>
              <w:t xml:space="preserve">    "model_id": "medai-v2-uk",</w:t>
            </w:r>
          </w:p>
          <w:p>
            <w:pPr>
              <w:spacing w:before="0" w:after="0"/>
            </w:pPr>
            <w:r>
              <w:rPr>
                <w:rFonts w:ascii="Courier New" w:cs="Courier New" w:eastAsia="Courier New" w:hAnsi="Courier New"/>
                <w:color w:val="D4D4D4"/>
                <w:sz w:val="17"/>
                <w:szCs w:val="17"/>
              </w:rPr>
              <w:t xml:space="preserve">    "model_region": "GB",</w:t>
            </w:r>
          </w:p>
          <w:p>
            <w:pPr>
              <w:spacing w:before="0" w:after="0"/>
            </w:pPr>
            <w:r>
              <w:rPr>
                <w:rFonts w:ascii="Courier New" w:cs="Courier New" w:eastAsia="Courier New" w:hAnsi="Courier New"/>
                <w:color w:val="D4D4D4"/>
                <w:sz w:val="17"/>
                <w:szCs w:val="17"/>
              </w:rPr>
              <w:t xml:space="preserve">    "risk_tier": "high",</w:t>
            </w:r>
          </w:p>
          <w:p>
            <w:pPr>
              <w:spacing w:before="0" w:after="0"/>
            </w:pPr>
            <w:r>
              <w:rPr>
                <w:rFonts w:ascii="Courier New" w:cs="Courier New" w:eastAsia="Courier New" w:hAnsi="Courier New"/>
                <w:color w:val="D4D4D4"/>
                <w:sz w:val="17"/>
                <w:szCs w:val="17"/>
              </w:rPr>
              <w:t xml:space="preserve">    "prohibited_use_check": true,</w:t>
            </w:r>
          </w:p>
          <w:p>
            <w:pPr>
              <w:spacing w:before="0" w:after="0"/>
            </w:pPr>
            <w:r>
              <w:rPr>
                <w:rFonts w:ascii="Courier New" w:cs="Courier New" w:eastAsia="Courier New" w:hAnsi="Courier New"/>
                <w:color w:val="D4D4D4"/>
                <w:sz w:val="17"/>
                <w:szCs w:val="17"/>
              </w:rPr>
              <w:t xml:space="preserve">    "human_oversight_required":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Expected decision</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ALLOW — all checks pass. Model region (GB) matches permitted_regions. Requested purpose (clinical_analytics) is in allowed_purposes. Consent is true and covers the purpose. Risk tier is high but prohibited_use_check is true and human_oversight_required is noted in the audit record.</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9.2  Scenario 2 — Blocked: UK clinical data routed to US model</w:t>
      </w:r>
    </w:p>
    <w:p>
      <w:pPr>
        <w:spacing w:before="80" w:after="120" w:line="300"/>
        <w:jc w:val="left"/>
      </w:pPr>
      <w:r>
        <w:rPr>
          <w:rFonts w:ascii="Arial" w:cs="Arial" w:eastAsia="Arial" w:hAnsi="Arial"/>
          <w:color w:val="444444"/>
          <w:sz w:val="22"/>
          <w:szCs w:val="22"/>
        </w:rPr>
        <w:t xml:space="preserve">The same dataset is requested for processing by a US-hosted model.</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  (same PCT as Scenario 1)</w:t>
            </w:r>
          </w:p>
          <w:p>
            <w:pPr>
              <w:spacing w:before="0" w:after="0"/>
            </w:pPr>
            <w:r>
              <w:rPr>
                <w:rFonts w:ascii="Courier New" w:cs="Courier New" w:eastAsia="Courier New" w:hAnsi="Courier New"/>
                <w:color w:val="D4D4D4"/>
                <w:sz w:val="17"/>
                <w:szCs w:val="17"/>
              </w:rPr>
              <w:t xml:space="preserve">  "ai_context": {</w:t>
            </w:r>
          </w:p>
          <w:p>
            <w:pPr>
              <w:spacing w:before="0" w:after="0"/>
            </w:pPr>
            <w:r>
              <w:rPr>
                <w:rFonts w:ascii="Courier New" w:cs="Courier New" w:eastAsia="Courier New" w:hAnsi="Courier New"/>
                <w:color w:val="D4D4D4"/>
                <w:sz w:val="17"/>
                <w:szCs w:val="17"/>
              </w:rPr>
              <w:t xml:space="preserve">    "model_id": "us-general-llm-v3",</w:t>
            </w:r>
          </w:p>
          <w:p>
            <w:pPr>
              <w:spacing w:before="0" w:after="0"/>
            </w:pPr>
            <w:r>
              <w:rPr>
                <w:rFonts w:ascii="Courier New" w:cs="Courier New" w:eastAsia="Courier New" w:hAnsi="Courier New"/>
                <w:color w:val="D4D4D4"/>
                <w:sz w:val="17"/>
                <w:szCs w:val="17"/>
              </w:rPr>
              <w:t xml:space="preserve">    "model_region": "US",</w:t>
            </w:r>
          </w:p>
          <w:p>
            <w:pPr>
              <w:spacing w:before="0" w:after="0"/>
            </w:pPr>
            <w:r>
              <w:rPr>
                <w:rFonts w:ascii="Courier New" w:cs="Courier New" w:eastAsia="Courier New" w:hAnsi="Courier New"/>
                <w:color w:val="D4D4D4"/>
                <w:sz w:val="17"/>
                <w:szCs w:val="17"/>
              </w:rPr>
              <w:t xml:space="preserve">    "risk_tier": "high",</w:t>
            </w:r>
          </w:p>
          <w:p>
            <w:pPr>
              <w:spacing w:before="0" w:after="0"/>
            </w:pPr>
            <w:r>
              <w:rPr>
                <w:rFonts w:ascii="Courier New" w:cs="Courier New" w:eastAsia="Courier New" w:hAnsi="Courier New"/>
                <w:color w:val="D4D4D4"/>
                <w:sz w:val="17"/>
                <w:szCs w:val="17"/>
              </w:rPr>
              <w:t xml:space="preserve">    "prohibited_use_check":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Expected decision</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BLOCK — jurisdiction check fails. model_region (US) is not in permitted_regions ([GB]) and residency_required is true. The action is blocked before processing occurs. Audit record is generated with check_name: jurisdiction_check, result: fail.</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9.3  Scenario 3 — Blocked: purpose not in claims</w:t>
      </w:r>
    </w:p>
    <w:p>
      <w:pPr>
        <w:spacing w:before="80" w:after="120" w:line="300"/>
        <w:jc w:val="left"/>
      </w:pPr>
      <w:r>
        <w:rPr>
          <w:rFonts w:ascii="Arial" w:cs="Arial" w:eastAsia="Arial" w:hAnsi="Arial"/>
          <w:color w:val="444444"/>
          <w:sz w:val="22"/>
          <w:szCs w:val="22"/>
        </w:rPr>
        <w:t xml:space="preserve">The dataset is requested for a commercial research purpose not covered by the consent or the allowed_purposes list.</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D4D4D4"/>
                <w:sz w:val="17"/>
                <w:szCs w:val="17"/>
              </w:rPr>
              <w:t xml:space="preserve">Verification request:</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"requested_action": "ai_call",</w:t>
            </w:r>
          </w:p>
          <w:p>
            <w:pPr>
              <w:spacing w:before="0" w:after="0"/>
            </w:pPr>
            <w:r>
              <w:rPr>
                <w:rFonts w:ascii="Courier New" w:cs="Courier New" w:eastAsia="Courier New" w:hAnsi="Courier New"/>
                <w:color w:val="D4D4D4"/>
                <w:sz w:val="17"/>
                <w:szCs w:val="17"/>
              </w:rPr>
              <w:t xml:space="preserve">  "requested_purpose": "commercial_research",</w:t>
            </w:r>
          </w:p>
          <w:p>
            <w:pPr>
              <w:spacing w:before="0" w:after="0"/>
            </w:pPr>
            <w:r>
              <w:rPr>
                <w:rFonts w:ascii="Courier New" w:cs="Courier New" w:eastAsia="Courier New" w:hAnsi="Courier New"/>
                <w:color w:val="D4D4D4"/>
                <w:sz w:val="17"/>
                <w:szCs w:val="17"/>
              </w:rPr>
              <w:t xml:space="preserve">  "processing_region": "GB"</w:t>
            </w:r>
          </w:p>
          <w:p>
            <w:pPr>
              <w:spacing w:before="0" w:after="0"/>
            </w:pPr>
            <w:r>
              <w:rPr>
                <w:rFonts w:ascii="Courier New" w:cs="Courier New" w:eastAsia="Courier New" w:hAnsi="Courier New"/>
                <w:color w:val="D4D4D4"/>
                <w:sz w:val="17"/>
                <w:szCs w:val="17"/>
              </w:rPr>
              <w:t xml:space="preserv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Expected decision</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BLOCK — purpose check fails. commercial_research is not present in allowed_purposes ([clinical_analytics, treatment_support]).</w:t>
            </w:r>
          </w:p>
        </w:tc>
      </w:tr>
    </w:tbl>
    <w:p>
      <w:pPr>
        <w:spacing w:before="200" w:after="200"/>
      </w:pPr>
      <w:r>
        <w:t xml:space="preserve"/>
      </w:r>
    </w:p>
    <w:p>
      <w:pPr>
        <w:pStyle w:val="Heading2"/>
        <w:spacing w:before="300" w:after="120"/>
      </w:pPr>
      <w:r>
        <w:rPr>
          <w:rFonts w:ascii="Arial" w:cs="Arial" w:eastAsia="Arial" w:hAnsi="Arial"/>
          <w:b/>
          <w:bCs/>
          <w:color w:val="1B4F8C"/>
          <w:sz w:val="26"/>
          <w:szCs w:val="26"/>
        </w:rPr>
        <w:t xml:space="preserve">9.4  Scenario 4 — Clinical trial data, multiple simultaneous failures</w:t>
      </w:r>
    </w:p>
    <w:p>
      <w:pPr>
        <w:spacing w:before="80" w:after="120" w:line="300"/>
        <w:jc w:val="left"/>
      </w:pPr>
      <w:r>
        <w:rPr>
          <w:rFonts w:ascii="Arial" w:cs="Arial" w:eastAsia="Arial" w:hAnsi="Arial"/>
          <w:color w:val="444444"/>
          <w:sz w:val="22"/>
          <w:szCs w:val="22"/>
        </w:rPr>
        <w:t xml:space="preserve">Clinical trial data is requested for processing by an overseas AI system for a purpose outside the trial protocol, with no valid consent for the requested scope.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"pct_id": "a1b2c3d4-5678-4abc-9012-000000000004",</w:t>
            </w:r>
          </w:p>
          <w:p>
            <w:pPr>
              <w:spacing w:before="0" w:after="0"/>
            </w:pPr>
            <w:r>
              <w:rPr>
                <w:rFonts w:ascii="Courier New" w:cs="Courier New" w:eastAsia="Courier New" w:hAnsi="Courier New"/>
                <w:color w:val="D4D4D4"/>
                <w:sz w:val="17"/>
                <w:szCs w:val="17"/>
              </w:rPr>
              <w:t xml:space="preserve">  "data_origin": "DE",</w:t>
            </w:r>
          </w:p>
          <w:p>
            <w:pPr>
              <w:spacing w:before="0" w:after="0"/>
            </w:pPr>
            <w:r>
              <w:rPr>
                <w:rFonts w:ascii="Courier New" w:cs="Courier New" w:eastAsia="Courier New" w:hAnsi="Courier New"/>
                <w:color w:val="D4D4D4"/>
                <w:sz w:val="17"/>
                <w:szCs w:val="17"/>
              </w:rPr>
              <w:t xml:space="preserve">  "data_categories": ["health", "genetic", "special_category"],</w:t>
            </w:r>
          </w:p>
          <w:p>
            <w:pPr>
              <w:spacing w:before="0" w:after="0"/>
            </w:pPr>
            <w:r>
              <w:rPr>
                <w:rFonts w:ascii="Courier New" w:cs="Courier New" w:eastAsia="Courier New" w:hAnsi="Courier New"/>
                <w:color w:val="D4D4D4"/>
                <w:sz w:val="17"/>
                <w:szCs w:val="17"/>
              </w:rPr>
              <w:t xml:space="preserve">  "lawful_basis": {</w:t>
            </w:r>
          </w:p>
          <w:p>
            <w:pPr>
              <w:spacing w:before="0" w:after="0"/>
            </w:pPr>
            <w:r>
              <w:rPr>
                <w:rFonts w:ascii="Courier New" w:cs="Courier New" w:eastAsia="Courier New" w:hAnsi="Courier New"/>
                <w:color w:val="D4D4D4"/>
                <w:sz w:val="17"/>
                <w:szCs w:val="17"/>
              </w:rPr>
              <w:t xml:space="preserve">    "bases": ["consent"],</w:t>
            </w:r>
          </w:p>
          <w:p>
            <w:pPr>
              <w:spacing w:before="0" w:after="0"/>
            </w:pPr>
            <w:r>
              <w:rPr>
                <w:rFonts w:ascii="Courier New" w:cs="Courier New" w:eastAsia="Courier New" w:hAnsi="Courier New"/>
                <w:color w:val="D4D4D4"/>
                <w:sz w:val="17"/>
                <w:szCs w:val="17"/>
              </w:rPr>
              <w:t xml:space="preserve">    "framework": "GDPR"</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"allowed_purposes": ["clinical_trial_protocol_A"],</w:t>
            </w:r>
          </w:p>
          <w:p>
            <w:pPr>
              <w:spacing w:before="0" w:after="0"/>
            </w:pPr>
            <w:r>
              <w:rPr>
                <w:rFonts w:ascii="Courier New" w:cs="Courier New" w:eastAsia="Courier New" w:hAnsi="Courier New"/>
                <w:color w:val="D4D4D4"/>
                <w:sz w:val="17"/>
                <w:szCs w:val="17"/>
              </w:rPr>
              <w:t xml:space="preserve">  "consent_status": true,</w:t>
            </w:r>
          </w:p>
          <w:p>
            <w:pPr>
              <w:spacing w:before="0" w:after="0"/>
            </w:pPr>
            <w:r>
              <w:rPr>
                <w:rFonts w:ascii="Courier New" w:cs="Courier New" w:eastAsia="Courier New" w:hAnsi="Courier New"/>
                <w:color w:val="D4D4D4"/>
                <w:sz w:val="17"/>
                <w:szCs w:val="17"/>
              </w:rPr>
              <w:t xml:space="preserve">  "consent_scope": ["clinical_trial_protocol_A"],</w:t>
            </w:r>
          </w:p>
          <w:p>
            <w:pPr>
              <w:spacing w:before="0" w:after="0"/>
            </w:pPr>
            <w:r>
              <w:rPr>
                <w:rFonts w:ascii="Courier New" w:cs="Courier New" w:eastAsia="Courier New" w:hAnsi="Courier New"/>
                <w:color w:val="D4D4D4"/>
                <w:sz w:val="17"/>
                <w:szCs w:val="17"/>
              </w:rPr>
              <w:t xml:space="preserve">  "jurisdiction_rules": {</w:t>
            </w:r>
          </w:p>
          <w:p>
            <w:pPr>
              <w:spacing w:before="0" w:after="0"/>
            </w:pPr>
            <w:r>
              <w:rPr>
                <w:rFonts w:ascii="Courier New" w:cs="Courier New" w:eastAsia="Courier New" w:hAnsi="Courier New"/>
                <w:color w:val="D4D4D4"/>
                <w:sz w:val="17"/>
                <w:szCs w:val="17"/>
              </w:rPr>
              <w:t xml:space="preserve">    "permitted_regions": ["DE", "FR", "NL"],</w:t>
            </w:r>
          </w:p>
          <w:p>
            <w:pPr>
              <w:spacing w:before="0" w:after="0"/>
            </w:pPr>
            <w:r>
              <w:rPr>
                <w:rFonts w:ascii="Courier New" w:cs="Courier New" w:eastAsia="Courier New" w:hAnsi="Courier New"/>
                <w:color w:val="D4D4D4"/>
                <w:sz w:val="17"/>
                <w:szCs w:val="17"/>
              </w:rPr>
              <w:t xml:space="preserve">    "residency_required":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"extensions": {</w:t>
            </w:r>
          </w:p>
          <w:p>
            <w:pPr>
              <w:spacing w:before="0" w:after="0"/>
            </w:pPr>
            <w:r>
              <w:rPr>
                <w:rFonts w:ascii="Courier New" w:cs="Courier New" w:eastAsia="Courier New" w:hAnsi="Courier New"/>
                <w:color w:val="D4D4D4"/>
                <w:sz w:val="17"/>
                <w:szCs w:val="17"/>
              </w:rPr>
              <w:t xml:space="preserve">    "x-hipaa:phi_flag": true,</w:t>
            </w:r>
          </w:p>
          <w:p>
            <w:pPr>
              <w:spacing w:before="0" w:after="0"/>
            </w:pPr>
            <w:r>
              <w:rPr>
                <w:rFonts w:ascii="Courier New" w:cs="Courier New" w:eastAsia="Courier New" w:hAnsi="Courier New"/>
                <w:color w:val="D4D4D4"/>
                <w:sz w:val="17"/>
                <w:szCs w:val="17"/>
              </w:rPr>
              <w:t xml:space="preserve">    "x-hipaa:minimum_necessary": true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Verification request:</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"requested_purpose": "secondary_commercial_research",</w:t>
            </w:r>
          </w:p>
          <w:p>
            <w:pPr>
              <w:spacing w:before="0" w:after="0"/>
            </w:pPr>
            <w:r>
              <w:rPr>
                <w:rFonts w:ascii="Courier New" w:cs="Courier New" w:eastAsia="Courier New" w:hAnsi="Courier New"/>
                <w:color w:val="D4D4D4"/>
                <w:sz w:val="17"/>
                <w:szCs w:val="17"/>
              </w:rPr>
              <w:t xml:space="preserve">  "processing_region": "US"</w:t>
            </w:r>
          </w:p>
          <w:p>
            <w:pPr>
              <w:spacing w:before="0" w:after="0"/>
            </w:pPr>
            <w:r>
              <w:rPr>
                <w:rFonts w:ascii="Courier New" w:cs="Courier New" w:eastAsia="Courier New" w:hAnsi="Courier New"/>
                <w:color w:val="D4D4D4"/>
                <w:sz w:val="17"/>
                <w:szCs w:val="17"/>
              </w:rPr>
              <w:t xml:space="preserv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r>
              <w:rPr>
                <w:rFonts w:ascii="Arial" w:cs="Arial" w:eastAsia="Arial" w:hAnsi="Arial"/>
                <w:b/>
                <w:bCs/>
                <w:color w:val="1B4F8C"/>
                <w:sz w:val="20"/>
                <w:szCs w:val="20"/>
              </w:rPr>
              <w:t xml:space="preserve">Expected decision</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BLOCK — multiple simultaneous failures: (1) purpose check: secondary_commercial_research not in allowed_purposes; (2) jurisdiction check: US not in permitted_regions; (3) consent scope check: consent does not cover secondary_commercial_research. All failures are recorded in the audit record.</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10.  Conformance</w:t>
      </w:r>
    </w:p>
    <w:p>
      <w:pPr>
        <w:pStyle w:val="Heading2"/>
        <w:spacing w:before="300" w:after="120"/>
      </w:pPr>
      <w:r>
        <w:rPr>
          <w:rFonts w:ascii="Arial" w:cs="Arial" w:eastAsia="Arial" w:hAnsi="Arial"/>
          <w:b/>
          <w:bCs/>
          <w:color w:val="1B4F8C"/>
          <w:sz w:val="26"/>
          <w:szCs w:val="26"/>
        </w:rPr>
        <w:t xml:space="preserve">10.1  Conformance levels</w:t>
      </w:r>
    </w:p>
    <w:p>
      <w:pPr>
        <w:spacing w:before="80" w:after="120" w:line="300"/>
        <w:jc w:val="left"/>
      </w:pPr>
      <w:r>
        <w:rPr>
          <w:rFonts w:ascii="Arial" w:cs="Arial" w:eastAsia="Arial" w:hAnsi="Arial"/>
          <w:color w:val="444444"/>
          <w:sz w:val="22"/>
          <w:szCs w:val="22"/>
        </w:rPr>
        <w:t xml:space="preserve">This specification defines two conformance levels:</w:t>
      </w:r>
    </w:p>
    <w:p>
      <w:pPr>
        <w:spacing w:before="100" w:after="100"/>
      </w:pPr>
      <w:r>
        <w:t xml:space="preserve"/>
      </w:r>
    </w:p>
    <w:p>
      <w:pPr>
        <w:pStyle w:val="ListParagraph"/>
        <w:numPr>
          <w:ilvl w:val="0"/>
          <w:numId w:val="2"/>
        </w:numPr>
        <w:spacing w:before="40" w:after="40"/>
      </w:pPr>
      <w:r>
        <w:rPr>
          <w:rFonts w:ascii="Arial" w:cs="Arial" w:eastAsia="Arial" w:hAnsi="Arial"/>
          <w:color w:val="444444"/>
          <w:sz w:val="22"/>
          <w:szCs w:val="22"/>
        </w:rPr>
        <w:t xml:space="preserve">PCT Core Conformant. An implementation that correctly issues, signs, transmits, verifies, and audits PCTs in accordance with all REQUIRED fields and the lifecycle defined in Section 4. Core conformance covers Sections 1 through 8.</w:t>
      </w:r>
    </w:p>
    <w:p>
      <w:pPr>
        <w:pStyle w:val="ListParagraph"/>
        <w:numPr>
          <w:ilvl w:val="0"/>
          <w:numId w:val="2"/>
        </w:numPr>
        <w:spacing w:before="40" w:after="40"/>
      </w:pPr>
      <w:r>
        <w:rPr>
          <w:rFonts w:ascii="Arial" w:cs="Arial" w:eastAsia="Arial" w:hAnsi="Arial"/>
          <w:color w:val="444444"/>
          <w:sz w:val="22"/>
          <w:szCs w:val="22"/>
        </w:rPr>
        <w:t xml:space="preserve">PCT Extended Conformant. A core-conformant implementation that additionally implements at least one extension namespace defined in Section 5.7, exposes a conformant enforcement API as defined in Section 7, and produces audit records conformant with Section 8.</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10.2  Conformance declaration</w:t>
      </w:r>
    </w:p>
    <w:p>
      <w:pPr>
        <w:spacing w:before="80" w:after="120" w:line="300"/>
        <w:jc w:val="left"/>
      </w:pPr>
      <w:r>
        <w:rPr>
          <w:rFonts w:ascii="Arial" w:cs="Arial" w:eastAsia="Arial" w:hAnsi="Arial"/>
          <w:color w:val="444444"/>
          <w:sz w:val="22"/>
          <w:szCs w:val="22"/>
        </w:rPr>
        <w:t xml:space="preserve">Implementations claiming conformance to this specification must publicly document:</w:t>
      </w:r>
    </w:p>
    <w:p>
      <w:pPr>
        <w:pStyle w:val="ListParagraph"/>
        <w:numPr>
          <w:ilvl w:val="0"/>
          <w:numId w:val="2"/>
        </w:numPr>
        <w:spacing w:before="40" w:after="40"/>
      </w:pPr>
      <w:r>
        <w:rPr>
          <w:rFonts w:ascii="Arial" w:cs="Arial" w:eastAsia="Arial" w:hAnsi="Arial"/>
          <w:color w:val="444444"/>
          <w:sz w:val="22"/>
          <w:szCs w:val="22"/>
        </w:rPr>
        <w:t xml:space="preserve">The conformance level claimed (Core or Extended)</w:t>
      </w:r>
    </w:p>
    <w:p>
      <w:pPr>
        <w:pStyle w:val="ListParagraph"/>
        <w:numPr>
          <w:ilvl w:val="0"/>
          <w:numId w:val="2"/>
        </w:numPr>
        <w:spacing w:before="40" w:after="40"/>
      </w:pPr>
      <w:r>
        <w:rPr>
          <w:rFonts w:ascii="Arial" w:cs="Arial" w:eastAsia="Arial" w:hAnsi="Arial"/>
          <w:color w:val="444444"/>
          <w:sz w:val="22"/>
          <w:szCs w:val="22"/>
        </w:rPr>
        <w:t xml:space="preserve">The version of the specification implemented (currently 0.1)</w:t>
      </w:r>
    </w:p>
    <w:p>
      <w:pPr>
        <w:pStyle w:val="ListParagraph"/>
        <w:numPr>
          <w:ilvl w:val="0"/>
          <w:numId w:val="2"/>
        </w:numPr>
        <w:spacing w:before="40" w:after="40"/>
      </w:pPr>
      <w:r>
        <w:rPr>
          <w:rFonts w:ascii="Arial" w:cs="Arial" w:eastAsia="Arial" w:hAnsi="Arial"/>
          <w:color w:val="444444"/>
          <w:sz w:val="22"/>
          <w:szCs w:val="22"/>
        </w:rPr>
        <w:t xml:space="preserve">Any extension namespaces implemented</w:t>
      </w:r>
    </w:p>
    <w:p>
      <w:pPr>
        <w:pStyle w:val="ListParagraph"/>
        <w:numPr>
          <w:ilvl w:val="0"/>
          <w:numId w:val="2"/>
        </w:numPr>
        <w:spacing w:before="40" w:after="40"/>
      </w:pPr>
      <w:r>
        <w:rPr>
          <w:rFonts w:ascii="Arial" w:cs="Arial" w:eastAsia="Arial" w:hAnsi="Arial"/>
          <w:color w:val="444444"/>
          <w:sz w:val="22"/>
          <w:szCs w:val="22"/>
        </w:rPr>
        <w:t xml:space="preserve">Any optional fields implemented</w:t>
      </w:r>
    </w:p>
    <w:p>
      <w:pPr>
        <w:pStyle w:val="ListParagraph"/>
        <w:numPr>
          <w:ilvl w:val="0"/>
          <w:numId w:val="2"/>
        </w:numPr>
        <w:spacing w:before="40" w:after="40"/>
      </w:pPr>
      <w:r>
        <w:rPr>
          <w:rFonts w:ascii="Arial" w:cs="Arial" w:eastAsia="Arial" w:hAnsi="Arial"/>
          <w:color w:val="444444"/>
          <w:sz w:val="22"/>
          <w:szCs w:val="22"/>
        </w:rPr>
        <w:t xml:space="preserve">Any known deviations from the specification and the reasons for them</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10.3  Interoperability</w:t>
      </w:r>
    </w:p>
    <w:p>
      <w:pPr>
        <w:spacing w:before="80" w:after="120" w:line="300"/>
        <w:jc w:val="left"/>
      </w:pPr>
      <w:r>
        <w:rPr>
          <w:rFonts w:ascii="Arial" w:cs="Arial" w:eastAsia="Arial" w:hAnsi="Arial"/>
          <w:color w:val="444444"/>
          <w:sz w:val="22"/>
          <w:szCs w:val="22"/>
        </w:rPr>
        <w:t xml:space="preserve">PCT-conformant systems from different vendors must be interoperable with respect to the core schema and the compact serialisation format. A PCT issued by any conformant issuer must be verifiable by any conformant verifier, provided the verifier has access to the issuer's public key.</w:t>
      </w:r>
    </w:p>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11.  Security Considerations</w:t>
      </w:r>
    </w:p>
    <w:p>
      <w:pPr>
        <w:pStyle w:val="Heading2"/>
        <w:spacing w:before="300" w:after="120"/>
      </w:pPr>
      <w:r>
        <w:rPr>
          <w:rFonts w:ascii="Arial" w:cs="Arial" w:eastAsia="Arial" w:hAnsi="Arial"/>
          <w:b/>
          <w:bCs/>
          <w:color w:val="1B4F8C"/>
          <w:sz w:val="26"/>
          <w:szCs w:val="26"/>
        </w:rPr>
        <w:t xml:space="preserve">11.1  Claim accuracy</w:t>
      </w:r>
    </w:p>
    <w:p>
      <w:pPr>
        <w:spacing w:before="80" w:after="120" w:line="300"/>
        <w:jc w:val="left"/>
      </w:pPr>
      <w:r>
        <w:rPr>
          <w:rFonts w:ascii="Arial" w:cs="Arial" w:eastAsia="Arial" w:hAnsi="Arial"/>
          <w:color w:val="444444"/>
          <w:sz w:val="22"/>
          <w:szCs w:val="22"/>
        </w:rPr>
        <w:t xml:space="preserve">The PCT mechanism provides cryptographic assurance that claims have not been tampered with since issuance. It does not provide assurance that claims were accurate at the time of issuance. Issuers must implement governance processes — including integration with authoritative consent management systems, policy platforms, and data catalogues — to ensure that claims accurately reflect reality at the time of issuance.</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11.2  Key compromise</w:t>
      </w:r>
    </w:p>
    <w:p>
      <w:pPr>
        <w:spacing w:before="80" w:after="120" w:line="300"/>
        <w:jc w:val="left"/>
      </w:pPr>
      <w:r>
        <w:rPr>
          <w:rFonts w:ascii="Arial" w:cs="Arial" w:eastAsia="Arial" w:hAnsi="Arial"/>
          <w:color w:val="444444"/>
          <w:sz w:val="22"/>
          <w:szCs w:val="22"/>
        </w:rPr>
        <w:t xml:space="preserve">If an issuer's private signing key is compromised, all PCTs signed with that key must be considered potentially fraudulent. Issuers must maintain a key revocation mechanism and must notify relying verifiers of key compromise without delay. Verifiers must check key revocation status before accepting PCTs from issuers whose key status is uncertain.</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11.3  Replay attacks</w:t>
      </w:r>
    </w:p>
    <w:p>
      <w:pPr>
        <w:spacing w:before="80" w:after="120" w:line="300"/>
        <w:jc w:val="left"/>
      </w:pPr>
      <w:r>
        <w:rPr>
          <w:rFonts w:ascii="Arial" w:cs="Arial" w:eastAsia="Arial" w:hAnsi="Arial"/>
          <w:color w:val="444444"/>
          <w:sz w:val="22"/>
          <w:szCs w:val="22"/>
        </w:rPr>
        <w:t xml:space="preserve">A PCT that has been captured in transit could be replayed to authorise an action for which the PCT was not originally intended. Implementations should mitigate replay risk by binding the PCT to a specific request using the request_id and request_timestamp fields in the verification request, and by setting expires_at values appropriate to the sensitivity of the data.</w:t>
      </w:r>
    </w:p>
    <w:p>
      <w:pPr>
        <w:spacing w:before="200" w:after="200"/>
      </w:pPr>
      <w:r>
        <w:t xml:space="preserve"/>
      </w:r>
    </w:p>
    <w:p>
      <w:pPr>
        <w:pStyle w:val="Heading2"/>
        <w:spacing w:before="300" w:after="120"/>
      </w:pPr>
      <w:r>
        <w:rPr>
          <w:rFonts w:ascii="Arial" w:cs="Arial" w:eastAsia="Arial" w:hAnsi="Arial"/>
          <w:b/>
          <w:bCs/>
          <w:color w:val="1B4F8C"/>
          <w:sz w:val="26"/>
          <w:szCs w:val="26"/>
        </w:rPr>
        <w:t xml:space="preserve">11.4  Consent withdrawal</w:t>
      </w:r>
    </w:p>
    <w:p>
      <w:pPr>
        <w:spacing w:before="80" w:after="120" w:line="300"/>
        <w:jc w:val="left"/>
      </w:pPr>
      <w:r>
        <w:rPr>
          <w:rFonts w:ascii="Arial" w:cs="Arial" w:eastAsia="Arial" w:hAnsi="Arial"/>
          <w:color w:val="444444"/>
          <w:sz w:val="22"/>
          <w:szCs w:val="22"/>
        </w:rPr>
        <w:t xml:space="preserve">Where the lawful basis is consent, a PCT issued on the basis of consent becomes invalid if that consent is subsequently withdrawn. PCT lifecycles should be configured with expiry periods short enough that revoked consent is not honoured by stale tokens. For high-sensitivity processing, implementations should implement a consent status check against the live consent record at verification time using the consent_record_ref field.</w:t>
      </w:r>
    </w:p>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Appendix A — Full PCT JSON Schema</w:t>
      </w:r>
    </w:p>
    <w:p>
      <w:pPr>
        <w:spacing w:before="80" w:after="120" w:line="300"/>
        <w:jc w:val="left"/>
      </w:pPr>
      <w:r>
        <w:rPr>
          <w:rFonts w:ascii="Arial" w:cs="Arial" w:eastAsia="Arial" w:hAnsi="Arial"/>
          <w:color w:val="444444"/>
          <w:sz w:val="22"/>
          <w:szCs w:val="22"/>
        </w:rPr>
        <w:t xml:space="preserve">The following JSON Schema (Draft 2020-12) defines the complete structure of a PCT payload. Implementations may use this schema for validation.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"$schema": "https://json-schema.org/draft/2020-12/schema",</w:t>
            </w:r>
          </w:p>
          <w:p>
            <w:pPr>
              <w:spacing w:before="0" w:after="0"/>
            </w:pPr>
            <w:r>
              <w:rPr>
                <w:rFonts w:ascii="Courier New" w:cs="Courier New" w:eastAsia="Courier New" w:hAnsi="Courier New"/>
                <w:color w:val="D4D4D4"/>
                <w:sz w:val="17"/>
                <w:szCs w:val="17"/>
              </w:rPr>
              <w:t xml:space="preserve">  "$id": "https://pct.thedpg.com/schema/0.1/pct.json",</w:t>
            </w:r>
          </w:p>
          <w:p>
            <w:pPr>
              <w:spacing w:before="0" w:after="0"/>
            </w:pPr>
            <w:r>
              <w:rPr>
                <w:rFonts w:ascii="Courier New" w:cs="Courier New" w:eastAsia="Courier New" w:hAnsi="Courier New"/>
                <w:color w:val="D4D4D4"/>
                <w:sz w:val="17"/>
                <w:szCs w:val="17"/>
              </w:rPr>
              <w:t xml:space="preserve">  "title": "Privacy Claims Token",</w:t>
            </w:r>
          </w:p>
          <w:p>
            <w:pPr>
              <w:spacing w:before="0" w:after="0"/>
            </w:pPr>
            <w:r>
              <w:rPr>
                <w:rFonts w:ascii="Courier New" w:cs="Courier New" w:eastAsia="Courier New" w:hAnsi="Courier New"/>
                <w:color w:val="D4D4D4"/>
                <w:sz w:val="17"/>
                <w:szCs w:val="17"/>
              </w:rPr>
              <w:t xml:space="preserve">  "type": "object",</w:t>
            </w:r>
          </w:p>
          <w:p>
            <w:pPr>
              <w:spacing w:before="0" w:after="0"/>
            </w:pPr>
            <w:r>
              <w:rPr>
                <w:rFonts w:ascii="Courier New" w:cs="Courier New" w:eastAsia="Courier New" w:hAnsi="Courier New"/>
                <w:color w:val="D4D4D4"/>
                <w:sz w:val="17"/>
                <w:szCs w:val="17"/>
              </w:rPr>
              <w:t xml:space="preserve">  "required": ["pct_id", "issued_at", "valid_from", "expires_at",</w:t>
            </w:r>
          </w:p>
          <w:p>
            <w:pPr>
              <w:spacing w:before="0" w:after="0"/>
            </w:pPr>
            <w:r>
              <w:rPr>
                <w:rFonts w:ascii="Courier New" w:cs="Courier New" w:eastAsia="Courier New" w:hAnsi="Courier New"/>
                <w:color w:val="D4D4D4"/>
                <w:sz w:val="17"/>
                <w:szCs w:val="17"/>
              </w:rPr>
              <w:t xml:space="preserve">                "issuer", "subject_id", "subject_type", "data_origin",</w:t>
            </w:r>
          </w:p>
          <w:p>
            <w:pPr>
              <w:spacing w:before="0" w:after="0"/>
            </w:pPr>
            <w:r>
              <w:rPr>
                <w:rFonts w:ascii="Courier New" w:cs="Courier New" w:eastAsia="Courier New" w:hAnsi="Courier New"/>
                <w:color w:val="D4D4D4"/>
                <w:sz w:val="17"/>
                <w:szCs w:val="17"/>
              </w:rPr>
              <w:t xml:space="preserve">                "data_categories", "lawful_basis", "allowed_purposes",</w:t>
            </w:r>
          </w:p>
          <w:p>
            <w:pPr>
              <w:spacing w:before="0" w:after="0"/>
            </w:pPr>
            <w:r>
              <w:rPr>
                <w:rFonts w:ascii="Courier New" w:cs="Courier New" w:eastAsia="Courier New" w:hAnsi="Courier New"/>
                <w:color w:val="D4D4D4"/>
                <w:sz w:val="17"/>
                <w:szCs w:val="17"/>
              </w:rPr>
              <w:t xml:space="preserve">                "jurisdiction_rules"],</w:t>
            </w:r>
          </w:p>
          <w:p>
            <w:pPr>
              <w:spacing w:before="0" w:after="0"/>
            </w:pPr>
            <w:r>
              <w:rPr>
                <w:rFonts w:ascii="Courier New" w:cs="Courier New" w:eastAsia="Courier New" w:hAnsi="Courier New"/>
                <w:color w:val="D4D4D4"/>
                <w:sz w:val="17"/>
                <w:szCs w:val="17"/>
              </w:rPr>
              <w:t xml:space="preserve">  "properties": {</w:t>
            </w:r>
          </w:p>
          <w:p>
            <w:pPr>
              <w:spacing w:before="0" w:after="0"/>
            </w:pPr>
            <w:r>
              <w:rPr>
                <w:rFonts w:ascii="Courier New" w:cs="Courier New" w:eastAsia="Courier New" w:hAnsi="Courier New"/>
                <w:color w:val="D4D4D4"/>
                <w:sz w:val="17"/>
                <w:szCs w:val="17"/>
              </w:rPr>
              <w:t xml:space="preserve">    "pct_id":          { "type": "string", "format": "uuid" },</w:t>
            </w:r>
          </w:p>
          <w:p>
            <w:pPr>
              <w:spacing w:before="0" w:after="0"/>
            </w:pPr>
            <w:r>
              <w:rPr>
                <w:rFonts w:ascii="Courier New" w:cs="Courier New" w:eastAsia="Courier New" w:hAnsi="Courier New"/>
                <w:color w:val="D4D4D4"/>
                <w:sz w:val="17"/>
                <w:szCs w:val="17"/>
              </w:rPr>
              <w:t xml:space="preserve">    "issued_at":       { "type": "integer" },</w:t>
            </w:r>
          </w:p>
          <w:p>
            <w:pPr>
              <w:spacing w:before="0" w:after="0"/>
            </w:pPr>
            <w:r>
              <w:rPr>
                <w:rFonts w:ascii="Courier New" w:cs="Courier New" w:eastAsia="Courier New" w:hAnsi="Courier New"/>
                <w:color w:val="D4D4D4"/>
                <w:sz w:val="17"/>
                <w:szCs w:val="17"/>
              </w:rPr>
              <w:t xml:space="preserve">    "valid_from":      { "type": "integer" },</w:t>
            </w:r>
          </w:p>
          <w:p>
            <w:pPr>
              <w:spacing w:before="0" w:after="0"/>
            </w:pPr>
            <w:r>
              <w:rPr>
                <w:rFonts w:ascii="Courier New" w:cs="Courier New" w:eastAsia="Courier New" w:hAnsi="Courier New"/>
                <w:color w:val="D4D4D4"/>
                <w:sz w:val="17"/>
                <w:szCs w:val="17"/>
              </w:rPr>
              <w:t xml:space="preserve">    "expires_at":      { "type": "integer" },</w:t>
            </w:r>
          </w:p>
          <w:p>
            <w:pPr>
              <w:spacing w:before="0" w:after="0"/>
            </w:pPr>
            <w:r>
              <w:rPr>
                <w:rFonts w:ascii="Courier New" w:cs="Courier New" w:eastAsia="Courier New" w:hAnsi="Courier New"/>
                <w:color w:val="D4D4D4"/>
                <w:sz w:val="17"/>
                <w:szCs w:val="17"/>
              </w:rPr>
              <w:t xml:space="preserve">    "issuer":          { "type": "string", "format": "uri" },</w:t>
            </w:r>
          </w:p>
          <w:p>
            <w:pPr>
              <w:spacing w:before="0" w:after="0"/>
            </w:pPr>
            <w:r>
              <w:rPr>
                <w:rFonts w:ascii="Courier New" w:cs="Courier New" w:eastAsia="Courier New" w:hAnsi="Courier New"/>
                <w:color w:val="D4D4D4"/>
                <w:sz w:val="17"/>
                <w:szCs w:val="17"/>
              </w:rPr>
              <w:t xml:space="preserve">    "subject_id":      { "type": "string" },</w:t>
            </w:r>
          </w:p>
          <w:p>
            <w:pPr>
              <w:spacing w:before="0" w:after="0"/>
            </w:pPr>
            <w:r>
              <w:rPr>
                <w:rFonts w:ascii="Courier New" w:cs="Courier New" w:eastAsia="Courier New" w:hAnsi="Courier New"/>
                <w:color w:val="D4D4D4"/>
                <w:sz w:val="17"/>
                <w:szCs w:val="17"/>
              </w:rPr>
              <w:t xml:space="preserve">    "subject_type":    { "type": "string",</w:t>
            </w:r>
          </w:p>
          <w:p>
            <w:pPr>
              <w:spacing w:before="0" w:after="0"/>
            </w:pPr>
            <w:r>
              <w:rPr>
                <w:rFonts w:ascii="Courier New" w:cs="Courier New" w:eastAsia="Courier New" w:hAnsi="Courier New"/>
                <w:color w:val="D4D4D4"/>
                <w:sz w:val="17"/>
                <w:szCs w:val="17"/>
              </w:rPr>
              <w:t xml:space="preserve">                         "enum": ["dataset", "data_flow", "api_request",</w:t>
            </w:r>
          </w:p>
          <w:p>
            <w:pPr>
              <w:spacing w:before="0" w:after="0"/>
            </w:pPr>
            <w:r>
              <w:rPr>
                <w:rFonts w:ascii="Courier New" w:cs="Courier New" w:eastAsia="Courier New" w:hAnsi="Courier New"/>
                <w:color w:val="D4D4D4"/>
                <w:sz w:val="17"/>
                <w:szCs w:val="17"/>
              </w:rPr>
              <w:t xml:space="preserve">                                  "ai_interaction", "transfer"] },</w:t>
            </w:r>
          </w:p>
          <w:p>
            <w:pPr>
              <w:spacing w:before="0" w:after="0"/>
            </w:pPr>
            <w:r>
              <w:rPr>
                <w:rFonts w:ascii="Courier New" w:cs="Courier New" w:eastAsia="Courier New" w:hAnsi="Courier New"/>
                <w:color w:val="D4D4D4"/>
                <w:sz w:val="17"/>
                <w:szCs w:val="17"/>
              </w:rPr>
              <w:t xml:space="preserve">    "data_origin":     { "type": "string", "pattern": "^[A-Z]{2}$" },</w:t>
            </w:r>
          </w:p>
          <w:p>
            <w:pPr>
              <w:spacing w:before="0" w:after="0"/>
            </w:pPr>
            <w:r>
              <w:rPr>
                <w:rFonts w:ascii="Courier New" w:cs="Courier New" w:eastAsia="Courier New" w:hAnsi="Courier New"/>
                <w:color w:val="D4D4D4"/>
                <w:sz w:val="17"/>
                <w:szCs w:val="17"/>
              </w:rPr>
              <w:t xml:space="preserve">    "data_categories": { "type": "array", "items": { "type": "string" },</w:t>
            </w:r>
          </w:p>
          <w:p>
            <w:pPr>
              <w:spacing w:before="0" w:after="0"/>
            </w:pPr>
            <w:r>
              <w:rPr>
                <w:rFonts w:ascii="Courier New" w:cs="Courier New" w:eastAsia="Courier New" w:hAnsi="Courier New"/>
                <w:color w:val="D4D4D4"/>
                <w:sz w:val="17"/>
                <w:szCs w:val="17"/>
              </w:rPr>
              <w:t xml:space="preserve">                         "minItems": 1 },</w:t>
            </w:r>
          </w:p>
          <w:p>
            <w:pPr>
              <w:spacing w:before="0" w:after="0"/>
            </w:pPr>
            <w:r>
              <w:rPr>
                <w:rFonts w:ascii="Courier New" w:cs="Courier New" w:eastAsia="Courier New" w:hAnsi="Courier New"/>
                <w:color w:val="D4D4D4"/>
                <w:sz w:val="17"/>
                <w:szCs w:val="17"/>
              </w:rPr>
              <w:t xml:space="preserve">    "lawful_basis":    { "type": "object",</w:t>
            </w:r>
          </w:p>
          <w:p>
            <w:pPr>
              <w:spacing w:before="0" w:after="0"/>
            </w:pPr>
            <w:r>
              <w:rPr>
                <w:rFonts w:ascii="Courier New" w:cs="Courier New" w:eastAsia="Courier New" w:hAnsi="Courier New"/>
                <w:color w:val="D4D4D4"/>
                <w:sz w:val="17"/>
                <w:szCs w:val="17"/>
              </w:rPr>
              <w:t xml:space="preserve">                         "required": ["bases"],</w:t>
            </w:r>
          </w:p>
          <w:p>
            <w:pPr>
              <w:spacing w:before="0" w:after="0"/>
            </w:pPr>
            <w:r>
              <w:rPr>
                <w:rFonts w:ascii="Courier New" w:cs="Courier New" w:eastAsia="Courier New" w:hAnsi="Courier New"/>
                <w:color w:val="D4D4D4"/>
                <w:sz w:val="17"/>
                <w:szCs w:val="17"/>
              </w:rPr>
              <w:t xml:space="preserve">                         "properties": {</w:t>
            </w:r>
          </w:p>
          <w:p>
            <w:pPr>
              <w:spacing w:before="0" w:after="0"/>
            </w:pPr>
            <w:r>
              <w:rPr>
                <w:rFonts w:ascii="Courier New" w:cs="Courier New" w:eastAsia="Courier New" w:hAnsi="Courier New"/>
                <w:color w:val="D4D4D4"/>
                <w:sz w:val="17"/>
                <w:szCs w:val="17"/>
              </w:rPr>
              <w:t xml:space="preserve">                           "bases": { "type": "array",</w:t>
            </w:r>
          </w:p>
          <w:p>
            <w:pPr>
              <w:spacing w:before="0" w:after="0"/>
            </w:pPr>
            <w:r>
              <w:rPr>
                <w:rFonts w:ascii="Courier New" w:cs="Courier New" w:eastAsia="Courier New" w:hAnsi="Courier New"/>
                <w:color w:val="D4D4D4"/>
                <w:sz w:val="17"/>
                <w:szCs w:val="17"/>
              </w:rPr>
              <w:t xml:space="preserve">                                       "items": { "type": "string" } },</w:t>
            </w:r>
          </w:p>
          <w:p>
            <w:pPr>
              <w:spacing w:before="0" w:after="0"/>
            </w:pPr>
            <w:r>
              <w:rPr>
                <w:rFonts w:ascii="Courier New" w:cs="Courier New" w:eastAsia="Courier New" w:hAnsi="Courier New"/>
                <w:color w:val="D4D4D4"/>
                <w:sz w:val="17"/>
                <w:szCs w:val="17"/>
              </w:rPr>
              <w:t xml:space="preserve">                           "framework": { "type": "string"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"allowed_purposes": { "type": "array",</w:t>
            </w:r>
          </w:p>
          <w:p>
            <w:pPr>
              <w:spacing w:before="0" w:after="0"/>
            </w:pPr>
            <w:r>
              <w:rPr>
                <w:rFonts w:ascii="Courier New" w:cs="Courier New" w:eastAsia="Courier New" w:hAnsi="Courier New"/>
                <w:color w:val="D4D4D4"/>
                <w:sz w:val="17"/>
                <w:szCs w:val="17"/>
              </w:rPr>
              <w:t xml:space="preserve">                           "items": { "type": "string" },</w:t>
            </w:r>
          </w:p>
          <w:p>
            <w:pPr>
              <w:spacing w:before="0" w:after="0"/>
            </w:pPr>
            <w:r>
              <w:rPr>
                <w:rFonts w:ascii="Courier New" w:cs="Courier New" w:eastAsia="Courier New" w:hAnsi="Courier New"/>
                <w:color w:val="D4D4D4"/>
                <w:sz w:val="17"/>
                <w:szCs w:val="17"/>
              </w:rPr>
              <w:t xml:space="preserve">                           "minItems": 1 },</w:t>
            </w:r>
          </w:p>
          <w:p>
            <w:pPr>
              <w:spacing w:before="0" w:after="0"/>
            </w:pPr>
            <w:r>
              <w:rPr>
                <w:rFonts w:ascii="Courier New" w:cs="Courier New" w:eastAsia="Courier New" w:hAnsi="Courier New"/>
                <w:color w:val="D4D4D4"/>
                <w:sz w:val="17"/>
                <w:szCs w:val="17"/>
              </w:rPr>
              <w:t xml:space="preserve">    "consent_status":  { "type": "boolean" },</w:t>
            </w:r>
          </w:p>
          <w:p>
            <w:pPr>
              <w:spacing w:before="0" w:after="0"/>
            </w:pPr>
            <w:r>
              <w:rPr>
                <w:rFonts w:ascii="Courier New" w:cs="Courier New" w:eastAsia="Courier New" w:hAnsi="Courier New"/>
                <w:color w:val="D4D4D4"/>
                <w:sz w:val="17"/>
                <w:szCs w:val="17"/>
              </w:rPr>
              <w:t xml:space="preserve">    "consent_scope":   { "type": "array", "items": { "type": "string" } },</w:t>
            </w:r>
          </w:p>
          <w:p>
            <w:pPr>
              <w:spacing w:before="0" w:after="0"/>
            </w:pPr>
            <w:r>
              <w:rPr>
                <w:rFonts w:ascii="Courier New" w:cs="Courier New" w:eastAsia="Courier New" w:hAnsi="Courier New"/>
                <w:color w:val="D4D4D4"/>
                <w:sz w:val="17"/>
                <w:szCs w:val="17"/>
              </w:rPr>
              <w:t xml:space="preserve">    "jurisdiction_rules": { "type": "object",</w:t>
            </w:r>
          </w:p>
          <w:p>
            <w:pPr>
              <w:spacing w:before="0" w:after="0"/>
            </w:pPr>
            <w:r>
              <w:rPr>
                <w:rFonts w:ascii="Courier New" w:cs="Courier New" w:eastAsia="Courier New" w:hAnsi="Courier New"/>
                <w:color w:val="D4D4D4"/>
                <w:sz w:val="17"/>
                <w:szCs w:val="17"/>
              </w:rPr>
              <w:t xml:space="preserve">                             "required": ["permitted_regions"],</w:t>
            </w:r>
          </w:p>
          <w:p>
            <w:pPr>
              <w:spacing w:before="0" w:after="0"/>
            </w:pPr>
            <w:r>
              <w:rPr>
                <w:rFonts w:ascii="Courier New" w:cs="Courier New" w:eastAsia="Courier New" w:hAnsi="Courier New"/>
                <w:color w:val="D4D4D4"/>
                <w:sz w:val="17"/>
                <w:szCs w:val="17"/>
              </w:rPr>
              <w:t xml:space="preserve">                             "properties": {</w:t>
            </w:r>
          </w:p>
          <w:p>
            <w:pPr>
              <w:spacing w:before="0" w:after="0"/>
            </w:pPr>
            <w:r>
              <w:rPr>
                <w:rFonts w:ascii="Courier New" w:cs="Courier New" w:eastAsia="Courier New" w:hAnsi="Courier New"/>
                <w:color w:val="D4D4D4"/>
                <w:sz w:val="17"/>
                <w:szCs w:val="17"/>
              </w:rPr>
              <w:t xml:space="preserve">                               "permitted_regions": { "type": "array" },</w:t>
            </w:r>
          </w:p>
          <w:p>
            <w:pPr>
              <w:spacing w:before="0" w:after="0"/>
            </w:pPr>
            <w:r>
              <w:rPr>
                <w:rFonts w:ascii="Courier New" w:cs="Courier New" w:eastAsia="Courier New" w:hAnsi="Courier New"/>
                <w:color w:val="D4D4D4"/>
                <w:sz w:val="17"/>
                <w:szCs w:val="17"/>
              </w:rPr>
              <w:t xml:space="preserve">                               "restricted_regions": { "type": "array" },</w:t>
            </w:r>
          </w:p>
          <w:p>
            <w:pPr>
              <w:spacing w:before="0" w:after="0"/>
            </w:pPr>
            <w:r>
              <w:rPr>
                <w:rFonts w:ascii="Courier New" w:cs="Courier New" w:eastAsia="Courier New" w:hAnsi="Courier New"/>
                <w:color w:val="D4D4D4"/>
                <w:sz w:val="17"/>
                <w:szCs w:val="17"/>
              </w:rPr>
              <w:t xml:space="preserve">                               "residency_required": { "type": "boolean" },</w:t>
            </w:r>
          </w:p>
          <w:p>
            <w:pPr>
              <w:spacing w:before="0" w:after="0"/>
            </w:pPr>
            <w:r>
              <w:rPr>
                <w:rFonts w:ascii="Courier New" w:cs="Courier New" w:eastAsia="Courier New" w:hAnsi="Courier New"/>
                <w:color w:val="D4D4D4"/>
                <w:sz w:val="17"/>
                <w:szCs w:val="17"/>
              </w:rPr>
              <w:t xml:space="preserve">                               "sovereignty_framework": { "type": "string"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"ai_context": { "type": "object" },</w:t>
            </w:r>
          </w:p>
          <w:p>
            <w:pPr>
              <w:spacing w:before="0" w:after="0"/>
            </w:pPr>
            <w:r>
              <w:rPr>
                <w:rFonts w:ascii="Courier New" w:cs="Courier New" w:eastAsia="Courier New" w:hAnsi="Courier New"/>
                <w:color w:val="D4D4D4"/>
                <w:sz w:val="17"/>
                <w:szCs w:val="17"/>
              </w:rPr>
              <w:t xml:space="preserve">    "extensions":  { "type": "object"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Appendix B — Controlled Purpose Vocabulary</w:t>
      </w:r>
    </w:p>
    <w:p>
      <w:pPr>
        <w:spacing w:before="80" w:after="120" w:line="300"/>
        <w:jc w:val="left"/>
      </w:pPr>
      <w:r>
        <w:rPr>
          <w:rFonts w:ascii="Arial" w:cs="Arial" w:eastAsia="Arial" w:hAnsi="Arial"/>
          <w:color w:val="444444"/>
          <w:sz w:val="22"/>
          <w:szCs w:val="22"/>
        </w:rPr>
        <w:t xml:space="preserve">The following values are defined as the standard controlled vocabulary for the allowed_purposes field. Implementers may use additional values expressed as URIs. Values are case-sensitive.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clinical_analytics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for the purpose of analysing clinical or health data to derive insights, support diagnosis, or inform treatment pathways.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treatment_support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Processing in direct support of delivering healthcare treatment to the data subject.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clinical_trial_protocol_{id}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within the scope of a specific, identified clinical trial protocol. Replace {id} with the trial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research_public_interest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Scientific or academic research conducted in the public interest, consistent with applicable ethical approvals.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fraud_prevention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to detect, prevent, or investigate fraud or financial crime.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compliance_reporting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Processing required to fulfil a statutory reporting obligation.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service_delivery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necessary to deliver a contracted service to the data subject.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marketing_targeted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Processing to deliver targeted marketing communications where consent has been obtained.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marketing_general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to deliver general marketing communications on the basis of legitimate interests.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model_training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Processing to train, fine-tune, or evaluate a machine learning model.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model_inference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as input to a deployed machine learning model for inference only, not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data_portability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Processing to fulfil a data portability request from the data subject.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legal_proceedings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in connection with legal proceedings or legal advice.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audit_internal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Processing for the purpose of internal audit, governance, or risk management.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audit_external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Processing by an external auditor or regulator.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archiving_public_interest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Long-term archiving in the public interest, consistent with applicable exemptions.</w:t>
            </w:r>
          </w:p>
        </w:tc>
      </w:tr>
    </w:tbl>
    <w:p>
      <w:pPr>
        <w:spacing w:before="200" w:after="200"/>
      </w:pPr>
      <w:r>
        <w:t xml:space="preserve"/>
      </w:r>
    </w:p>
    <w:p>
      <w:r>
        <w:br w:type="page"/>
      </w:r>
    </w:p>
    <w:p>
      <w:pPr>
        <w:pStyle w:val="Heading1"/>
        <w:pBdr>
          <w:bottom w:val="single" w:color="1B4F8C" w:sz="6" w:space="4"/>
        </w:pBdr>
        <w:spacing w:before="400" w:after="200"/>
      </w:pPr>
      <w:r>
        <w:rPr>
          <w:rFonts w:ascii="Arial" w:cs="Arial" w:eastAsia="Arial" w:hAnsi="Arial"/>
          <w:b/>
          <w:bCs/>
          <w:color w:val="1B4F8C"/>
          <w:sz w:val="32"/>
          <w:szCs w:val="32"/>
        </w:rPr>
        <w:t xml:space="preserve">Appendix C —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4F8C"/>
                <w:sz w:val="18"/>
                <w:szCs w:val="18"/>
              </w:rPr>
              <w:t xml:space="preserve">0.1 — March 2026</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Initial draft for public comment. Core schema, lifecycle, signing model, enforcement API, audit record, four regulatory extension namespaces, example scenarios, and JSON Schema appendix. Authored by DPG Labs / The Data Privacy Group.</w:t>
            </w:r>
          </w:p>
        </w:tc>
      </w:tr>
    </w:tbl>
    <w:p>
      <w:pPr>
        <w:spacing w:before="200" w:after="200"/>
      </w:pPr>
      <w:r>
        <w:t xml:space="preserve"/>
      </w:r>
    </w:p>
    <w:p>
      <w:pPr>
        <w:spacing w:before="80" w:after="120" w:line="300"/>
        <w:jc w:val="left"/>
      </w:pPr>
      <w:r>
        <w:rPr>
          <w:rFonts w:ascii="Arial" w:cs="Arial" w:eastAsia="Arial" w:hAnsi="Arial"/>
          <w:color w:val="444444"/>
          <w:sz w:val="22"/>
          <w:szCs w:val="22"/>
        </w:rPr>
        <w:t xml:space="preserve">Comments, corrections, and proposed extensions for version 0.2 should be submitted to:</w:t>
      </w:r>
    </w:p>
    <w:p>
      <w:pPr>
        <w:spacing w:before="100" w:after="100"/>
      </w:pPr>
      <w:r>
        <w:t xml:space="preserve"/>
      </w:r>
    </w:p>
    <w:p>
      <w:pPr>
        <w:spacing w:before="80" w:after="80"/>
        <w:jc w:val="center"/>
      </w:pPr>
      <w:r>
        <w:rPr>
          <w:rFonts w:ascii="Arial" w:cs="Arial" w:eastAsia="Arial" w:hAnsi="Arial"/>
          <w:b/>
          <w:bCs/>
          <w:color w:val="1B4F8C"/>
          <w:sz w:val="22"/>
          <w:szCs w:val="22"/>
        </w:rPr>
        <w:t xml:space="preserve">pct-spec@thedpg.com</w:t>
      </w:r>
    </w:p>
    <w:p>
      <w:pPr>
        <w:spacing w:before="0" w:after="80"/>
        <w:jc w:val="center"/>
      </w:pPr>
      <w:r>
        <w:rPr>
          <w:rFonts w:ascii="Arial" w:cs="Arial" w:eastAsia="Arial" w:hAnsi="Arial"/>
          <w:color w:val="2E86C1"/>
          <w:sz w:val="22"/>
          <w:szCs w:val="22"/>
        </w:rPr>
        <w:t xml:space="preserve">github.com/dpg-labs/pct-spec</w:t>
      </w:r>
    </w:p>
    <w:p>
      <w:pPr>
        <w:spacing w:before="200" w:after="200"/>
      </w:pPr>
      <w:r>
        <w:t xml:space="preserve"/>
      </w:r>
    </w:p>
    <w:p>
      <w:pPr>
        <w:pBdr>
          <w:top w:val="single" w:color="1B4F8C" w:sz="4" w:space="8"/>
        </w:pBdr>
        <w:spacing w:before="0" w:after="40"/>
        <w:jc w:val="center"/>
      </w:pPr>
      <w:r>
        <w:rPr>
          <w:rFonts w:ascii="Arial" w:cs="Arial" w:eastAsia="Arial" w:hAnsi="Arial"/>
          <w:color w:val="444444"/>
          <w:sz w:val="18"/>
          <w:szCs w:val="18"/>
        </w:rPr>
        <w:t xml:space="preserve">Privacy Claims Token Specification v0.1</w:t>
      </w:r>
    </w:p>
    <w:p>
      <w:pPr>
        <w:spacing w:before="0" w:after="0"/>
        <w:jc w:val="center"/>
      </w:pPr>
      <w:r>
        <w:rPr>
          <w:rFonts w:ascii="Arial" w:cs="Arial" w:eastAsia="Arial" w:hAnsi="Arial"/>
          <w:color w:val="444444"/>
          <w:sz w:val="18"/>
          <w:szCs w:val="18"/>
        </w:rPr>
        <w:t xml:space="preserve">Released under CC BY 4.0  ·  DPG Labs  ·  thedpg.com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C" w:sz="4" w:space="4"/>
      </w:pBdr>
      <w:tabs>
        <w:tab w:val="right" w:pos="9026"/>
      </w:tabs>
      <w:spacing w:before="120" w:after="0"/>
    </w:pPr>
    <w:r>
      <w:rPr>
        <w:rFonts w:ascii="Arial" w:cs="Arial" w:eastAsia="Arial" w:hAnsi="Arial"/>
        <w:color w:val="444444"/>
        <w:sz w:val="16"/>
        <w:szCs w:val="16"/>
      </w:rPr>
      <w:t xml:space="preserve">CONFIDENTIAL DRAFT — FOR PUBLIC COMMENT</w:t>
    </w:r>
    <w:r>
      <w:rPr>
        <w:rFonts w:ascii="Arial" w:cs="Arial" w:eastAsia="Arial" w:hAnsi="Arial"/>
        <w:color w:val="444444"/>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4" w:space="4"/>
      </w:pBdr>
      <w:tabs>
        <w:tab w:val="right" w:pos="9026"/>
      </w:tabs>
      <w:spacing w:before="0" w:after="120"/>
    </w:pPr>
    <w:r>
      <w:rPr>
        <w:rFonts w:ascii="Arial" w:cs="Arial" w:eastAsia="Arial" w:hAnsi="Arial"/>
        <w:color w:val="444444"/>
        <w:sz w:val="18"/>
        <w:szCs w:val="18"/>
      </w:rPr>
      <w:t xml:space="preserve">Privacy Claims Token (PCT) Specification — v0.1 Draft</w:t>
    </w:r>
    <w:r>
      <w:rPr>
        <w:rFonts w:ascii="Arial" w:cs="Arial" w:eastAsia="Arial" w:hAnsi="Arial"/>
        <w:color w:val="1B4F8C"/>
        <w:sz w:val="18"/>
        <w:szCs w:val="18"/>
      </w:rPr>
      <w:t xml:space="preserve">	DPG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8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2026-03-19T15:54:34.552Z</dcterms:created>
  <dcterms:modified xsi:type="dcterms:W3CDTF">2026-03-19T15:54:34.554Z</dcterms:modified>
</cp:coreProperties>
</file>

<file path=docProps/custom.xml><?xml version="1.0" encoding="utf-8"?>
<Properties xmlns="http://schemas.openxmlformats.org/officeDocument/2006/custom-properties" xmlns:vt="http://schemas.openxmlformats.org/officeDocument/2006/docPropsVTypes"/>
</file>