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hr0m14p5nk6" w:id="0"/>
      <w:bookmarkEnd w:id="0"/>
      <w:r w:rsidDel="00000000" w:rsidR="00000000" w:rsidRPr="00000000">
        <w:rPr>
          <w:rtl w:val="0"/>
        </w:rPr>
        <w:t xml:space="preserve">OneNote-style weekly notes: input for "Weekly Project Summary"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Rough, unstructured notes a project analyst jotted across the week (as they would appear on a OneNote page). In the lab, Copilot drafts a clean weekly project summary from these, grounded only on what is here.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Project: North Delta Levee Rehabilitation, week of 2026-04-06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Kickoff with geotech consultant. First boring logs due Thu.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PC-006 (nesting bird avoidance) at risk. Tree removal must finish before May 1 or it slips a season.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Tue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Public workshop #2 recap: 78 attendees. Main concern was construction traffic on River Rd.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Grant reimbursement #3 submitted, 1.1 million dollars.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Wed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Reach 3 design review. 60% design accepted with two comments (drainage, access ramp slope).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Right-of-way: landowner #2 signed. One parcel remaining.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Thu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Boring logs came in a day early. No surprises so far.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Cost risk on borrow material still open. PM wants a number by next Wed.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Fri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Reconciled milestone dates with the three regional teams. Aligned on a single tracker.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PC-013 (quarterly mitigation monitoring) flagged at risk, monitor availability.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Reminder: monthly leadership report due the 5th, template ready.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Open items / next week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Close drainage and ramp-slope comments on Reach 3.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Get borrow-material cost number to PM by Wed.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 bird monitor and finish tree removal before May 1.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