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DMID Recompete — Acquisition Planning Summary</w:t>
      </w:r>
    </w:p>
    <w:p>
      <w:r>
        <w:t>Prepared for: Acquisition Planning Review   |   Status: Draft for review   |   Fictional sample — training use only</w:t>
      </w:r>
    </w:p>
    <w:p>
      <w:pPr>
        <w:pStyle w:val="Heading1"/>
      </w:pPr>
      <w:r>
        <w:t>Overview</w:t>
      </w:r>
    </w:p>
    <w:p>
      <w:r>
        <w:t>The DMID delivery order (incumbent Contoso Federal, firm-fixed-price) expires 3/31/2027 and is up for recompete. Acquisition planning is underway, with an RFP targeted for release in Q1.</w:t>
      </w:r>
    </w:p>
    <w:p>
      <w:pPr>
        <w:pStyle w:val="Heading1"/>
      </w:pPr>
      <w:r>
        <w:t>Market Research</w:t>
      </w:r>
    </w:p>
    <w:p>
      <w:r>
        <w:t>A sources-sought notice identified six capable vendors, including two viable small-business set-aside candidates. The incumbent is performing well, with a most-recent CPARS rating of Satisfactory.</w:t>
      </w:r>
    </w:p>
    <w:p>
      <w:pPr>
        <w:pStyle w:val="Heading1"/>
      </w:pPr>
      <w:r>
        <w:t>Requirements / Draft PWS</w:t>
      </w:r>
    </w:p>
    <w:p>
      <w:r>
        <w:t>The draft PWS is approximately 80% complete. It adds a third-party vendor assessment task that is not in the current scope, and introduces performance-based metrics governed by a Quality Assurance Surveillance Plan (QASP).</w:t>
      </w:r>
    </w:p>
    <w:p>
      <w:pPr>
        <w:pStyle w:val="Heading1"/>
      </w:pPr>
      <w:r>
        <w:t>Schedule</w:t>
      </w:r>
    </w:p>
    <w:p>
      <w:pPr>
        <w:pStyle w:val="ListBullet"/>
      </w:pPr>
      <w:r>
        <w:t>Finalize the PWS by month-end</w:t>
      </w:r>
    </w:p>
    <w:p>
      <w:pPr>
        <w:pStyle w:val="ListBullet"/>
      </w:pPr>
      <w:r>
        <w:t>Legal review of the small-business set-aside decision</w:t>
      </w:r>
    </w:p>
    <w:p>
      <w:pPr>
        <w:pStyle w:val="ListBullet"/>
      </w:pPr>
      <w:r>
        <w:t>Industry day in approximately three weeks</w:t>
      </w:r>
    </w:p>
    <w:p>
      <w:pPr>
        <w:pStyle w:val="ListBullet"/>
      </w:pPr>
      <w:r>
        <w:t>RFP release targeted for Q1</w:t>
      </w:r>
    </w:p>
    <w:p>
      <w:pPr>
        <w:pStyle w:val="Heading1"/>
      </w:pPr>
      <w:r>
        <w:t>Risks &amp; Recommendations</w:t>
      </w:r>
    </w:p>
    <w:p>
      <w:r>
        <w:t>Risk 1: If the vendor-assessment task is not finalized, the draft PWS slips and pushes the RFP date.</w:t>
      </w:r>
    </w:p>
    <w:p>
      <w:r>
        <w:t>Risk 2: If award slips past the current period of performance, a bridge action is needed to avoid a gap in services.</w:t>
      </w:r>
    </w:p>
    <w:p>
      <w:r>
        <w:t>Recommendation: Lock the PWS scope this month, obtain the Legal set-aside determination early, and hold the industry day on schedule.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