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G&amp;J Pepsi — Q4 2025 Quarterly Business Review</w:t>
      </w:r>
    </w:p>
    <w:p>
      <w:pPr>
        <w:pStyle w:val="Heading1"/>
      </w:pPr>
      <w:r>
        <w:rPr>
          <w:color w:val="2F5496"/>
        </w:rPr>
        <w:t>Executive Summary</w:t>
      </w:r>
    </w:p>
    <w:p>
      <w:r>
        <w:rPr>
          <w:b w:val="0"/>
        </w:rPr>
        <w:t>G&amp;J Pepsi delivered a strong Q4 2025, exceeding overall revenue targets by 3.2% while navigating headwinds in the water and traditional CSD categories. Energy drinks and snacks drove above-plan performance, offsetting softness in Aquafina and Mountain Dew. Operational efficiency improved in 3 of 5 distribution centers, though Columbus and Richmond DCs require focused intervention on damage rates and overtime management.</w:t>
      </w:r>
    </w:p>
    <w:p>
      <w:pPr>
        <w:pStyle w:val="Heading1"/>
      </w:pPr>
      <w:r>
        <w:rPr>
          <w:color w:val="2F5496"/>
        </w:rPr>
        <w:t>Revenue Performance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Q4 Target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Q4 Actual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Variance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Key Driver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Southeast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$2.18M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$2.19M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+0.5%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Strong Pepsi performance in Atlanta; Rockstar growth in convenience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Midwest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$1.63M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$1.67M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+2.5%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Energy and snacks exceeded targets; Mountain Dew underperformed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Northeast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$1.35M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$1.37M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Tropicana and Rockstar growth offset Mountain Dew decline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Mid-Atlantic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$1.59M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$1.64M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+3.1%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Northern VA drove growth; Richmond steady across categories</w:t>
            </w:r>
          </w:p>
        </w:tc>
      </w:tr>
    </w:tbl>
    <w:p/>
    <w:p>
      <w:r>
        <w:rPr>
          <w:b/>
        </w:rPr>
        <w:t>Total Q4 Revenue: $6.87M vs. $6.66M target (+3.2%)</w:t>
      </w:r>
    </w:p>
    <w:p>
      <w:pPr>
        <w:pStyle w:val="Heading2"/>
      </w:pPr>
      <w:r>
        <w:rPr>
          <w:color w:val="2F5496"/>
        </w:rPr>
        <w:t>Category Performance</w:t>
      </w:r>
    </w:p>
    <w:p>
      <w:pPr>
        <w:pStyle w:val="ListBullet"/>
      </w:pPr>
      <w:r>
        <w:rPr>
          <w:b/>
        </w:rPr>
        <w:t xml:space="preserve">CSD (Carbonated Soft Drinks): </w:t>
      </w:r>
      <w:r>
        <w:t>Revenue: $3.44M (+2.8% vs target). Core Pepsi brand remains the backbone of the portfolio.</w:t>
      </w:r>
    </w:p>
    <w:p>
      <w:pPr>
        <w:pStyle w:val="ListBullet"/>
      </w:pPr>
      <w:r>
        <w:rPr>
          <w:b/>
        </w:rPr>
        <w:t xml:space="preserve">Energy: </w:t>
      </w:r>
      <w:r>
        <w:t>Revenue: $679K (+14.2% vs target). Fastest-growing category. Rockstar performance exceptionally strong in convenience channel.</w:t>
      </w:r>
    </w:p>
    <w:p>
      <w:pPr>
        <w:pStyle w:val="ListBullet"/>
      </w:pPr>
      <w:r>
        <w:rPr>
          <w:b/>
        </w:rPr>
        <w:t xml:space="preserve">Juice: </w:t>
      </w:r>
      <w:r>
        <w:t>Revenue: $575K (+5.8% vs target). Tropicana performing well, especially in foodservice channel.</w:t>
      </w:r>
    </w:p>
    <w:p>
      <w:pPr>
        <w:pStyle w:val="ListBullet"/>
      </w:pPr>
      <w:r>
        <w:rPr>
          <w:b/>
        </w:rPr>
        <w:t xml:space="preserve">Snacks: </w:t>
      </w:r>
      <w:r>
        <w:t>Revenue: $687K (+3.8% vs target). Frito-Lay driving consistent growth in retail.</w:t>
      </w:r>
    </w:p>
    <w:p>
      <w:pPr>
        <w:pStyle w:val="ListBullet"/>
      </w:pPr>
      <w:r>
        <w:rPr>
          <w:b/>
        </w:rPr>
        <w:t xml:space="preserve">Water: </w:t>
      </w:r>
      <w:r>
        <w:t>Revenue: $544K (-6.8% vs target). Aquafina facing increased private-label competition. Requires strategic review.</w:t>
      </w:r>
    </w:p>
    <w:p>
      <w:pPr>
        <w:pStyle w:val="ListBullet"/>
      </w:pPr>
      <w:r>
        <w:rPr>
          <w:b/>
        </w:rPr>
        <w:t xml:space="preserve">Mountain Dew: </w:t>
      </w:r>
      <w:r>
        <w:t>Revenue: $625K (-5.7% vs target). Declining consumer preference in key demographics. Regional differences significant.</w:t>
      </w:r>
    </w:p>
    <w:p>
      <w:pPr>
        <w:pStyle w:val="Heading1"/>
      </w:pPr>
      <w:r>
        <w:rPr>
          <w:color w:val="2F5496"/>
        </w:rPr>
        <w:t>Operational Excellence</w:t>
      </w:r>
    </w:p>
    <w:p>
      <w:pPr>
        <w:pStyle w:val="Heading2"/>
      </w:pPr>
      <w:r>
        <w:rPr>
          <w:color w:val="2F5496"/>
        </w:rPr>
        <w:t>Distribution Center Performance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DC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On-Time Delivery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Damage Rate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OT as % of Total Hours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Atlanta DC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96.5%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8.8%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 track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Columbus DC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94.2%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Needs improvement - damage and OT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Pittsburgh DC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97.8%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Best performer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Richmond DC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93.5%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18.1%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 risk - highest damage, highest OT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Orlando DC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95.5%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11.7%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 track with minor concerns</w:t>
            </w:r>
          </w:p>
        </w:tc>
      </w:tr>
    </w:tbl>
    <w:p>
      <w:pPr>
        <w:pStyle w:val="Heading2"/>
      </w:pPr>
      <w:r>
        <w:rPr>
          <w:color w:val="2F5496"/>
        </w:rPr>
        <w:t>Safety</w:t>
      </w:r>
    </w:p>
    <w:p>
      <w:r>
        <w:rPr>
          <w:b w:val="0"/>
        </w:rPr>
        <w:t>Total recordable incidents: 42 (Q4) vs. 38 (Q3) — an increase of 10.5%. Richmond and Columbus accounted for 60% of all incidents. Root cause analysis indicates correlation with overtime hours. Recommendation: invest in additional staffing at these two locations to reduce overtime-driven fatigue.</w:t>
      </w:r>
    </w:p>
    <w:p>
      <w:pPr>
        <w:pStyle w:val="Heading1"/>
      </w:pPr>
      <w:r>
        <w:rPr>
          <w:color w:val="2F5496"/>
        </w:rPr>
        <w:t>People &amp; Culture</w:t>
      </w:r>
    </w:p>
    <w:p>
      <w:pPr>
        <w:pStyle w:val="ListBullet"/>
      </w:pPr>
      <w:r>
        <w:t>3.2% voluntary turnover in Q4 (below industry average of 4.5%)</w:t>
      </w:r>
    </w:p>
    <w:p>
      <w:pPr>
        <w:pStyle w:val="ListBullet"/>
      </w:pPr>
      <w:r>
        <w:t>28 new hires across all departments; 15 in warehouse operations</w:t>
      </w:r>
    </w:p>
    <w:p>
      <w:pPr>
        <w:pStyle w:val="ListBullet"/>
      </w:pPr>
      <w:r>
        <w:t>Employee engagement survey score: 78/100 (up from 74 in Q3)</w:t>
      </w:r>
    </w:p>
    <w:p>
      <w:pPr>
        <w:pStyle w:val="ListBullet"/>
      </w:pPr>
      <w:r>
        <w:t>L&amp;D completed rollout of new supervisor leadership program — 42 supervisors trained</w:t>
      </w:r>
    </w:p>
    <w:p>
      <w:pPr>
        <w:pStyle w:val="ListBullet"/>
      </w:pPr>
      <w:r>
        <w:t>Internal promotion rate: 22% of open positions filled internally</w:t>
      </w:r>
    </w:p>
    <w:p>
      <w:pPr>
        <w:pStyle w:val="Heading1"/>
      </w:pPr>
      <w:r>
        <w:rPr>
          <w:color w:val="2F5496"/>
        </w:rPr>
        <w:t>Key Risks &amp; Mitigations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Aquafina volume decline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Revenue loss in water 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Launch premium water line; increase promotional activity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Richmond DC operational issues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Rising damage costs, OT expense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Hire 8 additional warehouse staff; implement new damage prevention training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Mountain Dew demographic shift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Declining sales in key territories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Reposition marketing toward Gen Z; introduce limited-edition flavors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Supply chain cost inflation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Margin compression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Renegotiate key supplier contracts; optimize delivery routes</w:t>
            </w:r>
          </w:p>
        </w:tc>
      </w:tr>
    </w:tbl>
    <w:p>
      <w:pPr>
        <w:pStyle w:val="Heading1"/>
      </w:pPr>
      <w:r>
        <w:rPr>
          <w:color w:val="2F5496"/>
        </w:rPr>
        <w:t>Q1 2026 Priorities</w:t>
      </w:r>
    </w:p>
    <w:p>
      <w:pPr>
        <w:pStyle w:val="ListBullet"/>
      </w:pPr>
      <w:r>
        <w:t>Launch route optimization pilot in Southeast region (projected 12% efficiency gain)</w:t>
      </w:r>
    </w:p>
    <w:p>
      <w:pPr>
        <w:pStyle w:val="ListBullet"/>
      </w:pPr>
      <w:r>
        <w:t>Reduce Richmond DC damage rate from 1.5% to under 1.0% by end of Q1</w:t>
      </w:r>
    </w:p>
    <w:p>
      <w:pPr>
        <w:pStyle w:val="ListBullet"/>
      </w:pPr>
      <w:r>
        <w:t>Roll out Rockstar distribution to 200 additional convenience stores</w:t>
      </w:r>
    </w:p>
    <w:p>
      <w:pPr>
        <w:pStyle w:val="ListBullet"/>
      </w:pPr>
      <w:r>
        <w:t>Complete IT infrastructure upgrade Phase 1 (server migration)</w:t>
      </w:r>
    </w:p>
    <w:p>
      <w:pPr>
        <w:pStyle w:val="ListBullet"/>
      </w:pPr>
      <w:r>
        <w:t>Implement new employee wellness program (Headspace digital platform)</w:t>
      </w:r>
    </w:p>
    <w:p>
      <w:pPr>
        <w:pStyle w:val="ListBullet"/>
      </w:pPr>
      <w:r>
        <w:t>Hire 12 additional warehouse staff across Columbus and Richmond</w:t>
      </w:r>
    </w:p>
    <w:p>
      <w:pPr>
        <w:pStyle w:val="ListBullet"/>
      </w:pPr>
      <w:r>
        <w:t>Conduct mid-cycle benefits review to assess 2026 enrollment trends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