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tandard-clause-playbook-sample-training"/>
      <w:r>
        <w:t xml:space="preserve">Standard Clause Playbook — SAMPLE / TRAINING</w:t>
      </w:r>
      <w:bookmarkEnd w:id="20"/>
    </w:p>
    <w:p>
      <w:pPr>
        <w:pStyle w:val="BlockText"/>
      </w:pPr>
      <w:r>
        <w:rPr>
          <w:b/>
        </w:rPr>
        <w:t xml:space="preserve">Synthetic training reference. Not legal advice and not ONB’s actual contract standards.</w:t>
      </w:r>
      <w:r>
        <w:t xml:space="preserve"> </w:t>
      </w:r>
      <w:r>
        <w:t xml:space="preserve">Created for the Microsoft 365 Copilot for Legal session. The</w:t>
      </w:r>
      <w:r>
        <w:t xml:space="preserve"> </w:t>
      </w:r>
      <w:r>
        <w:t xml:space="preserve">“</w:t>
      </w:r>
      <w:r>
        <w:t xml:space="preserve">standard</w:t>
      </w:r>
      <w:r>
        <w:t xml:space="preserve">”</w:t>
      </w:r>
      <w:r>
        <w:t xml:space="preserve"> </w:t>
      </w:r>
      <w:r>
        <w:t xml:space="preserve">language below is the balanced, bank-favorable counterpart to the intentionally off-market clauses in the sample Consulting Services Agreement and Mutual NDA. Use it as the</w:t>
      </w:r>
      <w:r>
        <w:t xml:space="preserve"> </w:t>
      </w:r>
      <w:r>
        <w:rPr>
          <w:rStyle w:val="VerbatimChar"/>
        </w:rPr>
        <w:t xml:space="preserve">OUR STANDARD:</w:t>
      </w:r>
      <w:r>
        <w:t xml:space="preserve"> </w:t>
      </w:r>
      <w:r>
        <w:t xml:space="preserve">text you paste into the Exercise 2 prompts so Copilot can flag deviations.</w:t>
      </w:r>
    </w:p>
    <w:p>
      <w:pPr>
        <w:pStyle w:val="Heading2"/>
      </w:pPr>
      <w:bookmarkStart w:id="21" w:name="how-to-use-this-in-the-session"/>
      <w:r>
        <w:t xml:space="preserve">How to use this in the session</w:t>
      </w:r>
      <w:bookmarkEnd w:id="21"/>
    </w:p>
    <w:p>
      <w:pPr>
        <w:numPr>
          <w:ilvl w:val="0"/>
          <w:numId w:val="1001"/>
        </w:numPr>
        <w:pStyle w:val="Compact"/>
      </w:pPr>
      <w:r>
        <w:t xml:space="preserve">Open the sample agreement in Word (Track Changes ON).</w:t>
      </w:r>
    </w:p>
    <w:p>
      <w:pPr>
        <w:numPr>
          <w:ilvl w:val="0"/>
          <w:numId w:val="1001"/>
        </w:numPr>
        <w:pStyle w:val="Compact"/>
      </w:pPr>
      <w:r>
        <w:t xml:space="preserve">In the Copilot pane, paste the assessment prompt from Exercise 2.</w:t>
      </w:r>
    </w:p>
    <w:p>
      <w:pPr>
        <w:numPr>
          <w:ilvl w:val="0"/>
          <w:numId w:val="1001"/>
        </w:numPr>
        <w:pStyle w:val="Compact"/>
      </w:pPr>
      <w:r>
        <w:t xml:space="preserve">Where the prompt says</w:t>
      </w:r>
      <w:r>
        <w:t xml:space="preserve"> </w:t>
      </w:r>
      <w:r>
        <w:rPr>
          <w:rStyle w:val="VerbatimChar"/>
        </w:rPr>
        <w:t xml:space="preserve">OUR STANDARD:</w:t>
      </w:r>
      <w:r>
        <w:t xml:space="preserve">, paste the relevant clause block(s) below.</w:t>
      </w:r>
    </w:p>
    <w:p>
      <w:pPr>
        <w:numPr>
          <w:ilvl w:val="0"/>
          <w:numId w:val="1001"/>
        </w:numPr>
        <w:pStyle w:val="Compact"/>
      </w:pPr>
      <w:r>
        <w:t xml:space="preserve">Copilot will compare the draft to this standard and surface the deviations.</w:t>
      </w:r>
    </w:p>
    <w:p>
      <w:pPr>
        <w:pStyle w:val="FirstParagraph"/>
      </w:pPr>
      <w:r>
        <w:t xml:space="preserve">Each clause gives:</w:t>
      </w:r>
      <w:r>
        <w:t xml:space="preserve"> </w:t>
      </w:r>
      <w:r>
        <w:rPr>
          <w:b/>
        </w:rPr>
        <w:t xml:space="preserve">Standard position</w:t>
      </w:r>
      <w:r>
        <w:t xml:space="preserve"> </w:t>
      </w:r>
      <w:r>
        <w:t xml:space="preserve">(paste-ready), and a short</w:t>
      </w:r>
      <w:r>
        <w:t xml:space="preserve"> </w:t>
      </w:r>
      <w:r>
        <w:rPr>
          <w:b/>
        </w:rPr>
        <w:t xml:space="preserve">Why / fallback</w:t>
      </w:r>
      <w:r>
        <w:t xml:space="preserve"> </w:t>
      </w:r>
      <w:r>
        <w:t xml:space="preserve">note for the instructor.</w:t>
      </w:r>
    </w:p>
    <w:p>
      <w:r>
        <w:pict>
          <v:rect style="width:0;height:1.5pt" o:hralign="center" o:hrstd="t" o:hr="t"/>
        </w:pict>
      </w:r>
    </w:p>
    <w:p>
      <w:pPr>
        <w:pStyle w:val="Heading1"/>
      </w:pPr>
      <w:bookmarkStart w:id="22" w:name="part-1-consulting-services-agreements"/>
      <w:r>
        <w:t xml:space="preserve">Part 1 — Consulting / Services Agreements</w:t>
      </w:r>
      <w:bookmarkEnd w:id="22"/>
    </w:p>
    <w:p>
      <w:pPr>
        <w:pStyle w:val="Heading2"/>
      </w:pPr>
      <w:bookmarkStart w:id="23" w:name="fees-expenses-payment"/>
      <w:r>
        <w:t xml:space="preserve">1. Fees, Expenses &amp; Payment</w:t>
      </w:r>
      <w:bookmarkEnd w:id="23"/>
    </w:p>
    <w:p>
      <w:pPr>
        <w:pStyle w:val="FirstParagraph"/>
      </w:pPr>
      <w:r>
        <w:rPr>
          <w:b/>
        </w:rPr>
        <w:t xml:space="preserve">Standard position:</w:t>
      </w:r>
      <w:r>
        <w:t xml:space="preserve"> </w:t>
      </w:r>
      <w:r>
        <w:t xml:space="preserve">&gt; Fees are invoiced monthly in arrears. Undisputed invoices are due net forty-five (45) days after receipt. The Client may withhold or set off any amount disputed in good faith pending resolution. Late payments of undisputed amounts accrue interest at the lesser of one percent (1%) per month or the maximum rate permitted by law. Expenses must be pre-approved in writing, are reimbursed at actual cost without markup, and are subject to the budget stated in the SOW.</w:t>
      </w:r>
    </w:p>
    <w:p>
      <w:pPr>
        <w:pStyle w:val="BodyText"/>
      </w:pPr>
      <w:r>
        <w:rPr>
          <w:b/>
        </w:rPr>
        <w:t xml:space="preserve">Why / fallback:</w:t>
      </w:r>
      <w:r>
        <w:t xml:space="preserve"> </w:t>
      </w:r>
      <w:r>
        <w:t xml:space="preserve">Reject billing</w:t>
      </w:r>
      <w:r>
        <w:t xml:space="preserve"> </w:t>
      </w:r>
      <w:r>
        <w:t xml:space="preserve">“</w:t>
      </w:r>
      <w:r>
        <w:t xml:space="preserve">in advance,</w:t>
      </w:r>
      <w:r>
        <w:t xml:space="preserve">”</w:t>
      </w:r>
      <w:r>
        <w:t xml:space="preserve"> </w:t>
      </w:r>
      <w:r>
        <w:t xml:space="preserve">sub-30-day terms, and any no-withholding/no-offset language. A 5%/month charge (60% APR) is unenforceable in many states — cap at 1–1.5%/month or max lawful. Preferred net 45; acceptable net 30.</w:t>
      </w:r>
    </w:p>
    <w:p>
      <w:pPr>
        <w:pStyle w:val="Heading2"/>
      </w:pPr>
      <w:bookmarkStart w:id="24" w:name="indemnification"/>
      <w:r>
        <w:t xml:space="preserve">2. Indemnification</w:t>
      </w:r>
      <w:bookmarkEnd w:id="24"/>
    </w:p>
    <w:p>
      <w:pPr>
        <w:pStyle w:val="FirstParagraph"/>
      </w:pPr>
      <w:r>
        <w:rPr>
          <w:b/>
        </w:rPr>
        <w:t xml:space="preserve">Standard position:</w:t>
      </w:r>
      <w:r>
        <w:t xml:space="preserve"> </w:t>
      </w:r>
      <w:r>
        <w:t xml:space="preserve">&gt; The Consultant will defend, indemnify, and hold harmless the Client and its affiliates, officers, directors, and employees from third-party claims arising out of (a) the Consultant’s breach of this Agreement; (b) infringement or misappropriation of intellectual property by the deliverables or Services; (c) the Consultant’s gross negligence or willful misconduct; or (d) bodily injury, death, or property damage caused by the Consultant. Each Party’s indemnification is conditioned on prompt notice and reasonable cooperation. The Client provides a reciprocal indemnity limited to its breach of this Agreement and its misuse of the deliverables.</w:t>
      </w:r>
    </w:p>
    <w:p>
      <w:pPr>
        <w:pStyle w:val="BodyText"/>
      </w:pPr>
      <w:r>
        <w:rPr>
          <w:b/>
        </w:rPr>
        <w:t xml:space="preserve">Why / fallback:</w:t>
      </w:r>
      <w:r>
        <w:t xml:space="preserve"> </w:t>
      </w:r>
      <w:r>
        <w:t xml:space="preserve">The vendor (Consultant) should indemnify the bank — never the reverse as the primary obligation. A one-way, uncapped Client indemnity is a red-line reject. Mutual, claim-specific indemnities are standard.</w:t>
      </w:r>
    </w:p>
    <w:p>
      <w:pPr>
        <w:pStyle w:val="Heading2"/>
      </w:pPr>
      <w:bookmarkStart w:id="25" w:name="limitation-of-liability"/>
      <w:r>
        <w:t xml:space="preserve">3. Limitation of Liability</w:t>
      </w:r>
      <w:bookmarkEnd w:id="25"/>
    </w:p>
    <w:p>
      <w:pPr>
        <w:pStyle w:val="FirstParagraph"/>
      </w:pPr>
      <w:r>
        <w:rPr>
          <w:b/>
        </w:rPr>
        <w:t xml:space="preserve">Standard position:</w:t>
      </w:r>
      <w:r>
        <w:t xml:space="preserve"> </w:t>
      </w:r>
      <w:r>
        <w:t xml:space="preserve">&gt; Except for the Excluded Claims below, each Party’s total aggregate liability arising out of or relating to this Agreement will not exceed the greater of (a) the total fees paid and payable under the applicable SOW in the twelve (12) months preceding the event giving rise to the claim, or (b) $1,000,000. Neither Party is liable for indirect, incidental, special, consequential, or punitive damages.</w:t>
      </w:r>
      <w:r>
        <w:t xml:space="preserve"> </w:t>
      </w:r>
      <w:r>
        <w:rPr>
          <w:b/>
        </w:rPr>
        <w:t xml:space="preserve">“</w:t>
      </w:r>
      <w:r>
        <w:rPr>
          <w:b/>
        </w:rPr>
        <w:t xml:space="preserve">Excluded Claims,</w:t>
      </w:r>
      <w:r>
        <w:rPr>
          <w:b/>
        </w:rPr>
        <w:t xml:space="preserve">”</w:t>
      </w:r>
      <w:r>
        <w:rPr>
          <w:b/>
        </w:rPr>
        <w:t xml:space="preserve"> </w:t>
      </w:r>
      <w:r>
        <w:rPr>
          <w:b/>
        </w:rPr>
        <w:t xml:space="preserve">which are not subject to the cap or the consequential-damages waiver, are: (i) a Party’s indemnification obligations; (ii) breach of confidentiality; (iii) infringement or misappropriation of intellectual property; (iv) a Party’s gross negligence, willful misconduct, or fraud; and (v) the Consultant’s breach of data-protection obligations.</w:t>
      </w:r>
    </w:p>
    <w:p>
      <w:pPr>
        <w:pStyle w:val="BodyText"/>
      </w:pPr>
      <w:r>
        <w:rPr>
          <w:b/>
        </w:rPr>
        <w:t xml:space="preserve">Why / fallback:</w:t>
      </w:r>
      <w:r>
        <w:t xml:space="preserve"> </w:t>
      </w:r>
      <w:r>
        <w:t xml:space="preserve">A one-month-fees cap is far too low; standard is 12-month trailing fees or a fixed floor. The cap and consequential waiver must carve out confidentiality, IP, indemnity, and gross negligence/willful misconduct — a sample that applies the cap to those is a serious red-line. Liability must be mutual.</w:t>
      </w:r>
    </w:p>
    <w:p>
      <w:pPr>
        <w:pStyle w:val="Heading2"/>
      </w:pPr>
      <w:bookmarkStart w:id="26" w:name="intellectual-property"/>
      <w:r>
        <w:t xml:space="preserve">4. Intellectual Property</w:t>
      </w:r>
      <w:bookmarkEnd w:id="26"/>
    </w:p>
    <w:p>
      <w:pPr>
        <w:pStyle w:val="FirstParagraph"/>
      </w:pPr>
      <w:r>
        <w:rPr>
          <w:b/>
        </w:rPr>
        <w:t xml:space="preserve">Standard position:</w:t>
      </w:r>
      <w:r>
        <w:t xml:space="preserve"> </w:t>
      </w:r>
      <w:r>
        <w:t xml:space="preserve">&gt; All deliverables, work product, and materials created by the Consultant specifically for the Client under a SOW are</w:t>
      </w:r>
      <w:r>
        <w:t xml:space="preserve"> </w:t>
      </w:r>
      <w:r>
        <w:t xml:space="preserve">“</w:t>
      </w:r>
      <w:r>
        <w:t xml:space="preserve">work made for hire,</w:t>
      </w:r>
      <w:r>
        <w:t xml:space="preserve">”</w:t>
      </w:r>
      <w:r>
        <w:t xml:space="preserve"> </w:t>
      </w:r>
      <w:r>
        <w:t xml:space="preserve">and to the extent they do not qualify, the Consultant hereby assigns to the Client all right, title, and interest in them upon payment. The Consultant retains ownership of its pre-existing materials and generally applicable tools, and grants the Client a perpetual, irrevocable, non-exclusive, royalty-free, worldwide license to use them solely as incorporated into the deliverables.</w:t>
      </w:r>
    </w:p>
    <w:p>
      <w:pPr>
        <w:pStyle w:val="BodyText"/>
      </w:pPr>
      <w:r>
        <w:rPr>
          <w:b/>
        </w:rPr>
        <w:t xml:space="preserve">Why / fallback:</w:t>
      </w:r>
      <w:r>
        <w:t xml:space="preserve"> </w:t>
      </w:r>
      <w:r>
        <w:t xml:space="preserve">For client-commissioned work the Client should own the deliverables (assignment/work-for-hire). A revocable license that expires with the term, with the Consultant retaining the deliverables, is off-market — reject. Consultant retaining only its background IP (with a perpetual license into deliverables) is the standard compromise.</w:t>
      </w:r>
    </w:p>
    <w:p>
      <w:pPr>
        <w:pStyle w:val="Heading2"/>
      </w:pPr>
      <w:bookmarkStart w:id="27" w:name="representations-warranties"/>
      <w:r>
        <w:t xml:space="preserve">5. Representations &amp; Warranties</w:t>
      </w:r>
      <w:bookmarkEnd w:id="27"/>
    </w:p>
    <w:p>
      <w:pPr>
        <w:pStyle w:val="FirstParagraph"/>
      </w:pPr>
      <w:r>
        <w:rPr>
          <w:b/>
        </w:rPr>
        <w:t xml:space="preserve">Standard position:</w:t>
      </w:r>
      <w:r>
        <w:t xml:space="preserve"> </w:t>
      </w:r>
      <w:r>
        <w:t xml:space="preserve">&gt; The Consultant warrants that the Services will be performed in a professional and workmanlike manner consistent with generally accepted industry standards, that the deliverables will conform to the specifications in the applicable SOW for ninety (90) days, and that the deliverables will not infringe any third-party intellectual property right. The Consultant’s sole obligation for non-conforming Services is to re-perform them at no additional charge.</w:t>
      </w:r>
    </w:p>
    <w:p>
      <w:pPr>
        <w:pStyle w:val="BodyText"/>
      </w:pPr>
      <w:r>
        <w:rPr>
          <w:b/>
        </w:rPr>
        <w:t xml:space="preserve">Why / fallback:</w:t>
      </w:r>
      <w:r>
        <w:t xml:space="preserve"> </w:t>
      </w:r>
      <w:r>
        <w:t xml:space="preserve">Reject pure</w:t>
      </w:r>
      <w:r>
        <w:t xml:space="preserve"> </w:t>
      </w:r>
      <w:r>
        <w:t xml:space="preserve">“</w:t>
      </w:r>
      <w:r>
        <w:t xml:space="preserve">AS IS</w:t>
      </w:r>
      <w:r>
        <w:t xml:space="preserve">”</w:t>
      </w:r>
      <w:r>
        <w:t xml:space="preserve"> </w:t>
      </w:r>
      <w:r>
        <w:t xml:space="preserve">with full warranty disclaimer for paid professional services. Require at least a workmanlike-performance and conformance-to-SOW warranty plus a non-infringement warranty.</w:t>
      </w:r>
    </w:p>
    <w:p>
      <w:pPr>
        <w:pStyle w:val="Heading2"/>
      </w:pPr>
      <w:bookmarkStart w:id="28" w:name="term-renewal"/>
      <w:r>
        <w:t xml:space="preserve">6. Term &amp; Renewal</w:t>
      </w:r>
      <w:bookmarkEnd w:id="28"/>
    </w:p>
    <w:p>
      <w:pPr>
        <w:pStyle w:val="FirstParagraph"/>
      </w:pPr>
      <w:r>
        <w:rPr>
          <w:b/>
        </w:rPr>
        <w:t xml:space="preserve">Standard position:</w:t>
      </w:r>
      <w:r>
        <w:t xml:space="preserve"> </w:t>
      </w:r>
      <w:r>
        <w:t xml:space="preserve">&gt; The initial term is twelve (12) months. The Agreement renews only upon the Parties’ mutual written agreement, or, if auto-renewal is used, renews for successive twelve (12) month terms unless either Party gives thirty (30) days’ written notice of non-renewal.</w:t>
      </w:r>
    </w:p>
    <w:p>
      <w:pPr>
        <w:pStyle w:val="BodyText"/>
      </w:pPr>
      <w:r>
        <w:rPr>
          <w:b/>
        </w:rPr>
        <w:t xml:space="preserve">Why / fallback:</w:t>
      </w:r>
      <w:r>
        <w:t xml:space="preserve"> </w:t>
      </w:r>
      <w:r>
        <w:t xml:space="preserve">A 90-day non-renewal window on an evergreen term is a trap — shorten to 30 days, or prefer renewal only by affirmative mutual agreement.</w:t>
      </w:r>
    </w:p>
    <w:p>
      <w:pPr>
        <w:pStyle w:val="Heading2"/>
      </w:pPr>
      <w:bookmarkStart w:id="29" w:name="termination"/>
      <w:r>
        <w:t xml:space="preserve">7. Termination</w:t>
      </w:r>
      <w:bookmarkEnd w:id="29"/>
    </w:p>
    <w:p>
      <w:pPr>
        <w:pStyle w:val="FirstParagraph"/>
      </w:pPr>
      <w:r>
        <w:rPr>
          <w:b/>
        </w:rPr>
        <w:t xml:space="preserve">Standard position:</w:t>
      </w:r>
      <w:r>
        <w:t xml:space="preserve"> </w:t>
      </w:r>
      <w:r>
        <w:t xml:space="preserve">&gt; Either Party may terminate for convenience on thirty (30) days’ written notice. Either Party may terminate for cause upon the other’s material breach not cured within thirty (30) days of notice. Upon termination, the Client pays only for Services properly performed and non-cancelable expenses incurred through the effective date of termination; no unearned or future-term fees accelerate or become due.</w:t>
      </w:r>
    </w:p>
    <w:p>
      <w:pPr>
        <w:pStyle w:val="BodyText"/>
      </w:pPr>
      <w:r>
        <w:rPr>
          <w:b/>
        </w:rPr>
        <w:t xml:space="preserve">Why / fallback:</w:t>
      </w:r>
      <w:r>
        <w:t xml:space="preserve"> </w:t>
      </w:r>
      <w:r>
        <w:t xml:space="preserve">Termination for convenience must be mutual, not Consultant-only. Reject acceleration of remaining-term fees on termination.</w:t>
      </w:r>
    </w:p>
    <w:p>
      <w:pPr>
        <w:pStyle w:val="Heading2"/>
      </w:pPr>
      <w:bookmarkStart w:id="30" w:name="assignment"/>
      <w:r>
        <w:t xml:space="preserve">8. Assignment</w:t>
      </w:r>
      <w:bookmarkEnd w:id="30"/>
    </w:p>
    <w:p>
      <w:pPr>
        <w:pStyle w:val="FirstParagraph"/>
      </w:pPr>
      <w:r>
        <w:rPr>
          <w:b/>
        </w:rPr>
        <w:t xml:space="preserve">Standard position:</w:t>
      </w:r>
      <w:r>
        <w:t xml:space="preserve"> </w:t>
      </w:r>
      <w:r>
        <w:t xml:space="preserve">&gt; Neither Party may assign this Agreement without the other’s prior written consent, except that either Party may assign to a successor in connection with a merger or sale of substantially all assets upon written notice. Any prohibited assignment is void.</w:t>
      </w:r>
    </w:p>
    <w:p>
      <w:pPr>
        <w:pStyle w:val="BodyText"/>
      </w:pPr>
      <w:r>
        <w:rPr>
          <w:b/>
        </w:rPr>
        <w:t xml:space="preserve">Why / fallback:</w:t>
      </w:r>
      <w:r>
        <w:t xml:space="preserve"> </w:t>
      </w:r>
      <w:r>
        <w:t xml:space="preserve">Assignment rights must be reciprocal. A clause letting the Consultant freely assign while barring the Client is off-market — make it mutual.</w:t>
      </w:r>
    </w:p>
    <w:p>
      <w:pPr>
        <w:pStyle w:val="Heading2"/>
      </w:pPr>
      <w:bookmarkStart w:id="31" w:name="confidentiality"/>
      <w:r>
        <w:t xml:space="preserve">9. Confidentiality</w:t>
      </w:r>
      <w:bookmarkEnd w:id="31"/>
    </w:p>
    <w:p>
      <w:pPr>
        <w:pStyle w:val="FirstParagraph"/>
      </w:pPr>
      <w:r>
        <w:rPr>
          <w:b/>
        </w:rPr>
        <w:t xml:space="preserve">Standard position:</w:t>
      </w:r>
      <w:r>
        <w:t xml:space="preserve"> </w:t>
      </w:r>
      <w:r>
        <w:t xml:space="preserve">&gt; Each Party will use the other’s Confidential Information only to perform under this Agreement, will protect it with at least reasonable care, and will not disclose it except to personnel and advisors with a need to know who are bound by confidentiality. Confidential Information excludes information that is or becomes public through no fault of the receiving Party, was already known to it, is independently developed without use of the disclosing Party’s information, or is rightfully received from a third party. Obligations survive for three (3) years after termination; trade secrets remain protected for as long as they qualify as trade secrets.</w:t>
      </w:r>
    </w:p>
    <w:p>
      <w:pPr>
        <w:pStyle w:val="BodyText"/>
      </w:pPr>
      <w:r>
        <w:rPr>
          <w:b/>
        </w:rPr>
        <w:t xml:space="preserve">Why / fallback:</w:t>
      </w:r>
      <w:r>
        <w:t xml:space="preserve"> </w:t>
      </w:r>
      <w:r>
        <w:t xml:space="preserve">Reject carve-outs that exempt the vendor’s</w:t>
      </w:r>
      <w:r>
        <w:t xml:space="preserve"> </w:t>
      </w:r>
      <w:r>
        <w:t xml:space="preserve">“</w:t>
      </w:r>
      <w:r>
        <w:t xml:space="preserve">general knowledge</w:t>
      </w:r>
      <w:r>
        <w:t xml:space="preserve">”</w:t>
      </w:r>
      <w:r>
        <w:t xml:space="preserve"> </w:t>
      </w:r>
      <w:r>
        <w:t xml:space="preserve">from confidentiality. Ensure standard exclusions and a defined survival period (3–5 years; trade secrets indefinitely).</w:t>
      </w:r>
    </w:p>
    <w:p>
      <w:pPr>
        <w:pStyle w:val="Heading2"/>
      </w:pPr>
      <w:bookmarkStart w:id="32" w:name="governing-law-dispute-resolution"/>
      <w:r>
        <w:t xml:space="preserve">10. Governing Law &amp; Dispute Resolution</w:t>
      </w:r>
      <w:bookmarkEnd w:id="32"/>
    </w:p>
    <w:p>
      <w:pPr>
        <w:pStyle w:val="FirstParagraph"/>
      </w:pPr>
      <w:r>
        <w:rPr>
          <w:b/>
        </w:rPr>
        <w:t xml:space="preserve">Standard position:</w:t>
      </w:r>
      <w:r>
        <w:t xml:space="preserve"> </w:t>
      </w:r>
      <w:r>
        <w:t xml:space="preserve">&gt; This Agreement is governed by the laws of the State of Indiana, without regard to conflict-of-laws principles, and the Parties submit to the exclusive jurisdiction of the state and federal courts located in Marion County, Indiana. Each Party bears its own attorneys’ fees and costs unless a statute provides otherwise.</w:t>
      </w:r>
    </w:p>
    <w:p>
      <w:pPr>
        <w:pStyle w:val="BodyText"/>
      </w:pPr>
      <w:r>
        <w:rPr>
          <w:b/>
        </w:rPr>
        <w:t xml:space="preserve">Why / fallback:</w:t>
      </w:r>
      <w:r>
        <w:t xml:space="preserve"> </w:t>
      </w:r>
      <w:r>
        <w:t xml:space="preserve">Prefer ONB’s home state (Indiana) and home venue. Be cautious with mandatory arbitration and</w:t>
      </w:r>
      <w:r>
        <w:t xml:space="preserve"> </w:t>
      </w:r>
      <w:r>
        <w:t xml:space="preserve">“</w:t>
      </w:r>
      <w:r>
        <w:t xml:space="preserve">prevailing party pays fees,</w:t>
      </w:r>
      <w:r>
        <w:t xml:space="preserve">”</w:t>
      </w:r>
      <w:r>
        <w:t xml:space="preserve"> </w:t>
      </w:r>
      <w:r>
        <w:t xml:space="preserve">which can increase exposure; class-action/jury waivers are negotiable but should be evaluated, not accepted by default.</w:t>
      </w:r>
    </w:p>
    <w:p>
      <w:pPr>
        <w:pStyle w:val="Heading2"/>
      </w:pPr>
      <w:bookmarkStart w:id="33" w:name="insurance"/>
      <w:r>
        <w:t xml:space="preserve">11. Insurance</w:t>
      </w:r>
      <w:bookmarkEnd w:id="33"/>
    </w:p>
    <w:p>
      <w:pPr>
        <w:pStyle w:val="FirstParagraph"/>
      </w:pPr>
      <w:r>
        <w:rPr>
          <w:b/>
        </w:rPr>
        <w:t xml:space="preserve">Standard position:</w:t>
      </w:r>
      <w:r>
        <w:t xml:space="preserve"> </w:t>
      </w:r>
      <w:r>
        <w:t xml:space="preserve">&gt; Throughout the term, the Consultant will maintain, at its own expense: commercial general liability ($1,000,000 per occurrence / $2,000,000 aggregate); professional liability/errors &amp; omissions ($2,000,000); cyber/technology liability ($2,000,000) where the Consultant accesses Client data; and workers’ compensation at statutory limits. The Consultant will name the Client as an additional insured on the general liability policy and provide certificates of insurance on request.</w:t>
      </w:r>
    </w:p>
    <w:p>
      <w:pPr>
        <w:pStyle w:val="BodyText"/>
      </w:pPr>
      <w:r>
        <w:rPr>
          <w:b/>
        </w:rPr>
        <w:t xml:space="preserve">Why / fallback:</w:t>
      </w:r>
      <w:r>
        <w:t xml:space="preserve"> </w:t>
      </w:r>
      <w:r>
        <w:t xml:space="preserve">The sample omits insurance entirely — flag as a missing protective clause. Adjust limits to risk and ONB’s third-party risk standards.</w:t>
      </w:r>
    </w:p>
    <w:p>
      <w:r>
        <w:pict>
          <v:rect style="width:0;height:1.5pt" o:hralign="center" o:hrstd="t" o:hr="t"/>
        </w:pict>
      </w:r>
    </w:p>
    <w:p>
      <w:pPr>
        <w:pStyle w:val="Heading1"/>
      </w:pPr>
      <w:bookmarkStart w:id="34" w:name="part-2-mutual-non-disclosure-agreements"/>
      <w:r>
        <w:t xml:space="preserve">Part 2 — Mutual Non-Disclosure Agreements</w:t>
      </w:r>
      <w:bookmarkEnd w:id="34"/>
    </w:p>
    <w:p>
      <w:pPr>
        <w:pStyle w:val="Heading2"/>
      </w:pPr>
      <w:bookmarkStart w:id="35" w:name="X3b699989498b35ab6ad63fab980479266e1f843"/>
      <w:r>
        <w:t xml:space="preserve">N1. Definition of Confidential Information</w:t>
      </w:r>
      <w:bookmarkEnd w:id="35"/>
    </w:p>
    <w:p>
      <w:pPr>
        <w:pStyle w:val="FirstParagraph"/>
      </w:pPr>
      <w:r>
        <w:rPr>
          <w:b/>
        </w:rPr>
        <w:t xml:space="preserve">Standard position:</w:t>
      </w:r>
      <w:r>
        <w:t xml:space="preserve"> </w:t>
      </w:r>
      <w:r>
        <w:t xml:space="preserve">&gt;</w:t>
      </w:r>
      <w:r>
        <w:t xml:space="preserve"> </w:t>
      </w:r>
      <w:r>
        <w:t xml:space="preserve">“</w:t>
      </w:r>
      <w:r>
        <w:t xml:space="preserve">Confidential Information</w:t>
      </w:r>
      <w:r>
        <w:t xml:space="preserve">”</w:t>
      </w:r>
      <w:r>
        <w:t xml:space="preserve"> </w:t>
      </w:r>
      <w:r>
        <w:t xml:space="preserve">means non-public information disclosed by a Party that is either marked or identified as confidential at the time of disclosure or that a reasonable person would understand to be confidential given its nature and the circumstances of disclosure.</w:t>
      </w:r>
    </w:p>
    <w:p>
      <w:pPr>
        <w:pStyle w:val="BodyText"/>
      </w:pPr>
      <w:r>
        <w:rPr>
          <w:b/>
        </w:rPr>
        <w:t xml:space="preserve">Why / fallback:</w:t>
      </w:r>
      <w:r>
        <w:t xml:space="preserve"> </w:t>
      </w:r>
      <w:r>
        <w:t xml:space="preserve">Reject</w:t>
      </w:r>
      <w:r>
        <w:t xml:space="preserve"> </w:t>
      </w:r>
      <w:r>
        <w:t xml:space="preserve">“</w:t>
      </w:r>
      <w:r>
        <w:t xml:space="preserve">all information exchanged is presumed confidential.</w:t>
      </w:r>
      <w:r>
        <w:t xml:space="preserve">”</w:t>
      </w:r>
      <w:r>
        <w:t xml:space="preserve"> </w:t>
      </w:r>
      <w:r>
        <w:t xml:space="preserve">Tie the definition to marking or to a reasonableness standard so obligations are workable.</w:t>
      </w:r>
    </w:p>
    <w:p>
      <w:pPr>
        <w:pStyle w:val="Heading2"/>
      </w:pPr>
      <w:bookmarkStart w:id="36" w:name="n2.-exclusions"/>
      <w:r>
        <w:t xml:space="preserve">N2. Exclusions</w:t>
      </w:r>
      <w:bookmarkEnd w:id="36"/>
    </w:p>
    <w:p>
      <w:pPr>
        <w:pStyle w:val="FirstParagraph"/>
      </w:pPr>
      <w:r>
        <w:rPr>
          <w:b/>
        </w:rPr>
        <w:t xml:space="preserve">Standard position:</w:t>
      </w:r>
      <w:r>
        <w:t xml:space="preserve"> </w:t>
      </w:r>
      <w:r>
        <w:t xml:space="preserve">&gt; Confidential Information does not include information that: (a) is or becomes publicly available through no breach by the receiving Party; (b) was rightfully known to the receiving Party without confidentiality obligation before disclosure; (c) is independently developed by the receiving Party without use of or reference to the disclosing Party’s Confidential Information; or (d) is rightfully obtained from a third party without confidentiality obligation.</w:t>
      </w:r>
    </w:p>
    <w:p>
      <w:pPr>
        <w:pStyle w:val="BodyText"/>
      </w:pPr>
      <w:r>
        <w:rPr>
          <w:b/>
        </w:rPr>
        <w:t xml:space="preserve">Why / fallback:</w:t>
      </w:r>
      <w:r>
        <w:t xml:space="preserve"> </w:t>
      </w:r>
      <w:r>
        <w:t xml:space="preserve">The sample is missing (b), (c), and (d). All four standard exclusions must be present — flag the omissions.</w:t>
      </w:r>
    </w:p>
    <w:p>
      <w:pPr>
        <w:pStyle w:val="Heading2"/>
      </w:pPr>
      <w:bookmarkStart w:id="37" w:name="n3.-obligations-permitted-use"/>
      <w:r>
        <w:t xml:space="preserve">N3. Obligations &amp; Permitted Use</w:t>
      </w:r>
      <w:bookmarkEnd w:id="37"/>
    </w:p>
    <w:p>
      <w:pPr>
        <w:pStyle w:val="FirstParagraph"/>
      </w:pPr>
      <w:r>
        <w:rPr>
          <w:b/>
        </w:rPr>
        <w:t xml:space="preserve">Standard position:</w:t>
      </w:r>
      <w:r>
        <w:t xml:space="preserve"> </w:t>
      </w:r>
      <w:r>
        <w:t xml:space="preserve">&gt; The receiving Party will use Confidential Information solely for the Purpose, protect it with at least the same degree of care it uses for its own confidential information of like importance (and no less than reasonable care), and disclose it only to its employees, affiliates, and advisors who have a need to know and are bound by confidentiality obligations at least as protective as these.</w:t>
      </w:r>
    </w:p>
    <w:p>
      <w:pPr>
        <w:pStyle w:val="BodyText"/>
      </w:pPr>
      <w:r>
        <w:rPr>
          <w:b/>
        </w:rPr>
        <w:t xml:space="preserve">Why / fallback:</w:t>
      </w:r>
      <w:r>
        <w:t xml:space="preserve"> </w:t>
      </w:r>
      <w:r>
        <w:t xml:space="preserve">Acceptable as-is in the sample; confirm the</w:t>
      </w:r>
      <w:r>
        <w:t xml:space="preserve"> </w:t>
      </w:r>
      <w:r>
        <w:t xml:space="preserve">“</w:t>
      </w:r>
      <w:r>
        <w:t xml:space="preserve">need to know</w:t>
      </w:r>
      <w:r>
        <w:t xml:space="preserve">”</w:t>
      </w:r>
      <w:r>
        <w:t xml:space="preserve"> </w:t>
      </w:r>
      <w:r>
        <w:t xml:space="preserve">and</w:t>
      </w:r>
      <w:r>
        <w:t xml:space="preserve"> </w:t>
      </w:r>
      <w:r>
        <w:t xml:space="preserve">“</w:t>
      </w:r>
      <w:r>
        <w:t xml:space="preserve">bound by obligations</w:t>
      </w:r>
      <w:r>
        <w:t xml:space="preserve">”</w:t>
      </w:r>
      <w:r>
        <w:t xml:space="preserve"> </w:t>
      </w:r>
      <w:r>
        <w:t xml:space="preserve">language is present.</w:t>
      </w:r>
    </w:p>
    <w:p>
      <w:pPr>
        <w:pStyle w:val="Heading2"/>
      </w:pPr>
      <w:bookmarkStart w:id="38" w:name="n4.-term-survival"/>
      <w:r>
        <w:t xml:space="preserve">N4. Term &amp; Survival</w:t>
      </w:r>
      <w:bookmarkEnd w:id="38"/>
    </w:p>
    <w:p>
      <w:pPr>
        <w:pStyle w:val="FirstParagraph"/>
      </w:pPr>
      <w:r>
        <w:rPr>
          <w:b/>
        </w:rPr>
        <w:t xml:space="preserve">Standard position:</w:t>
      </w:r>
      <w:r>
        <w:t xml:space="preserve"> </w:t>
      </w:r>
      <w:r>
        <w:t xml:space="preserve">&gt; This Agreement remains in effect for two (2) years from the Effective Date. The receiving Party’s confidentiality obligations survive for three (3) years after disclosure of the relevant Confidential Information, except that obligations with respect to trade secrets continue for as long as the information remains a trade secret under applicable law.</w:t>
      </w:r>
    </w:p>
    <w:p>
      <w:pPr>
        <w:pStyle w:val="BodyText"/>
      </w:pPr>
      <w:r>
        <w:rPr>
          <w:b/>
        </w:rPr>
        <w:t xml:space="preserve">Why / fallback:</w:t>
      </w:r>
      <w:r>
        <w:t xml:space="preserve"> </w:t>
      </w:r>
      <w:r>
        <w:t xml:space="preserve">Reject perpetual obligations for all information. Standard is a defined term plus a 2–5 year survival; trade secrets only get the indefinite tail.</w:t>
      </w:r>
    </w:p>
    <w:p>
      <w:pPr>
        <w:pStyle w:val="Heading2"/>
      </w:pPr>
      <w:bookmarkStart w:id="39" w:name="n5.-residuals"/>
      <w:r>
        <w:t xml:space="preserve">N5. Residuals</w:t>
      </w:r>
      <w:bookmarkEnd w:id="39"/>
    </w:p>
    <w:p>
      <w:pPr>
        <w:pStyle w:val="FirstParagraph"/>
      </w:pPr>
      <w:r>
        <w:rPr>
          <w:b/>
        </w:rPr>
        <w:t xml:space="preserve">Standard position:</w:t>
      </w:r>
      <w:r>
        <w:t xml:space="preserve"> </w:t>
      </w:r>
      <w:r>
        <w:t xml:space="preserve">&gt; [Preferred] No residuals clause. [If required] Any residuals right must be mutual and limited to information unintentionally retained in unaided memory, and must not extend to the disclosing Party’s trade secrets or to any deliberate memorization.</w:t>
      </w:r>
    </w:p>
    <w:p>
      <w:pPr>
        <w:pStyle w:val="BodyText"/>
      </w:pPr>
      <w:r>
        <w:rPr>
          <w:b/>
        </w:rPr>
        <w:t xml:space="preserve">Why / fallback:</w:t>
      </w:r>
      <w:r>
        <w:t xml:space="preserve"> </w:t>
      </w:r>
      <w:r>
        <w:t xml:space="preserve">A one-sided residuals clause favoring only the counterparty is a red-line. Prefer deletion; if unavoidable, make it mutual and narrow.</w:t>
      </w:r>
    </w:p>
    <w:p>
      <w:pPr>
        <w:pStyle w:val="Heading2"/>
      </w:pPr>
      <w:bookmarkStart w:id="40" w:name="n6.-compelled-disclosure"/>
      <w:r>
        <w:t xml:space="preserve">N6. Compelled Disclosure</w:t>
      </w:r>
      <w:bookmarkEnd w:id="40"/>
    </w:p>
    <w:p>
      <w:pPr>
        <w:pStyle w:val="FirstParagraph"/>
      </w:pPr>
      <w:r>
        <w:rPr>
          <w:b/>
        </w:rPr>
        <w:t xml:space="preserve">Standard position:</w:t>
      </w:r>
      <w:r>
        <w:t xml:space="preserve"> </w:t>
      </w:r>
      <w:r>
        <w:t xml:space="preserve">&gt; If the receiving Party is required by law or legal process to disclose Confidential Information, it may do so provided it gives the disclosing Party prompt written notice (where legally permitted) and reasonable cooperation to seek protective treatment, and discloses only the portion legally required.</w:t>
      </w:r>
    </w:p>
    <w:p>
      <w:pPr>
        <w:pStyle w:val="BodyText"/>
      </w:pPr>
      <w:r>
        <w:rPr>
          <w:b/>
        </w:rPr>
        <w:t xml:space="preserve">Why / fallback:</w:t>
      </w:r>
      <w:r>
        <w:t xml:space="preserve"> </w:t>
      </w:r>
      <w:r>
        <w:t xml:space="preserve">The sample omits this — add it so legally compelled disclosure is not itself a breach.</w:t>
      </w:r>
    </w:p>
    <w:p>
      <w:pPr>
        <w:pStyle w:val="Heading2"/>
      </w:pPr>
      <w:bookmarkStart w:id="41" w:name="n7.-remedies"/>
      <w:r>
        <w:t xml:space="preserve">N7. Remedies</w:t>
      </w:r>
      <w:bookmarkEnd w:id="41"/>
    </w:p>
    <w:p>
      <w:pPr>
        <w:pStyle w:val="FirstParagraph"/>
      </w:pPr>
      <w:r>
        <w:rPr>
          <w:b/>
        </w:rPr>
        <w:t xml:space="preserve">Standard position:</w:t>
      </w:r>
      <w:r>
        <w:t xml:space="preserve"> </w:t>
      </w:r>
      <w:r>
        <w:t xml:space="preserve">&gt; The Parties agree that breach may cause irreparable harm for which monetary damages are inadequate, and the disclosing Party may seek injunctive relief in addition to other available remedies. The Parties do not agree to fixed or liquidated damages for breach.</w:t>
      </w:r>
    </w:p>
    <w:p>
      <w:pPr>
        <w:pStyle w:val="BodyText"/>
      </w:pPr>
      <w:r>
        <w:rPr>
          <w:b/>
        </w:rPr>
        <w:t xml:space="preserve">Why / fallback:</w:t>
      </w:r>
      <w:r>
        <w:t xml:space="preserve"> </w:t>
      </w:r>
      <w:r>
        <w:t xml:space="preserve">Injunctive-relief language is standard. Reject fixed per-disclosure liquidated damages (e.g., the sample’s $25,000/disclosure) as a penalty that may be unenforceable.</w:t>
      </w:r>
    </w:p>
    <w:p>
      <w:pPr>
        <w:pStyle w:val="Heading2"/>
      </w:pPr>
      <w:bookmarkStart w:id="42" w:name="n8.-governing-law"/>
      <w:r>
        <w:t xml:space="preserve">N8. Governing Law</w:t>
      </w:r>
      <w:bookmarkEnd w:id="42"/>
    </w:p>
    <w:p>
      <w:pPr>
        <w:pStyle w:val="FirstParagraph"/>
      </w:pPr>
      <w:r>
        <w:rPr>
          <w:b/>
        </w:rPr>
        <w:t xml:space="preserve">Standard position:</w:t>
      </w:r>
      <w:r>
        <w:t xml:space="preserve"> </w:t>
      </w:r>
      <w:r>
        <w:t xml:space="preserve">&gt; This Agreement is governed by the laws of the State of Indiana, without regard to conflict-of-laws principles.</w:t>
      </w:r>
    </w:p>
    <w:p>
      <w:pPr>
        <w:pStyle w:val="BodyText"/>
      </w:pPr>
      <w:r>
        <w:rPr>
          <w:b/>
        </w:rPr>
        <w:t xml:space="preserve">Why / fallback:</w:t>
      </w:r>
      <w:r>
        <w:t xml:space="preserve"> </w:t>
      </w:r>
      <w:r>
        <w:t xml:space="preserve">Prefer ONB’s home state where possible.</w:t>
      </w:r>
    </w:p>
    <w:p>
      <w:r>
        <w:pict>
          <v:rect style="width:0;height:1.5pt" o:hralign="center" o:hrstd="t" o:hr="t"/>
        </w:pict>
      </w:r>
    </w:p>
    <w:p>
      <w:pPr>
        <w:pStyle w:val="FirstParagraph"/>
      </w:pPr>
      <w:r>
        <w:rPr>
          <w:i/>
        </w:rPr>
        <w:t xml:space="preserve">Reminder: this playbook is synthetic training material. Verify any clause against ONB’s actual standards and applicable law before relying on 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2026-06-01T18:20:48Z</dcterms:created>
  <dcterms:modified xsi:type="dcterms:W3CDTF">2026-06-01T18:20:48Z</dcterms:modified>
</cp:coreProperties>
</file>

<file path=docProps/custom.xml><?xml version="1.0" encoding="utf-8"?>
<Properties xmlns="http://schemas.openxmlformats.org/officeDocument/2006/custom-properties" xmlns:vt="http://schemas.openxmlformats.org/officeDocument/2006/docPropsVTypes"/>
</file>