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ersana-customer-activity-history"/>
      <w:r>
        <w:t xml:space="preserve">Versana — Customer Activity History</w:t>
      </w:r>
      <w:bookmarkEnd w:id="20"/>
    </w:p>
    <w:p>
      <w:pPr>
        <w:pStyle w:val="BlockText"/>
      </w:pPr>
      <w:r>
        <w:rPr>
          <w:b/>
        </w:rPr>
        <w:t xml:space="preserve">Fictional.</w:t>
      </w:r>
      <w:r>
        <w:t xml:space="preserve"> </w:t>
      </w:r>
      <w:r>
        <w:t xml:space="preserve">Clearly fictional sample content for a Microsoft 365 Copilot workshop. All customer names, volumes, escalation references, and contact details are placeholders. Do not use as a real customer reference.</w:t>
      </w:r>
    </w:p>
    <w:p>
      <w:pPr>
        <w:pStyle w:val="FirstParagraph"/>
      </w:pPr>
      <w:r>
        <w:t xml:space="preserve">Use this document when preparing for customer meetings, drafting check-in emails, or summarizing account status. Each customer summary covers the last 12 months and ends with observations a CS or product team would actually flag.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ldridge-capital-partners"/>
      <w:r>
        <w:t xml:space="preserve">Aldridge Capital Partners</w:t>
      </w:r>
      <w:bookmarkEnd w:id="21"/>
    </w:p>
    <w:p>
      <w:pPr>
        <w:pStyle w:val="FirstParagraph"/>
      </w:pPr>
      <w:r>
        <w:rPr>
          <w:b/>
        </w:rPr>
        <w:t xml:space="preserve">Profile:</w:t>
      </w:r>
      <w:r>
        <w:t xml:space="preserve"> </w:t>
      </w:r>
      <w:r>
        <w:t xml:space="preserve">Mid-sized asset manager. Uses Type A loan administration integration.</w:t>
      </w:r>
    </w:p>
    <w:p>
      <w:pPr>
        <w:pStyle w:val="BodyText"/>
      </w:pPr>
      <w:r>
        <w:rPr>
          <w:b/>
        </w:rPr>
        <w:t xml:space="preserve">Key Contacts</w:t>
      </w:r>
      <w:r>
        <w:t xml:space="preserve"> </w:t>
      </w:r>
      <w:r>
        <w:t xml:space="preserve">- Diana Park, VP of Operations (primary relationship holder)</w:t>
      </w:r>
      <w:r>
        <w:t xml:space="preserve"> </w:t>
      </w:r>
      <w:r>
        <w:t xml:space="preserve">- Tom Brooks, Operations Lead (day-to-day contact)</w:t>
      </w:r>
      <w:r>
        <w:t xml:space="preserve"> </w:t>
      </w:r>
      <w:r>
        <w:t xml:space="preserve">- Renee Patel, Compliance Officer</w:t>
      </w:r>
    </w:p>
    <w:p>
      <w:pPr>
        <w:pStyle w:val="BodyText"/>
      </w:pPr>
      <w:r>
        <w:rPr>
          <w:b/>
        </w:rPr>
        <w:t xml:space="preserve">Recent Activity (Last 12 Months)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Q2 2025:</w:t>
      </w:r>
      <w:r>
        <w:t xml:space="preserve"> </w:t>
      </w:r>
      <w:r>
        <w:t xml:space="preserve">18,000 monthly reconciliation transactions. Average run time 14 minutes. Diana mentioned interest in adding Type B coverage during quarterly review.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Q3 2025:</w:t>
      </w:r>
      <w:r>
        <w:t xml:space="preserve"> </w:t>
      </w:r>
      <w:r>
        <w:t xml:space="preserve">22,000 monthly transactions. Onboarded onto faster polling cadence (15-min standard). Discrepancy rate held steady. Tom praised the discrepancy dashboard pagination fix.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Q4 2025:</w:t>
      </w:r>
      <w:r>
        <w:t xml:space="preserve"> </w:t>
      </w:r>
      <w:r>
        <w:t xml:space="preserve">28,000 monthly transactions. Volume spike from new mandate. Three high-severity discrepancies on Type B partner (cross-side issues). Resolved on average within 2 business days.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Q1 2026:</w:t>
      </w:r>
      <w:r>
        <w:t xml:space="preserve"> </w:t>
      </w:r>
      <w:r>
        <w:t xml:space="preserve">30,000 monthly transactions. Diana asked about a multi-year renewal — open to extending if Type B becomes available in the next release.</w:t>
      </w:r>
    </w:p>
    <w:p>
      <w:pPr>
        <w:pStyle w:val="FirstParagraph"/>
      </w:pPr>
      <w:r>
        <w:rPr>
          <w:b/>
        </w:rPr>
        <w:t xml:space="preserve">Observations</w:t>
      </w:r>
    </w:p>
    <w:p>
      <w:pPr>
        <w:numPr>
          <w:ilvl w:val="0"/>
          <w:numId w:val="1002"/>
        </w:numPr>
        <w:pStyle w:val="Compact"/>
      </w:pPr>
      <w:r>
        <w:t xml:space="preserve">Volume has grown ~65% from Q2 2025 peak; usage trajectory is up</w:t>
      </w:r>
    </w:p>
    <w:p>
      <w:pPr>
        <w:numPr>
          <w:ilvl w:val="0"/>
          <w:numId w:val="1002"/>
        </w:numPr>
        <w:pStyle w:val="Compact"/>
      </w:pPr>
      <w:r>
        <w:t xml:space="preserve">Multi-year renewal candidate</w:t>
      </w:r>
    </w:p>
    <w:p>
      <w:pPr>
        <w:numPr>
          <w:ilvl w:val="0"/>
          <w:numId w:val="1002"/>
        </w:numPr>
        <w:pStyle w:val="Compact"/>
      </w:pPr>
      <w:r>
        <w:t xml:space="preserve">Strong design-partner candidate for Type B</w:t>
      </w:r>
    </w:p>
    <w:p>
      <w:pPr>
        <w:numPr>
          <w:ilvl w:val="0"/>
          <w:numId w:val="1002"/>
        </w:numPr>
        <w:pStyle w:val="Compact"/>
      </w:pPr>
      <w:r>
        <w:t xml:space="preserve">One open ticket about Macon-area data feed latency — pending engineering review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elmont-trust-services"/>
      <w:r>
        <w:t xml:space="preserve">Belmont Trust Services</w:t>
      </w:r>
      <w:bookmarkEnd w:id="22"/>
    </w:p>
    <w:p>
      <w:pPr>
        <w:pStyle w:val="FirstParagraph"/>
      </w:pPr>
      <w:r>
        <w:rPr>
          <w:b/>
        </w:rPr>
        <w:t xml:space="preserve">Profile:</w:t>
      </w:r>
      <w:r>
        <w:t xml:space="preserve"> </w:t>
      </w:r>
      <w:r>
        <w:t xml:space="preserve">Fund administrator. Uses Type A only. Smallest tier customer.</w:t>
      </w:r>
    </w:p>
    <w:p>
      <w:pPr>
        <w:pStyle w:val="BodyText"/>
      </w:pPr>
      <w:r>
        <w:rPr>
          <w:b/>
        </w:rPr>
        <w:t xml:space="preserve">Key Contacts</w:t>
      </w:r>
      <w:r>
        <w:t xml:space="preserve"> </w:t>
      </w:r>
      <w:r>
        <w:t xml:space="preserve">- Marcus Chen, Senior Director of Operations</w:t>
      </w:r>
      <w:r>
        <w:t xml:space="preserve"> </w:t>
      </w:r>
      <w:r>
        <w:t xml:space="preserve">- Linda Reyes, Operations Analyst (day-to-day contact)</w:t>
      </w:r>
    </w:p>
    <w:p>
      <w:pPr>
        <w:pStyle w:val="BodyText"/>
      </w:pPr>
      <w:r>
        <w:rPr>
          <w:b/>
        </w:rPr>
        <w:t xml:space="preserve">Recent Activity (Last 12 Months)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Q2 2025:</w:t>
      </w:r>
      <w:r>
        <w:t xml:space="preserve"> </w:t>
      </w:r>
      <w:r>
        <w:t xml:space="preserve">4,500 monthly reconciliation transactions. Onboarded smoothly. Linda’s team reported reduced end-of-day cleanup time (~3 hours per day saved).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Q3 2025:</w:t>
      </w:r>
      <w:r>
        <w:t xml:space="preserve"> </w:t>
      </w:r>
      <w:r>
        <w:t xml:space="preserve">4,800 monthly transactions. Steady. Marcus expressed satisfaction in Q3 review.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Q4 2025:</w:t>
      </w:r>
      <w:r>
        <w:t xml:space="preserve"> </w:t>
      </w:r>
      <w:r>
        <w:t xml:space="preserve">4,200 monthly transactions. Slight seasonal dip. Linda requested the cross-side escalation flow (currently roadmap).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Q1 2026:</w:t>
      </w:r>
      <w:r>
        <w:t xml:space="preserve"> </w:t>
      </w:r>
      <w:r>
        <w:t xml:space="preserve">4,400 monthly transactions. Stable. Marcus mentioned a potential Type B expansion in 12 months if the integration ships in the next release.</w:t>
      </w:r>
    </w:p>
    <w:p>
      <w:pPr>
        <w:pStyle w:val="FirstParagraph"/>
      </w:pPr>
      <w:r>
        <w:rPr>
          <w:b/>
        </w:rPr>
        <w:t xml:space="preserve">Observations</w:t>
      </w:r>
    </w:p>
    <w:p>
      <w:pPr>
        <w:numPr>
          <w:ilvl w:val="0"/>
          <w:numId w:val="1004"/>
        </w:numPr>
        <w:pStyle w:val="Compact"/>
      </w:pPr>
      <w:r>
        <w:t xml:space="preserve">Stable but small. Strong satisfaction; low risk.</w:t>
      </w:r>
    </w:p>
    <w:p>
      <w:pPr>
        <w:numPr>
          <w:ilvl w:val="0"/>
          <w:numId w:val="1004"/>
        </w:numPr>
        <w:pStyle w:val="Compact"/>
      </w:pPr>
      <w:r>
        <w:t xml:space="preserve">Single-integration user — natural Type B expansion target when Type B ships</w:t>
      </w:r>
    </w:p>
    <w:p>
      <w:pPr>
        <w:numPr>
          <w:ilvl w:val="0"/>
          <w:numId w:val="1004"/>
        </w:numPr>
        <w:pStyle w:val="Compact"/>
      </w:pPr>
      <w:r>
        <w:t xml:space="preserve">Annual contract renewal in Q3 2026</w:t>
      </w:r>
    </w:p>
    <w:p>
      <w:pPr>
        <w:numPr>
          <w:ilvl w:val="0"/>
          <w:numId w:val="1004"/>
        </w:numPr>
        <w:pStyle w:val="Compact"/>
      </w:pPr>
      <w:r>
        <w:t xml:space="preserve">Linda’s request for cross-side escalation flow should be tracked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resswell-asset-management"/>
      <w:r>
        <w:t xml:space="preserve">Cresswell Asset Management</w:t>
      </w:r>
      <w:bookmarkEnd w:id="23"/>
    </w:p>
    <w:p>
      <w:pPr>
        <w:pStyle w:val="FirstParagraph"/>
      </w:pPr>
      <w:r>
        <w:rPr>
          <w:b/>
        </w:rPr>
        <w:t xml:space="preserve">Profile:</w:t>
      </w:r>
      <w:r>
        <w:t xml:space="preserve"> </w:t>
      </w:r>
      <w:r>
        <w:t xml:space="preserve">Top-quartile customer. Uses Type A + Type B (Type B is in beta for this customer as design partner).</w:t>
      </w:r>
    </w:p>
    <w:p>
      <w:pPr>
        <w:pStyle w:val="BodyText"/>
      </w:pPr>
      <w:r>
        <w:rPr>
          <w:b/>
        </w:rPr>
        <w:t xml:space="preserve">Key Contacts</w:t>
      </w:r>
      <w:r>
        <w:t xml:space="preserve"> </w:t>
      </w:r>
      <w:r>
        <w:t xml:space="preserve">- Daniel Park, Head of Operations (executive sponsor)</w:t>
      </w:r>
      <w:r>
        <w:t xml:space="preserve"> </w:t>
      </w:r>
      <w:r>
        <w:t xml:space="preserve">- Marie Chen, Senior Operations Manager (primary contact)</w:t>
      </w:r>
      <w:r>
        <w:t xml:space="preserve"> </w:t>
      </w:r>
      <w:r>
        <w:t xml:space="preserve">- Lou Kim, Engineering Liaison (works with Versana eng team on Type B pilot)</w:t>
      </w:r>
    </w:p>
    <w:p>
      <w:pPr>
        <w:pStyle w:val="BodyText"/>
      </w:pPr>
      <w:r>
        <w:rPr>
          <w:b/>
        </w:rPr>
        <w:t xml:space="preserve">Recent Activity (Last 12 Months)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Q2 2025:</w:t>
      </w:r>
      <w:r>
        <w:t xml:space="preserve"> </w:t>
      </w:r>
      <w:r>
        <w:t xml:space="preserve">75,000 monthly transactions. Strong adoption. Marie’s team is the heaviest user of the discrepancy dashboard.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Q3 2025:</w:t>
      </w:r>
      <w:r>
        <w:t xml:space="preserve"> </w:t>
      </w:r>
      <w:r>
        <w:t xml:space="preserve">88,000 monthly transactions. Daniel began Type B design-partner discussions. Versana engineering team partnered with Lou’s group on the API design.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Q4 2025:</w:t>
      </w:r>
      <w:r>
        <w:t xml:space="preserve"> </w:t>
      </w:r>
      <w:r>
        <w:t xml:space="preserve">95,000 monthly transactions. Type B pilot started for 3 of 8 partner systems. Reconciliation lag reduced from 18 to 9 minutes after the Sprint 47 release.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Q1 2026:</w:t>
      </w:r>
      <w:r>
        <w:t xml:space="preserve"> </w:t>
      </w:r>
      <w:r>
        <w:t xml:space="preserve">100,000+ monthly transactions. Type B pilot expanded to 6 partner systems. Daniel raised the polling cadence question (15-min vs 5-min); Marie escalated three Type B partner-API rate-limit issues.</w:t>
      </w:r>
    </w:p>
    <w:p>
      <w:pPr>
        <w:pStyle w:val="FirstParagraph"/>
      </w:pPr>
      <w:r>
        <w:rPr>
          <w:b/>
        </w:rPr>
        <w:t xml:space="preserve">Observations</w:t>
      </w:r>
    </w:p>
    <w:p>
      <w:pPr>
        <w:numPr>
          <w:ilvl w:val="0"/>
          <w:numId w:val="1006"/>
        </w:numPr>
        <w:pStyle w:val="Compact"/>
      </w:pPr>
      <w:r>
        <w:t xml:space="preserve">Largest customer by volume. Critical relationship.</w:t>
      </w:r>
    </w:p>
    <w:p>
      <w:pPr>
        <w:numPr>
          <w:ilvl w:val="0"/>
          <w:numId w:val="1006"/>
        </w:numPr>
        <w:pStyle w:val="Compact"/>
      </w:pPr>
      <w:r>
        <w:t xml:space="preserve">Active design partner for Type B — relationship is high-value but also high-touch</w:t>
      </w:r>
    </w:p>
    <w:p>
      <w:pPr>
        <w:numPr>
          <w:ilvl w:val="0"/>
          <w:numId w:val="1006"/>
        </w:numPr>
        <w:pStyle w:val="Compact"/>
      </w:pPr>
      <w:r>
        <w:t xml:space="preserve">Three open Type B partner-API rate-limit tickets — track tightly</w:t>
      </w:r>
    </w:p>
    <w:p>
      <w:pPr>
        <w:numPr>
          <w:ilvl w:val="0"/>
          <w:numId w:val="1006"/>
        </w:numPr>
        <w:pStyle w:val="Compact"/>
      </w:pPr>
      <w:r>
        <w:t xml:space="preserve">Daniel mentioned a possible 3-year renewal at next QBR; opportunity to lock in pricing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rayton-vance-financial"/>
      <w:r>
        <w:t xml:space="preserve">Drayton &amp; Vance Financial</w:t>
      </w:r>
      <w:bookmarkEnd w:id="24"/>
    </w:p>
    <w:p>
      <w:pPr>
        <w:pStyle w:val="FirstParagraph"/>
      </w:pPr>
      <w:r>
        <w:rPr>
          <w:b/>
        </w:rPr>
        <w:t xml:space="preserve">Profile:</w:t>
      </w:r>
      <w:r>
        <w:t xml:space="preserve"> </w:t>
      </w:r>
      <w:r>
        <w:t xml:space="preserve">Mid-tier bank. Uses Type A only. Compliance-driven workload.</w:t>
      </w:r>
    </w:p>
    <w:p>
      <w:pPr>
        <w:pStyle w:val="BodyText"/>
      </w:pPr>
      <w:r>
        <w:rPr>
          <w:b/>
        </w:rPr>
        <w:t xml:space="preserve">Key Contacts</w:t>
      </w:r>
      <w:r>
        <w:t xml:space="preserve"> </w:t>
      </w:r>
      <w:r>
        <w:t xml:space="preserve">- Patricia Wu, Compliance Director (primary relationship holder — drives the relationship)</w:t>
      </w:r>
      <w:r>
        <w:t xml:space="preserve"> </w:t>
      </w:r>
      <w:r>
        <w:t xml:space="preserve">- Robert Singh, Operations Manager</w:t>
      </w:r>
      <w:r>
        <w:t xml:space="preserve"> </w:t>
      </w:r>
      <w:r>
        <w:t xml:space="preserve">- Hannah Lee, Internal Auditor</w:t>
      </w:r>
    </w:p>
    <w:p>
      <w:pPr>
        <w:pStyle w:val="BodyText"/>
      </w:pPr>
      <w:r>
        <w:rPr>
          <w:b/>
        </w:rPr>
        <w:t xml:space="preserve">Recent Activity (Last 12 Months)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Q2 2025:</w:t>
      </w:r>
      <w:r>
        <w:t xml:space="preserve"> </w:t>
      </w:r>
      <w:r>
        <w:t xml:space="preserve">12,000 monthly transactions. Patricia’s compliance team is the primary user; usage is driven by audit prep cycles.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Q3 2025:</w:t>
      </w:r>
      <w:r>
        <w:t xml:space="preserve"> </w:t>
      </w:r>
      <w:r>
        <w:t xml:space="preserve">14,000 monthly transactions. Patricia requested a quarterly compliance review report; Versana CS built a custom template.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Q4 2025:</w:t>
      </w:r>
      <w:r>
        <w:t xml:space="preserve"> </w:t>
      </w:r>
      <w:r>
        <w:t xml:space="preserve">16,500 monthly transactions. Heavy audit-prep month. Patricia praised the audit-log export feature.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Q1 2026:</w:t>
      </w:r>
      <w:r>
        <w:t xml:space="preserve"> </w:t>
      </w:r>
      <w:r>
        <w:t xml:space="preserve">11,000 monthly transactions. Audit cycle ended. Patricia raised a question about regulatory data feeds (Type D roadmap item).</w:t>
      </w:r>
    </w:p>
    <w:p>
      <w:pPr>
        <w:pStyle w:val="FirstParagraph"/>
      </w:pPr>
      <w:r>
        <w:rPr>
          <w:b/>
        </w:rPr>
        <w:t xml:space="preserve">Observations</w:t>
      </w:r>
    </w:p>
    <w:p>
      <w:pPr>
        <w:numPr>
          <w:ilvl w:val="0"/>
          <w:numId w:val="1008"/>
        </w:numPr>
        <w:pStyle w:val="Compact"/>
      </w:pPr>
      <w:r>
        <w:t xml:space="preserve">Compliance-driven usage cycle — volume tracks the audit calendar</w:t>
      </w:r>
    </w:p>
    <w:p>
      <w:pPr>
        <w:numPr>
          <w:ilvl w:val="0"/>
          <w:numId w:val="1008"/>
        </w:numPr>
        <w:pStyle w:val="Compact"/>
      </w:pPr>
      <w:r>
        <w:t xml:space="preserve">Strong relationship anchored by audit-log feature</w:t>
      </w:r>
    </w:p>
    <w:p>
      <w:pPr>
        <w:numPr>
          <w:ilvl w:val="0"/>
          <w:numId w:val="1008"/>
        </w:numPr>
        <w:pStyle w:val="Compact"/>
      </w:pPr>
      <w:r>
        <w:t xml:space="preserve">Type D (regulatory data) is the natural expansion target when roadmap ships</w:t>
      </w:r>
    </w:p>
    <w:p>
      <w:pPr>
        <w:numPr>
          <w:ilvl w:val="0"/>
          <w:numId w:val="1008"/>
        </w:numPr>
        <w:pStyle w:val="Compact"/>
      </w:pPr>
      <w:r>
        <w:t xml:space="preserve">Annual contract renewal in Q1 2027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llesmere-funds"/>
      <w:r>
        <w:t xml:space="preserve">Ellesmere Funds</w:t>
      </w:r>
      <w:bookmarkEnd w:id="25"/>
    </w:p>
    <w:p>
      <w:pPr>
        <w:pStyle w:val="FirstParagraph"/>
      </w:pPr>
      <w:r>
        <w:rPr>
          <w:b/>
        </w:rPr>
        <w:t xml:space="preserve">Profile:</w:t>
      </w:r>
      <w:r>
        <w:t xml:space="preserve"> </w:t>
      </w:r>
      <w:r>
        <w:t xml:space="preserve">At-risk customer. Uses Type A. Volume declined sharply over the last 6 months.</w:t>
      </w:r>
    </w:p>
    <w:p>
      <w:pPr>
        <w:pStyle w:val="BodyText"/>
      </w:pPr>
      <w:r>
        <w:rPr>
          <w:b/>
        </w:rPr>
        <w:t xml:space="preserve">Key Contacts</w:t>
      </w:r>
      <w:r>
        <w:t xml:space="preserve"> </w:t>
      </w:r>
      <w:r>
        <w:t xml:space="preserve">- Carolyn Foster, COO (executive sponsor — has gone quiet)</w:t>
      </w:r>
      <w:r>
        <w:t xml:space="preserve"> </w:t>
      </w:r>
      <w:r>
        <w:t xml:space="preserve">- Jorge Vasquez, Operations Lead (last active contact)</w:t>
      </w:r>
      <w:r>
        <w:t xml:space="preserve"> </w:t>
      </w:r>
      <w:r>
        <w:t xml:space="preserve">- Open position: prior Director of Operations left in Q4</w:t>
      </w:r>
    </w:p>
    <w:p>
      <w:pPr>
        <w:pStyle w:val="BodyText"/>
      </w:pPr>
      <w:r>
        <w:rPr>
          <w:b/>
        </w:rPr>
        <w:t xml:space="preserve">Recent Activity (Last 12 Months)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Q2 2025:</w:t>
      </w:r>
      <w:r>
        <w:t xml:space="preserve"> </w:t>
      </w:r>
      <w:r>
        <w:t xml:space="preserve">15,000 monthly transactions. Healthy usage. Versana CS reviewed expansion options with Carolyn — no decision made.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Q3 2025:</w:t>
      </w:r>
      <w:r>
        <w:t xml:space="preserve"> </w:t>
      </w:r>
      <w:r>
        <w:t xml:space="preserve">13,000 monthly transactions. Director of Operations left at end of quarter. Jorge took over day-to-day but with reduced bandwidth.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Q4 2025:</w:t>
      </w:r>
      <w:r>
        <w:t xml:space="preserve"> </w:t>
      </w:r>
      <w:r>
        <w:t xml:space="preserve">9,000 monthly transactions. Usage dropped 30%. Two high-severity discrepancies took 3+ business days to resolve due to partner-side issues. Customer experience was poor.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Q1 2026:</w:t>
      </w:r>
      <w:r>
        <w:t xml:space="preserve"> </w:t>
      </w:r>
      <w:r>
        <w:t xml:space="preserve">6,000 monthly transactions. Decline continued. Jorge stopped responding to Versana CS outreach. Carolyn has not responded to the last two check-ins.</w:t>
      </w:r>
    </w:p>
    <w:p>
      <w:pPr>
        <w:pStyle w:val="FirstParagraph"/>
      </w:pPr>
      <w:r>
        <w:rPr>
          <w:b/>
        </w:rPr>
        <w:t xml:space="preserve">Observations</w:t>
      </w:r>
    </w:p>
    <w:p>
      <w:pPr>
        <w:numPr>
          <w:ilvl w:val="0"/>
          <w:numId w:val="1010"/>
        </w:numPr>
        <w:pStyle w:val="Compact"/>
      </w:pPr>
      <w:r>
        <w:t xml:space="preserve">Usage dropped ~60% in 6 months — at-risk</w:t>
      </w:r>
    </w:p>
    <w:p>
      <w:pPr>
        <w:numPr>
          <w:ilvl w:val="0"/>
          <w:numId w:val="1010"/>
        </w:numPr>
        <w:pStyle w:val="Compact"/>
      </w:pPr>
      <w:r>
        <w:t xml:space="preserve">No Director of Operations replacement; relationship is unanchored</w:t>
      </w:r>
    </w:p>
    <w:p>
      <w:pPr>
        <w:numPr>
          <w:ilvl w:val="0"/>
          <w:numId w:val="1010"/>
        </w:numPr>
        <w:pStyle w:val="Compact"/>
      </w:pPr>
      <w:r>
        <w:t xml:space="preserve">The Q4 escalation experience may be driving the silence</w:t>
      </w:r>
    </w:p>
    <w:p>
      <w:pPr>
        <w:numPr>
          <w:ilvl w:val="0"/>
          <w:numId w:val="1010"/>
        </w:numPr>
        <w:pStyle w:val="Compact"/>
      </w:pPr>
      <w:r>
        <w:t xml:space="preserve">Contract renewal in Q4 2026 — needs intervention well before</w:t>
      </w:r>
    </w:p>
    <w:p>
      <w:pPr>
        <w:numPr>
          <w:ilvl w:val="0"/>
          <w:numId w:val="1010"/>
        </w:numPr>
        <w:pStyle w:val="Compact"/>
      </w:pPr>
      <w:r>
        <w:t xml:space="preserve">Cross-side escalation workflow (when it ships) directly addresses the Q4 root cause; worth a re-engagement touchpoint when it lands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quick-reference-summary"/>
      <w:r>
        <w:t xml:space="preserve">Quick-Reference Summary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Renewal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Expansion Opportunity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Aldridge Capital</w:t>
            </w:r>
          </w:p>
        </w:tc>
        <w:tc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p>
            <w:pPr>
              <w:pStyle w:val="Compact"/>
              <w:jc w:val="left"/>
            </w:pPr>
            <w:r>
              <w:t xml:space="preserve">Q3 2026 (multi-year candidate)</w:t>
            </w:r>
          </w:p>
        </w:tc>
        <w:tc>
          <w:p>
            <w:pPr>
              <w:pStyle w:val="Compact"/>
              <w:jc w:val="left"/>
            </w:pPr>
            <w:r>
              <w:t xml:space="preserve">Type B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Belmont Trust</w:t>
            </w:r>
          </w:p>
        </w:tc>
        <w:tc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p>
            <w:pPr>
              <w:pStyle w:val="Compact"/>
              <w:jc w:val="left"/>
            </w:pPr>
            <w:r>
              <w:t xml:space="preserve">Stable</w:t>
            </w:r>
          </w:p>
        </w:tc>
        <w:tc>
          <w:p>
            <w:pPr>
              <w:pStyle w:val="Compact"/>
              <w:jc w:val="left"/>
            </w:pPr>
            <w:r>
              <w:t xml:space="preserve">Q3 2026</w:t>
            </w:r>
          </w:p>
        </w:tc>
        <w:tc>
          <w:p>
            <w:pPr>
              <w:pStyle w:val="Compact"/>
              <w:jc w:val="left"/>
            </w:pPr>
            <w:r>
              <w:t xml:space="preserve">Type B integration (12-month horizon)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Cresswell Asset Mgmt</w:t>
            </w:r>
          </w:p>
        </w:tc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Strongest</w:t>
            </w:r>
          </w:p>
        </w:tc>
        <w:tc>
          <w:p>
            <w:pPr>
              <w:pStyle w:val="Compact"/>
              <w:jc w:val="left"/>
            </w:pPr>
            <w:r>
              <w:t xml:space="preserve">Q4 2026 (3-year candidate)</w:t>
            </w:r>
          </w:p>
        </w:tc>
        <w:tc>
          <w:p>
            <w:pPr>
              <w:pStyle w:val="Compact"/>
              <w:jc w:val="left"/>
            </w:pPr>
            <w:r>
              <w:t xml:space="preserve">Type C / regulatory roadmap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Drayton &amp; Vance</w:t>
            </w:r>
          </w:p>
        </w:tc>
        <w:tc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p>
            <w:pPr>
              <w:pStyle w:val="Compact"/>
              <w:jc w:val="left"/>
            </w:pPr>
            <w:r>
              <w:t xml:space="preserve">Stable</w:t>
            </w:r>
          </w:p>
        </w:tc>
        <w:tc>
          <w:p>
            <w:pPr>
              <w:pStyle w:val="Compact"/>
              <w:jc w:val="left"/>
            </w:pPr>
            <w:r>
              <w:t xml:space="preserve">Q1 2027</w:t>
            </w:r>
          </w:p>
        </w:tc>
        <w:tc>
          <w:p>
            <w:pPr>
              <w:pStyle w:val="Compact"/>
              <w:jc w:val="left"/>
            </w:pPr>
            <w:r>
              <w:t xml:space="preserve">Type D (regulatory 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Ellesmere Funds</w:t>
            </w:r>
          </w:p>
        </w:tc>
        <w:tc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p>
            <w:pPr>
              <w:pStyle w:val="Compact"/>
              <w:jc w:val="left"/>
            </w:pPr>
            <w:r>
              <w:t xml:space="preserve">At-risk</w:t>
            </w:r>
          </w:p>
        </w:tc>
        <w:tc>
          <w:p>
            <w:pPr>
              <w:pStyle w:val="Compact"/>
              <w:jc w:val="left"/>
            </w:pPr>
            <w:r>
              <w:t xml:space="preserve">Q4 2026</w:t>
            </w:r>
          </w:p>
        </w:tc>
        <w:tc>
          <w:p>
            <w:pPr>
              <w:pStyle w:val="Compact"/>
              <w:jc w:val="left"/>
            </w:pPr>
            <w:r>
              <w:t xml:space="preserve">Re-engagement first; expansion later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version: Workshop sample, May 2026. All content fictional.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2026-05-19T02:34:19Z</dcterms:created>
  <dcterms:modified xsi:type="dcterms:W3CDTF">2026-05-19T02:34:19Z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