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bfb4010b2acc30a7957684d35f7882e0863a6f"/>
      <w:r>
        <w:t xml:space="preserve">Versana — Customer Business Review Transcript</w:t>
      </w:r>
      <w:bookmarkEnd w:id="20"/>
    </w:p>
    <w:p>
      <w:pPr>
        <w:pStyle w:val="BlockText"/>
      </w:pPr>
      <w:r>
        <w:rPr>
          <w:b/>
        </w:rPr>
        <w:t xml:space="preserve">Fictional.</w:t>
      </w:r>
      <w:r>
        <w:t xml:space="preserve"> </w:t>
      </w:r>
      <w:r>
        <w:t xml:space="preserve">Clearly fictional sample transcript created for a Microsoft 365 Copilot workshop. All names, customer references, and statements are placeholders. The transcript is intentionally messy and conversational so Copilot has something realistic to summarize.</w:t>
      </w:r>
    </w:p>
    <w:p>
      <w:r>
        <w:pict>
          <v:rect style="width:0;height:1.5pt" o:hralign="center" o:hrstd="t" o:hr="t"/>
        </w:pict>
      </w:r>
    </w:p>
    <w:p>
      <w:pPr>
        <w:pStyle w:val="FirstParagraph"/>
      </w:pPr>
      <w:r>
        <w:rPr>
          <w:b/>
        </w:rPr>
        <w:t xml:space="preserve">Meeting:</w:t>
      </w:r>
      <w:r>
        <w:t xml:space="preserve"> </w:t>
      </w:r>
      <w:r>
        <w:t xml:space="preserve">Quarterly business review with Cresswell Asset Management</w:t>
      </w:r>
      <w:r>
        <w:t xml:space="preserve"> </w:t>
      </w:r>
      <w:r>
        <w:rPr>
          <w:b/>
        </w:rPr>
        <w:t xml:space="preserve">Format:</w:t>
      </w:r>
      <w:r>
        <w:t xml:space="preserve"> </w:t>
      </w:r>
      <w:r>
        <w:t xml:space="preserve">Microsoft Teams</w:t>
      </w:r>
      <w:r>
        <w:t xml:space="preserve"> </w:t>
      </w:r>
      <w:r>
        <w:rPr>
          <w:b/>
        </w:rPr>
        <w:t xml:space="preserve">Date:</w:t>
      </w:r>
      <w:r>
        <w:t xml:space="preserve"> </w:t>
      </w:r>
      <w:r>
        <w:rPr>
          <w:i/>
        </w:rPr>
        <w:t xml:space="preserve">(fictional)</w:t>
      </w:r>
      <w:r>
        <w:t xml:space="preserve"> </w:t>
      </w:r>
      <w:r>
        <w:t xml:space="preserve">— Thursday afternoon</w:t>
      </w:r>
      <w:r>
        <w:t xml:space="preserve"> </w:t>
      </w:r>
      <w:r>
        <w:rPr>
          <w:b/>
        </w:rPr>
        <w:t xml:space="preserve">Attendees (fictional roles):</w:t>
      </w:r>
    </w:p>
    <w:p>
      <w:pPr>
        <w:numPr>
          <w:ilvl w:val="0"/>
          <w:numId w:val="1001"/>
        </w:numPr>
        <w:pStyle w:val="Compact"/>
      </w:pPr>
      <w:r>
        <w:t xml:space="preserve">Diana Park — Versana Customer Success Lead</w:t>
      </w:r>
    </w:p>
    <w:p>
      <w:pPr>
        <w:numPr>
          <w:ilvl w:val="0"/>
          <w:numId w:val="1001"/>
        </w:numPr>
        <w:pStyle w:val="Compact"/>
      </w:pPr>
      <w:r>
        <w:t xml:space="preserve">Marie Chen — Cresswell Senior Operations Manager (primary contact)</w:t>
      </w:r>
    </w:p>
    <w:p>
      <w:pPr>
        <w:numPr>
          <w:ilvl w:val="0"/>
          <w:numId w:val="1001"/>
        </w:numPr>
        <w:pStyle w:val="Compact"/>
      </w:pPr>
      <w:r>
        <w:t xml:space="preserve">Lou Kim — Cresswell Engineering Liaison</w:t>
      </w:r>
    </w:p>
    <w:p>
      <w:pPr>
        <w:numPr>
          <w:ilvl w:val="0"/>
          <w:numId w:val="1001"/>
        </w:numPr>
        <w:pStyle w:val="Compact"/>
      </w:pPr>
      <w:r>
        <w:t xml:space="preserve">Daniel Park — Cresswell Head of Operations (executive sponsor)</w:t>
      </w:r>
    </w:p>
    <w:p>
      <w:pPr>
        <w:numPr>
          <w:ilvl w:val="0"/>
          <w:numId w:val="1001"/>
        </w:numPr>
        <w:pStyle w:val="Compact"/>
      </w:pPr>
      <w:r>
        <w:t xml:space="preserve">R. Patel — Versana Product Manager (joined for the Type B portion)</w:t>
      </w:r>
    </w:p>
    <w:p>
      <w:r>
        <w:pict>
          <v:rect style="width:0;height:1.5pt" o:hralign="center" o:hrstd="t" o:hr="t"/>
        </w:pict>
      </w:r>
    </w:p>
    <w:p>
      <w:pPr>
        <w:pStyle w:val="FirstParagraph"/>
      </w:pPr>
      <w:r>
        <w:rPr>
          <w:b/>
        </w:rPr>
        <w:t xml:space="preserve">Diana Park (Versana CS):</w:t>
      </w:r>
      <w:r>
        <w:t xml:space="preserve"> </w:t>
      </w:r>
      <w:r>
        <w:t xml:space="preserve">Marie, Daniel, Lou — thanks for making time for the quarterly review. I know last quarter was a heavy one between the Sprint 47 release and the Type B pilot ramp. Want to walk through Q1 numbers, get your feedback on what’s working and what isn’t, and then look ahead to what we’d like to lock in for the next quarter. Sound good?</w:t>
      </w:r>
    </w:p>
    <w:p>
      <w:pPr>
        <w:pStyle w:val="BodyText"/>
      </w:pPr>
      <w:r>
        <w:rPr>
          <w:b/>
        </w:rPr>
        <w:t xml:space="preserve">Marie Chen (Cresswell):</w:t>
      </w:r>
      <w:r>
        <w:t xml:space="preserve"> </w:t>
      </w:r>
      <w:r>
        <w:t xml:space="preserve">Sounds good. Q1 was busy on our side too. Volume’s up — we crossed 100,000 monthly reconciliation transactions for the first time. The Sprint 47 improvements landed at the right time.</w:t>
      </w:r>
    </w:p>
    <w:p>
      <w:pPr>
        <w:pStyle w:val="BodyText"/>
      </w:pPr>
      <w:r>
        <w:rPr>
          <w:b/>
        </w:rPr>
        <w:t xml:space="preserve">Diana:</w:t>
      </w:r>
      <w:r>
        <w:t xml:space="preserve"> </w:t>
      </w:r>
      <w:r>
        <w:t xml:space="preserve">That’s where I wanted to start. The reconciliation engine run-time reduction from Sprint 47 — your team felt that?</w:t>
      </w:r>
    </w:p>
    <w:p>
      <w:pPr>
        <w:pStyle w:val="BodyText"/>
      </w:pPr>
      <w:r>
        <w:rPr>
          <w:b/>
        </w:rPr>
        <w:t xml:space="preserve">Marie:</w:t>
      </w:r>
      <w:r>
        <w:t xml:space="preserve"> </w:t>
      </w:r>
      <w:r>
        <w:t xml:space="preserve">Night and day. Before Sprint 47 we were waiting 18 minutes for end-of-day reconciliation to complete. After — nine minutes, roughly. That’s the difference between getting EOD reporting done before our team’s hard stop and missing it. So yes, that landed.</w:t>
      </w:r>
    </w:p>
    <w:p>
      <w:pPr>
        <w:pStyle w:val="BodyText"/>
      </w:pPr>
      <w:r>
        <w:rPr>
          <w:b/>
        </w:rPr>
        <w:t xml:space="preserve">Lou Kim (Cresswell):</w:t>
      </w:r>
      <w:r>
        <w:t xml:space="preserve"> </w:t>
      </w:r>
      <w:r>
        <w:t xml:space="preserve">And the discrepancy dashboard pagination fix — I know that doesn’t sound like a big deal but for us it was a blocker. Our largest book has about 12,000 rows in the discrepancy view and the page used to time out. Now it doesn’t. Engineering thanks you.</w:t>
      </w:r>
    </w:p>
    <w:p>
      <w:pPr>
        <w:pStyle w:val="BodyText"/>
      </w:pPr>
      <w:r>
        <w:rPr>
          <w:b/>
        </w:rPr>
        <w:t xml:space="preserve">Diana:</w:t>
      </w:r>
      <w:r>
        <w:t xml:space="preserve"> </w:t>
      </w:r>
      <w:r>
        <w:t xml:space="preserve">Good. Speaking of dashboards — Daniel, you raised the polling cadence question last quarter. I know we said it’d be a roadmap conversation. Where are you on that now?</w:t>
      </w:r>
    </w:p>
    <w:p>
      <w:pPr>
        <w:pStyle w:val="BodyText"/>
      </w:pPr>
      <w:r>
        <w:rPr>
          <w:b/>
        </w:rPr>
        <w:t xml:space="preserve">Daniel Park (Cresswell):</w:t>
      </w:r>
      <w:r>
        <w:t xml:space="preserve"> </w:t>
      </w:r>
      <w:r>
        <w:t xml:space="preserve">It’s not blocking us. Fifteen minutes is fine for most of what we do. The question is whether five-minute polling becomes a real option for the Type A integrations specifically. If five-minute is doable on Type A, our Ops team would see a meaningful step change.</w:t>
      </w:r>
    </w:p>
    <w:p>
      <w:pPr>
        <w:pStyle w:val="BodyText"/>
      </w:pPr>
      <w:r>
        <w:rPr>
          <w:b/>
        </w:rPr>
        <w:t xml:space="preserve">R. Patel (Versana Product):</w:t>
      </w:r>
      <w:r>
        <w:t xml:space="preserve"> </w:t>
      </w:r>
      <w:r>
        <w:t xml:space="preserve">That’s the working hypothesis. Five-minute on Type A — we’ve load-tested it on staging and it holds. On Type B, we want to wait until we see actual partner-API behavior in production before promising it. Right now Type B is locked at 15-minute for the pilot.</w:t>
      </w:r>
    </w:p>
    <w:p>
      <w:pPr>
        <w:pStyle w:val="BodyText"/>
      </w:pPr>
      <w:r>
        <w:rPr>
          <w:b/>
        </w:rPr>
        <w:t xml:space="preserve">Daniel:</w:t>
      </w:r>
      <w:r>
        <w:t xml:space="preserve"> </w:t>
      </w:r>
      <w:r>
        <w:t xml:space="preserve">Fine. As long as Type A five-minute lands in the next release, we’re set.</w:t>
      </w:r>
    </w:p>
    <w:p>
      <w:pPr>
        <w:pStyle w:val="BodyText"/>
      </w:pPr>
      <w:r>
        <w:rPr>
          <w:b/>
        </w:rPr>
        <w:t xml:space="preserve">Marie:</w:t>
      </w:r>
      <w:r>
        <w:t xml:space="preserve"> </w:t>
      </w:r>
      <w:r>
        <w:t xml:space="preserve">R., on Type B — we had three rate-limit issues with the partner APIs last quarter. Each took a couple of days to resolve. Where are we on the per-partner backoff work?</w:t>
      </w:r>
    </w:p>
    <w:p>
      <w:pPr>
        <w:pStyle w:val="BodyText"/>
      </w:pPr>
      <w:r>
        <w:rPr>
          <w:b/>
        </w:rPr>
        <w:t xml:space="preserve">R. Patel:</w:t>
      </w:r>
      <w:r>
        <w:t xml:space="preserve"> </w:t>
      </w:r>
      <w:r>
        <w:t xml:space="preserve">Per-partner backoff is in Sprint 48. The carry-over from Sprint 47. We’re moving Type A out from behind the feature flag for the first three pilot customers in 48 — Cresswell is one of those three. Per-partner backoff ships alongside that.</w:t>
      </w:r>
    </w:p>
    <w:p>
      <w:pPr>
        <w:pStyle w:val="BodyText"/>
      </w:pPr>
      <w:r>
        <w:rPr>
          <w:b/>
        </w:rPr>
        <w:t xml:space="preserve">Marie:</w:t>
      </w:r>
      <w:r>
        <w:t xml:space="preserve"> </w:t>
      </w:r>
      <w:r>
        <w:t xml:space="preserve">Good. The rate-limit issues weren’t a deal-breaker but they did cost us hours. If 48 fixes that, we’re in much better shape going into Q2.</w:t>
      </w:r>
    </w:p>
    <w:p>
      <w:pPr>
        <w:pStyle w:val="BodyText"/>
      </w:pPr>
      <w:r>
        <w:rPr>
          <w:b/>
        </w:rPr>
        <w:t xml:space="preserve">Lou:</w:t>
      </w:r>
      <w:r>
        <w:t xml:space="preserve"> </w:t>
      </w:r>
      <w:r>
        <w:t xml:space="preserve">R., one specific question. The cross-side escalation API spike — is that still on the roadmap or did it get bumped?</w:t>
      </w:r>
    </w:p>
    <w:p>
      <w:pPr>
        <w:pStyle w:val="BodyText"/>
      </w:pPr>
      <w:r>
        <w:rPr>
          <w:b/>
        </w:rPr>
        <w:t xml:space="preserve">R. Patel:</w:t>
      </w:r>
      <w:r>
        <w:t xml:space="preserve"> </w:t>
      </w:r>
      <w:r>
        <w:t xml:space="preserve">Spike is happening in Sprint 48. Me and L. — different L., our engineering manager — are owning it. The output of the spike will be a scoped design for the cross-side escalation flow. Once we have that, we’ll size it. Probably ships in Sprint 49 or 50.</w:t>
      </w:r>
    </w:p>
    <w:p>
      <w:pPr>
        <w:pStyle w:val="BodyText"/>
      </w:pPr>
      <w:r>
        <w:rPr>
          <w:b/>
        </w:rPr>
        <w:t xml:space="preserve">Lou:</w:t>
      </w:r>
      <w:r>
        <w:t xml:space="preserve"> </w:t>
      </w:r>
      <w:r>
        <w:t xml:space="preserve">That’d help us. The three high-severity discrepancies in Q4 — two of them were cross-side, and we spent more time figuring out who owned the issue than actually resolving it. A defined escalation flow would change that.</w:t>
      </w:r>
    </w:p>
    <w:p>
      <w:pPr>
        <w:pStyle w:val="BodyText"/>
      </w:pPr>
      <w:r>
        <w:rPr>
          <w:b/>
        </w:rPr>
        <w:t xml:space="preserve">Diana:</w:t>
      </w:r>
      <w:r>
        <w:t xml:space="preserve"> </w:t>
      </w:r>
      <w:r>
        <w:t xml:space="preserve">Daniel, looking ahead — I want to talk about renewal. Your current contract runs through Q4 2026. I’d love to start the conversation about a multi-year renewal. Three years specifically. The benefit on your side is locked-in pricing across the Type B GA transition and across the cadence improvements we just talked about.</w:t>
      </w:r>
    </w:p>
    <w:p>
      <w:pPr>
        <w:pStyle w:val="BodyText"/>
      </w:pPr>
      <w:r>
        <w:rPr>
          <w:b/>
        </w:rPr>
        <w:t xml:space="preserve">Daniel:</w:t>
      </w:r>
      <w:r>
        <w:t xml:space="preserve"> </w:t>
      </w:r>
      <w:r>
        <w:t xml:space="preserve">Multi-year is something we’d consider. The hesitation isn’t pricing — it’s making sure Type B actually ships when you say it’s going to ship. If Type B slips a quarter, that’s fine. If it slips two quarters, that’s a different conversation.</w:t>
      </w:r>
    </w:p>
    <w:p>
      <w:pPr>
        <w:pStyle w:val="BodyText"/>
      </w:pPr>
      <w:r>
        <w:rPr>
          <w:b/>
        </w:rPr>
        <w:t xml:space="preserve">R. Patel:</w:t>
      </w:r>
      <w:r>
        <w:t xml:space="preserve"> </w:t>
      </w:r>
      <w:r>
        <w:t xml:space="preserve">Type B is the second release of the Partner Integration Layer. We’ve committed to that internally. The pilot is running with you, Aldridge, and one other customer right now. We’re not going to push GA out unless we hit a partner-API blocker on more than one partner system.</w:t>
      </w:r>
    </w:p>
    <w:p>
      <w:pPr>
        <w:pStyle w:val="BodyText"/>
      </w:pPr>
      <w:r>
        <w:rPr>
          <w:b/>
        </w:rPr>
        <w:t xml:space="preserve">Daniel:</w:t>
      </w:r>
      <w:r>
        <w:t xml:space="preserve"> </w:t>
      </w:r>
      <w:r>
        <w:t xml:space="preserve">OK. Send me the renewal proposal. Three-year option, with the Type B GA commitment in writing. I’ll bring it to my finance team.</w:t>
      </w:r>
    </w:p>
    <w:p>
      <w:pPr>
        <w:pStyle w:val="BodyText"/>
      </w:pPr>
      <w:r>
        <w:rPr>
          <w:b/>
        </w:rPr>
        <w:t xml:space="preserve">Diana:</w:t>
      </w:r>
      <w:r>
        <w:t xml:space="preserve"> </w:t>
      </w:r>
      <w:r>
        <w:t xml:space="preserve">Will do. I’ll have it to you by end of next week. Marie — one more thing on my side. The compliance reporting template we built for you in Q3 — your team using it?</w:t>
      </w:r>
    </w:p>
    <w:p>
      <w:pPr>
        <w:pStyle w:val="BodyText"/>
      </w:pPr>
      <w:r>
        <w:rPr>
          <w:b/>
        </w:rPr>
        <w:t xml:space="preserve">Marie:</w:t>
      </w:r>
      <w:r>
        <w:t xml:space="preserve"> </w:t>
      </w:r>
      <w:r>
        <w:t xml:space="preserve">We are, and we’ve started extending it. Renee — our compliance officer, who isn’t on this call — she’s been the heaviest user. She’s asked whether we can get the same template shipped as a product feature instead of a custom build. Something we can self-serve.</w:t>
      </w:r>
    </w:p>
    <w:p>
      <w:pPr>
        <w:pStyle w:val="BodyText"/>
      </w:pPr>
      <w:r>
        <w:rPr>
          <w:b/>
        </w:rPr>
        <w:t xml:space="preserve">Diana:</w:t>
      </w:r>
      <w:r>
        <w:t xml:space="preserve"> </w:t>
      </w:r>
      <w:r>
        <w:t xml:space="preserve">I’ll flag that to the product team. R., that’s the kind of</w:t>
      </w:r>
      <w:r>
        <w:t xml:space="preserve"> </w:t>
      </w:r>
      <w:r>
        <w:t xml:space="preserve">“</w:t>
      </w:r>
      <w:r>
        <w:t xml:space="preserve">custom-build that should be productized</w:t>
      </w:r>
      <w:r>
        <w:t xml:space="preserve">”</w:t>
      </w:r>
      <w:r>
        <w:t xml:space="preserve"> </w:t>
      </w:r>
      <w:r>
        <w:t xml:space="preserve">feedback I want to make sure we’re capturing.</w:t>
      </w:r>
    </w:p>
    <w:p>
      <w:pPr>
        <w:pStyle w:val="BodyText"/>
      </w:pPr>
      <w:r>
        <w:rPr>
          <w:b/>
        </w:rPr>
        <w:t xml:space="preserve">R. Patel:</w:t>
      </w:r>
      <w:r>
        <w:t xml:space="preserve"> </w:t>
      </w:r>
      <w:r>
        <w:t xml:space="preserve">Noted. I’ll add it to our Q2 backlog review.</w:t>
      </w:r>
    </w:p>
    <w:p>
      <w:pPr>
        <w:pStyle w:val="BodyText"/>
      </w:pPr>
      <w:r>
        <w:rPr>
          <w:b/>
        </w:rPr>
        <w:t xml:space="preserve">Daniel:</w:t>
      </w:r>
      <w:r>
        <w:t xml:space="preserve"> </w:t>
      </w:r>
      <w:r>
        <w:t xml:space="preserve">Last thing — the design-partner relationship on Type B. Marie, how’s that going from your side?</w:t>
      </w:r>
    </w:p>
    <w:p>
      <w:pPr>
        <w:pStyle w:val="BodyText"/>
      </w:pPr>
      <w:r>
        <w:rPr>
          <w:b/>
        </w:rPr>
        <w:t xml:space="preserve">Marie:</w:t>
      </w:r>
      <w:r>
        <w:t xml:space="preserve"> </w:t>
      </w:r>
      <w:r>
        <w:t xml:space="preserve">Good but heavy. We’ve been doing a weekly sync with R.’s team and that’s been useful. The trade-off is that my team’s spending real engineering hours on something that won’t directly benefit us until Type B GAs. I think we’re getting the design we want, which is the upside.</w:t>
      </w:r>
    </w:p>
    <w:p>
      <w:pPr>
        <w:pStyle w:val="BodyText"/>
      </w:pPr>
      <w:r>
        <w:rPr>
          <w:b/>
        </w:rPr>
        <w:t xml:space="preserve">R. Patel:</w:t>
      </w:r>
      <w:r>
        <w:t xml:space="preserve"> </w:t>
      </w:r>
      <w:r>
        <w:t xml:space="preserve">We’re conscious of that. The output of the design-partner relationship is the API design that ships at GA. So you’re shaping what every Type B customer gets.</w:t>
      </w:r>
    </w:p>
    <w:p>
      <w:pPr>
        <w:pStyle w:val="BodyText"/>
      </w:pPr>
      <w:r>
        <w:rPr>
          <w:b/>
        </w:rPr>
        <w:t xml:space="preserve">Daniel:</w:t>
      </w:r>
      <w:r>
        <w:t xml:space="preserve"> </w:t>
      </w:r>
      <w:r>
        <w:t xml:space="preserve">That’s the right trade for us. Just want to make sure we’re not the only ones putting in time.</w:t>
      </w:r>
    </w:p>
    <w:p>
      <w:pPr>
        <w:pStyle w:val="BodyText"/>
      </w:pPr>
      <w:r>
        <w:rPr>
          <w:b/>
        </w:rPr>
        <w:t xml:space="preserve">Diana:</w:t>
      </w:r>
      <w:r>
        <w:t xml:space="preserve"> </w:t>
      </w:r>
      <w:r>
        <w:t xml:space="preserve">Aldridge and our third pilot are putting in time too — different parts of the design, but similar level of engagement. You’re not carrying it alone.</w:t>
      </w:r>
    </w:p>
    <w:p>
      <w:pPr>
        <w:pStyle w:val="BodyText"/>
      </w:pPr>
      <w:r>
        <w:rPr>
          <w:b/>
        </w:rPr>
        <w:t xml:space="preserve">Marie:</w:t>
      </w:r>
      <w:r>
        <w:t xml:space="preserve"> </w:t>
      </w:r>
      <w:r>
        <w:t xml:space="preserve">Good.</w:t>
      </w:r>
    </w:p>
    <w:p>
      <w:pPr>
        <w:pStyle w:val="BodyText"/>
      </w:pPr>
      <w:r>
        <w:rPr>
          <w:b/>
        </w:rPr>
        <w:t xml:space="preserve">Diana:</w:t>
      </w:r>
      <w:r>
        <w:t xml:space="preserve"> </w:t>
      </w:r>
      <w:r>
        <w:t xml:space="preserve">OK — let me recap action items. (1) R. ships per-partner backoff in Sprint 48 — Marie and Lou will validate. (2) R. drives the cross-side escalation API spike in Sprint 48 with sized design by end of sprint. (3) Diana sends a three-year renewal proposal to Daniel by end of next week, with Type B GA commitment included. (4) Diana flags the compliance reporting template feature request to product for Q2 backlog. (5) Five-minute Type A polling lands in the next release. Anything I missed?</w:t>
      </w:r>
    </w:p>
    <w:p>
      <w:pPr>
        <w:pStyle w:val="BodyText"/>
      </w:pPr>
      <w:r>
        <w:rPr>
          <w:b/>
        </w:rPr>
        <w:t xml:space="preserve">Marie:</w:t>
      </w:r>
      <w:r>
        <w:t xml:space="preserve"> </w:t>
      </w:r>
      <w:r>
        <w:t xml:space="preserve">That’s it.</w:t>
      </w:r>
    </w:p>
    <w:p>
      <w:pPr>
        <w:pStyle w:val="BodyText"/>
      </w:pPr>
      <w:r>
        <w:rPr>
          <w:b/>
        </w:rPr>
        <w:t xml:space="preserve">Daniel:</w:t>
      </w:r>
      <w:r>
        <w:t xml:space="preserve"> </w:t>
      </w:r>
      <w:r>
        <w:t xml:space="preserve">Looks complete. Thanks, Diana. Thanks, R.</w:t>
      </w:r>
    </w:p>
    <w:p>
      <w:pPr>
        <w:pStyle w:val="BodyText"/>
      </w:pPr>
      <w:r>
        <w:rPr>
          <w:b/>
        </w:rPr>
        <w:t xml:space="preserve">Diana:</w:t>
      </w:r>
      <w:r>
        <w:t xml:space="preserve"> </w:t>
      </w:r>
      <w:r>
        <w:t xml:space="preserve">Thank you all. Talk soon.</w:t>
      </w:r>
    </w:p>
    <w:p>
      <w:r>
        <w:pict>
          <v:rect style="width:0;height:1.5pt" o:hralign="center" o:hrstd="t" o:hr="t"/>
        </w:pict>
      </w:r>
    </w:p>
    <w:p>
      <w:pPr>
        <w:pStyle w:val="Heading2"/>
      </w:pPr>
      <w:bookmarkStart w:id="21" w:name="end-of-fictional-transcript."/>
      <w:r>
        <w:t xml:space="preserve">End of fictional transcript.</w:t>
      </w:r>
      <w:bookmarkEnd w:id="21"/>
    </w:p>
    <w:p>
      <w:pPr>
        <w:pStyle w:val="FirstParagraph"/>
      </w:pPr>
      <w:r>
        <w:rPr>
          <w:i/>
        </w:rPr>
        <w:t xml:space="preserve">This transcript exists only to give Copilot a fictional summarization target during the workshop demos. Use it to demonstrate meeting summarization, action-item extraction, and structured-output prompts.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2026-05-19T02:34:19Z</dcterms:created>
  <dcterms:modified xsi:type="dcterms:W3CDTF">2026-05-19T02:34:19Z</dcterms:modified>
</cp:coreProperties>
</file>

<file path=docProps/custom.xml><?xml version="1.0" encoding="utf-8"?>
<Properties xmlns="http://schemas.openxmlformats.org/officeDocument/2006/custom-properties" xmlns:vt="http://schemas.openxmlformats.org/officeDocument/2006/docPropsVTypes"/>
</file>