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versana-integration-catalog"/>
      <w:r>
        <w:t xml:space="preserve">Versana — Integration Catalog</w:t>
      </w:r>
      <w:bookmarkEnd w:id="20"/>
    </w:p>
    <w:p>
      <w:pPr>
        <w:pStyle w:val="BlockText"/>
      </w:pPr>
      <w:r>
        <w:rPr>
          <w:b/>
        </w:rPr>
        <w:t xml:space="preserve">Fictional.</w:t>
      </w:r>
      <w:r>
        <w:t xml:space="preserve"> </w:t>
      </w:r>
      <w:r>
        <w:t xml:space="preserve">Clearly fictional sample content for a Microsoft 365 Copilot workshop. Integration types, partner-system references, pricing tiers, and SLAs are placeholders. Do not use as a real integration or pricing reference.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ntegration-types-at-a-glance"/>
      <w:r>
        <w:t xml:space="preserve">Integration Types at a Glance</w:t>
      </w:r>
      <w:bookmarkEnd w:id="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covers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Initial coverage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Future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A — Loan Administration</w:t>
            </w:r>
          </w:p>
        </w:tc>
        <w:tc>
          <w:p>
            <w:pPr>
              <w:pStyle w:val="Compact"/>
              <w:jc w:val="left"/>
            </w:pPr>
            <w:r>
              <w:t xml:space="preserve">Position, event, status data from loan-administration agent systems</w:t>
            </w:r>
          </w:p>
        </w:tc>
        <w:tc>
          <w:p>
            <w:pPr>
              <w:pStyle w:val="Compact"/>
              <w:jc w:val="left"/>
            </w:pPr>
            <w:r>
              <w:t xml:space="preserve">Read-only ingest</w:t>
            </w:r>
          </w:p>
        </w:tc>
        <w:tc>
          <w:p>
            <w:pPr>
              <w:pStyle w:val="Compact"/>
              <w:jc w:val="left"/>
            </w:pPr>
            <w:r>
              <w:t xml:space="preserve">Real-time eventing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B — Settlement / Operations</w:t>
            </w:r>
          </w:p>
        </w:tc>
        <w:tc>
          <w:p>
            <w:pPr>
              <w:pStyle w:val="Compact"/>
              <w:jc w:val="left"/>
            </w:pPr>
            <w:r>
              <w:t xml:space="preserve">Position, event, settlement data from settlement and operations agent systems</w:t>
            </w:r>
          </w:p>
        </w:tc>
        <w:tc>
          <w:p>
            <w:pPr>
              <w:pStyle w:val="Compact"/>
              <w:jc w:val="left"/>
            </w:pPr>
            <w:r>
              <w:t xml:space="preserve">Read-only ingest</w:t>
            </w:r>
          </w:p>
        </w:tc>
        <w:tc>
          <w:p>
            <w:pPr>
              <w:pStyle w:val="Compact"/>
              <w:jc w:val="left"/>
            </w:pPr>
            <w:r>
              <w:t xml:space="preserve">Eventing + write-back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C — Reference Data</w:t>
            </w:r>
          </w:p>
        </w:tc>
        <w:tc>
          <w:p>
            <w:pPr>
              <w:pStyle w:val="Compact"/>
              <w:jc w:val="left"/>
            </w:pPr>
            <w:r>
              <w:t xml:space="preserve">Reference data feeds (security master, counterparty master)</w:t>
            </w:r>
          </w:p>
        </w:tc>
        <w:tc>
          <w:p>
            <w:pPr>
              <w:pStyle w:val="Compact"/>
              <w:jc w:val="left"/>
            </w:pPr>
            <w:r>
              <w:t xml:space="preserve">(Roadmap)</w:t>
            </w:r>
          </w:p>
        </w:tc>
        <w:tc>
          <w:p>
            <w:pPr>
              <w:pStyle w:val="Compact"/>
              <w:jc w:val="left"/>
            </w:pPr>
            <w:r>
              <w:t xml:space="preserve">(Roadmap)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D — Regulatory</w:t>
            </w:r>
          </w:p>
        </w:tc>
        <w:tc>
          <w:p>
            <w:pPr>
              <w:pStyle w:val="Compact"/>
              <w:jc w:val="left"/>
            </w:pPr>
            <w:r>
              <w:t xml:space="preserve">Compliance and regulatory data feeds</w:t>
            </w:r>
          </w:p>
        </w:tc>
        <w:tc>
          <w:p>
            <w:pPr>
              <w:pStyle w:val="Compact"/>
              <w:jc w:val="left"/>
            </w:pPr>
            <w:r>
              <w:t xml:space="preserve">(Roadmap)</w:t>
            </w:r>
          </w:p>
        </w:tc>
        <w:tc>
          <w:p>
            <w:pPr>
              <w:pStyle w:val="Compact"/>
              <w:jc w:val="left"/>
            </w:pPr>
            <w:r>
              <w:t xml:space="preserve">(Roadmap)</w:t>
            </w:r>
          </w:p>
        </w:tc>
      </w:tr>
    </w:tbl>
    <w:p>
      <w:pPr>
        <w:pStyle w:val="BodyText"/>
      </w:pPr>
      <w:r>
        <w:t xml:space="preserve">This catalog details the two integration types available in the current release: Type A and Type B.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2b55361bfa3b600dd42ad8dd9d156bc3dbd31e3"/>
      <w:r>
        <w:t xml:space="preserve">Type A — Loan Administration Integrations (Detailed)</w:t>
      </w:r>
      <w:bookmarkEnd w:id="22"/>
    </w:p>
    <w:p>
      <w:pPr>
        <w:pStyle w:val="Heading3"/>
      </w:pPr>
      <w:bookmarkStart w:id="23" w:name="what-we-ingest"/>
      <w:r>
        <w:t xml:space="preserve">What we ingest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Position records (open balances, principal, interest accruals)</w:t>
      </w:r>
    </w:p>
    <w:p>
      <w:pPr>
        <w:numPr>
          <w:ilvl w:val="0"/>
          <w:numId w:val="1001"/>
        </w:numPr>
        <w:pStyle w:val="Compact"/>
      </w:pPr>
      <w:r>
        <w:t xml:space="preserve">Event records (rate resets, paydowns, draws, fundings)</w:t>
      </w:r>
    </w:p>
    <w:p>
      <w:pPr>
        <w:numPr>
          <w:ilvl w:val="0"/>
          <w:numId w:val="1001"/>
        </w:numPr>
        <w:pStyle w:val="Compact"/>
      </w:pPr>
      <w:r>
        <w:t xml:space="preserve">Status records (current loan state, lifecycle stage)</w:t>
      </w:r>
    </w:p>
    <w:p>
      <w:pPr>
        <w:numPr>
          <w:ilvl w:val="0"/>
          <w:numId w:val="1001"/>
        </w:numPr>
        <w:pStyle w:val="Compact"/>
      </w:pPr>
      <w:r>
        <w:t xml:space="preserve">Borrower-level summary fields where authorized</w:t>
      </w:r>
    </w:p>
    <w:p>
      <w:pPr>
        <w:pStyle w:val="Heading3"/>
      </w:pPr>
      <w:bookmarkStart w:id="24" w:name="how-it-works"/>
      <w:r>
        <w:t xml:space="preserve">How it works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Versana establishes the partner-system connection during onboarding</w:t>
      </w:r>
    </w:p>
    <w:p>
      <w:pPr>
        <w:numPr>
          <w:ilvl w:val="0"/>
          <w:numId w:val="1002"/>
        </w:numPr>
        <w:pStyle w:val="Compact"/>
      </w:pPr>
      <w:r>
        <w:t xml:space="preserve">Customer authorizes the connection with their partner credentials</w:t>
      </w:r>
    </w:p>
    <w:p>
      <w:pPr>
        <w:numPr>
          <w:ilvl w:val="0"/>
          <w:numId w:val="1002"/>
        </w:numPr>
        <w:pStyle w:val="Compact"/>
      </w:pPr>
      <w:r>
        <w:t xml:space="preserve">Versana polls the partner API on the configured cadence (15-minute baseline)</w:t>
      </w:r>
    </w:p>
    <w:p>
      <w:pPr>
        <w:numPr>
          <w:ilvl w:val="0"/>
          <w:numId w:val="1002"/>
        </w:numPr>
        <w:pStyle w:val="Compact"/>
      </w:pPr>
      <w:r>
        <w:t xml:space="preserve">Versana writes the partner-side data to the customer’s reconciliation staging area</w:t>
      </w:r>
    </w:p>
    <w:p>
      <w:pPr>
        <w:numPr>
          <w:ilvl w:val="0"/>
          <w:numId w:val="1002"/>
        </w:numPr>
        <w:pStyle w:val="Compact"/>
      </w:pPr>
      <w:r>
        <w:t xml:space="preserve">Reconciliation engine compares partner-side data against the customer’s platform-side records</w:t>
      </w:r>
    </w:p>
    <w:p>
      <w:pPr>
        <w:numPr>
          <w:ilvl w:val="0"/>
          <w:numId w:val="1002"/>
        </w:numPr>
        <w:pStyle w:val="Compact"/>
      </w:pPr>
      <w:r>
        <w:t xml:space="preserve">Discrepancies surface in the unified workflow</w:t>
      </w:r>
    </w:p>
    <w:p>
      <w:pPr>
        <w:pStyle w:val="Heading3"/>
      </w:pPr>
      <w:bookmarkStart w:id="25" w:name="pricing-tiers-fictional"/>
      <w:r>
        <w:t xml:space="preserve">Pricing tiers (fictional)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 Volume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 Cost (USD)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Polling Cadence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p>
            <w:pPr>
              <w:pStyle w:val="Compact"/>
              <w:jc w:val="left"/>
            </w:pPr>
            <w:r>
              <w:t xml:space="preserve">&lt; 100,000 transactions</w:t>
            </w:r>
          </w:p>
        </w:tc>
        <w:tc>
          <w:p>
            <w:pPr>
              <w:pStyle w:val="Compact"/>
              <w:jc w:val="left"/>
            </w:pPr>
            <w:r>
              <w:t xml:space="preserve">$60,000</w:t>
            </w:r>
          </w:p>
        </w:tc>
        <w:tc>
          <w:p>
            <w:pPr>
              <w:pStyle w:val="Compact"/>
              <w:jc w:val="left"/>
            </w:pPr>
            <w:r>
              <w:t xml:space="preserve">15-min standard</w:t>
            </w:r>
          </w:p>
        </w:tc>
        <w:tc>
          <w:p>
            <w:pPr>
              <w:pStyle w:val="Compact"/>
              <w:jc w:val="left"/>
            </w:pPr>
            <w:r>
              <w:t xml:space="preserve">Standard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p>
            <w:pPr>
              <w:pStyle w:val="Compact"/>
              <w:jc w:val="left"/>
            </w:pPr>
            <w:r>
              <w:t xml:space="preserve">100,000 – 500,000</w:t>
            </w:r>
          </w:p>
        </w:tc>
        <w:tc>
          <w:p>
            <w:pPr>
              <w:pStyle w:val="Compact"/>
              <w:jc w:val="left"/>
            </w:pPr>
            <w:r>
              <w:t xml:space="preserve">$180,000</w:t>
            </w:r>
          </w:p>
        </w:tc>
        <w:tc>
          <w:p>
            <w:pPr>
              <w:pStyle w:val="Compact"/>
              <w:jc w:val="left"/>
            </w:pPr>
            <w:r>
              <w:t xml:space="preserve">15-min or 5-min</w:t>
            </w:r>
          </w:p>
        </w:tc>
        <w:tc>
          <w:p>
            <w:pPr>
              <w:pStyle w:val="Compact"/>
              <w:jc w:val="left"/>
            </w:pPr>
            <w:r>
              <w:t xml:space="preserve">Dedicated CS 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p>
            <w:pPr>
              <w:pStyle w:val="Compact"/>
              <w:jc w:val="left"/>
            </w:pPr>
            <w:r>
              <w:t xml:space="preserve">500,000+</w:t>
            </w:r>
          </w:p>
        </w:tc>
        <w:tc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p>
            <w:pPr>
              <w:pStyle w:val="Compact"/>
              <w:jc w:val="left"/>
            </w:pPr>
            <w:r>
              <w:t xml:space="preserve">5-min or event-driven</w:t>
            </w:r>
          </w:p>
        </w:tc>
        <w:tc>
          <w:p>
            <w:pPr>
              <w:pStyle w:val="Compact"/>
              <w:jc w:val="left"/>
            </w:pPr>
            <w:r>
              <w:t xml:space="preserve">Dedicated CS + ops support</w:t>
            </w:r>
          </w:p>
        </w:tc>
      </w:tr>
    </w:tbl>
    <w:p>
      <w:pPr>
        <w:pStyle w:val="Heading3"/>
      </w:pPr>
      <w:bookmarkStart w:id="26" w:name="key-differentiators"/>
      <w:r>
        <w:t xml:space="preserve">Key differentiators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15-minute polling cadence (industry baseline: hourly)</w:t>
      </w:r>
    </w:p>
    <w:p>
      <w:pPr>
        <w:numPr>
          <w:ilvl w:val="0"/>
          <w:numId w:val="1003"/>
        </w:numPr>
        <w:pStyle w:val="Compact"/>
      </w:pPr>
      <w:r>
        <w:t xml:space="preserve">Supports the top 5 Type A partner systems out of the box</w:t>
      </w:r>
    </w:p>
    <w:p>
      <w:pPr>
        <w:numPr>
          <w:ilvl w:val="0"/>
          <w:numId w:val="1003"/>
        </w:numPr>
        <w:pStyle w:val="Compact"/>
      </w:pPr>
      <w:r>
        <w:t xml:space="preserve">Per-partner backoff and rate-limit handling</w:t>
      </w:r>
    </w:p>
    <w:p>
      <w:pPr>
        <w:numPr>
          <w:ilvl w:val="0"/>
          <w:numId w:val="1003"/>
        </w:numPr>
        <w:pStyle w:val="Compact"/>
      </w:pPr>
      <w:r>
        <w:t xml:space="preserve">Discrepancy resolution workflow integrated with the reconciliation engine</w:t>
      </w:r>
    </w:p>
    <w:p>
      <w:pPr>
        <w:pStyle w:val="Heading3"/>
      </w:pPr>
      <w:bookmarkStart w:id="27" w:name="common-customer-questions"/>
      <w:r>
        <w:t xml:space="preserve">Common customer questions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Can we change polling cadence per partner?</w:t>
      </w:r>
      <w:r>
        <w:rPr>
          <w:i/>
        </w:rPr>
        <w:t xml:space="preserve">”</w:t>
      </w:r>
      <w:r>
        <w:t xml:space="preserve"> </w:t>
      </w:r>
      <w:r>
        <w:t xml:space="preserve">— Configurable for Growth tier and above</w:t>
      </w:r>
    </w:p>
    <w:p>
      <w:pPr>
        <w:numPr>
          <w:ilvl w:val="0"/>
          <w:numId w:val="1004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What happens during a partner outage?</w:t>
      </w:r>
      <w:r>
        <w:rPr>
          <w:i/>
        </w:rPr>
        <w:t xml:space="preserve">”</w:t>
      </w:r>
      <w:r>
        <w:t xml:space="preserve"> </w:t>
      </w:r>
      <w:r>
        <w:t xml:space="preserve">— Graceful degradation; existing data remains queryable; reconciliation flags stale entries</w:t>
      </w:r>
    </w:p>
    <w:p>
      <w:pPr>
        <w:numPr>
          <w:ilvl w:val="0"/>
          <w:numId w:val="1004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Can we backfill historical data?</w:t>
      </w:r>
      <w:r>
        <w:rPr>
          <w:i/>
        </w:rPr>
        <w:t xml:space="preserve">”</w:t>
      </w:r>
      <w:r>
        <w:t xml:space="preserve"> </w:t>
      </w:r>
      <w:r>
        <w:t xml:space="preserve">— Yes, up to 90 days from go-live for standard tier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3bae7b74b432a188e38f98ce75b7352f8d75262"/>
      <w:r>
        <w:t xml:space="preserve">Type B — Settlement / Operations Integrations (Detailed)</w:t>
      </w:r>
      <w:bookmarkEnd w:id="28"/>
    </w:p>
    <w:p>
      <w:pPr>
        <w:pStyle w:val="Heading3"/>
      </w:pPr>
      <w:bookmarkStart w:id="29" w:name="what-we-ingest-1"/>
      <w:r>
        <w:t xml:space="preserve">What we ingest</w:t>
      </w:r>
      <w:bookmarkEnd w:id="29"/>
    </w:p>
    <w:p>
      <w:pPr>
        <w:numPr>
          <w:ilvl w:val="0"/>
          <w:numId w:val="1005"/>
        </w:numPr>
        <w:pStyle w:val="Compact"/>
      </w:pPr>
      <w:r>
        <w:t xml:space="preserve">Position records (settled positions, pending settlements)</w:t>
      </w:r>
    </w:p>
    <w:p>
      <w:pPr>
        <w:numPr>
          <w:ilvl w:val="0"/>
          <w:numId w:val="1005"/>
        </w:numPr>
        <w:pStyle w:val="Compact"/>
      </w:pPr>
      <w:r>
        <w:t xml:space="preserve">Event records (trades, allocations, confirmations)</w:t>
      </w:r>
    </w:p>
    <w:p>
      <w:pPr>
        <w:numPr>
          <w:ilvl w:val="0"/>
          <w:numId w:val="1005"/>
        </w:numPr>
        <w:pStyle w:val="Compact"/>
      </w:pPr>
      <w:r>
        <w:t xml:space="preserve">Settlement records (settlement-date data, cash projections)</w:t>
      </w:r>
    </w:p>
    <w:p>
      <w:pPr>
        <w:numPr>
          <w:ilvl w:val="0"/>
          <w:numId w:val="1005"/>
        </w:numPr>
        <w:pStyle w:val="Compact"/>
      </w:pPr>
      <w:r>
        <w:t xml:space="preserve">Cross-side discrepancy flags where partner exposes them</w:t>
      </w:r>
    </w:p>
    <w:p>
      <w:pPr>
        <w:pStyle w:val="Heading3"/>
      </w:pPr>
      <w:bookmarkStart w:id="30" w:name="how-it-works-1"/>
      <w:r>
        <w:t xml:space="preserve">How it works</w:t>
      </w:r>
      <w:bookmarkEnd w:id="30"/>
    </w:p>
    <w:p>
      <w:pPr>
        <w:pStyle w:val="FirstParagraph"/>
      </w:pPr>
      <w:r>
        <w:t xml:space="preserve">The flow mirrors Type A but with these differences:</w:t>
      </w:r>
    </w:p>
    <w:p>
      <w:pPr>
        <w:numPr>
          <w:ilvl w:val="0"/>
          <w:numId w:val="1006"/>
        </w:numPr>
        <w:pStyle w:val="Compact"/>
      </w:pPr>
      <w:r>
        <w:t xml:space="preserve">Type B partner APIs are typically less mature; Versana adds a longer engineering ramp during onboarding</w:t>
      </w:r>
    </w:p>
    <w:p>
      <w:pPr>
        <w:numPr>
          <w:ilvl w:val="0"/>
          <w:numId w:val="1006"/>
        </w:numPr>
        <w:pStyle w:val="Compact"/>
      </w:pPr>
      <w:r>
        <w:t xml:space="preserve">Rate limits and intermittent timeouts are more common on Type B; per-partner backoff is more aggressive</w:t>
      </w:r>
    </w:p>
    <w:p>
      <w:pPr>
        <w:numPr>
          <w:ilvl w:val="0"/>
          <w:numId w:val="1006"/>
        </w:numPr>
        <w:pStyle w:val="Compact"/>
      </w:pPr>
      <w:r>
        <w:t xml:space="preserve">Cross-side discrepancies (where partner-side and platform-side disagree on a settlement) are tagged with a partner-side issue flag and routed via the dedicated escalation flow</w:t>
      </w:r>
    </w:p>
    <w:p>
      <w:pPr>
        <w:pStyle w:val="Heading3"/>
      </w:pPr>
      <w:bookmarkStart w:id="31" w:name="pricing-tiers-fictional-1"/>
      <w:r>
        <w:t xml:space="preserve">Pricing tiers (fictional)</w:t>
      </w:r>
      <w:bookmarkEnd w:id="3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 Volume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 Cost (USD)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Polling Cadence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p>
            <w:pPr>
              <w:pStyle w:val="Compact"/>
              <w:jc w:val="left"/>
            </w:pPr>
            <w:r>
              <w:t xml:space="preserve">&lt; 50,000 transactions</w:t>
            </w:r>
          </w:p>
        </w:tc>
        <w:tc>
          <w:p>
            <w:pPr>
              <w:pStyle w:val="Compact"/>
              <w:jc w:val="left"/>
            </w:pPr>
            <w:r>
              <w:t xml:space="preserve">$75,000</w:t>
            </w:r>
          </w:p>
        </w:tc>
        <w:tc>
          <w:p>
            <w:pPr>
              <w:pStyle w:val="Compact"/>
              <w:jc w:val="left"/>
            </w:pPr>
            <w:r>
              <w:t xml:space="preserve">15-min standard</w:t>
            </w:r>
          </w:p>
        </w:tc>
        <w:tc>
          <w:p>
            <w:pPr>
              <w:pStyle w:val="Compact"/>
              <w:jc w:val="left"/>
            </w:pPr>
            <w:r>
              <w:t xml:space="preserve">Standard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p>
            <w:pPr>
              <w:pStyle w:val="Compact"/>
              <w:jc w:val="left"/>
            </w:pPr>
            <w:r>
              <w:t xml:space="preserve">50,000 – 250,000</w:t>
            </w:r>
          </w:p>
        </w:tc>
        <w:tc>
          <w:p>
            <w:pPr>
              <w:pStyle w:val="Compact"/>
              <w:jc w:val="left"/>
            </w:pPr>
            <w:r>
              <w:t xml:space="preserve">$220,000</w:t>
            </w:r>
          </w:p>
        </w:tc>
        <w:tc>
          <w:p>
            <w:pPr>
              <w:pStyle w:val="Compact"/>
              <w:jc w:val="left"/>
            </w:pPr>
            <w:r>
              <w:t xml:space="preserve">15-min only (cadence locked)</w:t>
            </w:r>
          </w:p>
        </w:tc>
        <w:tc>
          <w:p>
            <w:pPr>
              <w:pStyle w:val="Compact"/>
              <w:jc w:val="left"/>
            </w:pPr>
            <w:r>
              <w:t xml:space="preserve">Dedicated CS 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p>
            <w:pPr>
              <w:pStyle w:val="Compact"/>
              <w:jc w:val="left"/>
            </w:pPr>
            <w:r>
              <w:t xml:space="preserve">250,000+</w:t>
            </w:r>
          </w:p>
        </w:tc>
        <w:tc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p>
            <w:pPr>
              <w:pStyle w:val="Compact"/>
              <w:jc w:val="left"/>
            </w:pPr>
            <w:r>
              <w:t xml:space="preserve">Future: event-driven</w:t>
            </w:r>
          </w:p>
        </w:tc>
        <w:tc>
          <w:p>
            <w:pPr>
              <w:pStyle w:val="Compact"/>
              <w:jc w:val="left"/>
            </w:pPr>
            <w:r>
              <w:t xml:space="preserve">Dedicated CS + ops support</w:t>
            </w:r>
          </w:p>
        </w:tc>
      </w:tr>
    </w:tbl>
    <w:p>
      <w:pPr>
        <w:pStyle w:val="Heading3"/>
      </w:pPr>
      <w:bookmarkStart w:id="32" w:name="key-differentiators-1"/>
      <w:r>
        <w:t xml:space="preserve">Key differentiators</w:t>
      </w:r>
      <w:bookmarkEnd w:id="32"/>
    </w:p>
    <w:p>
      <w:pPr>
        <w:numPr>
          <w:ilvl w:val="0"/>
          <w:numId w:val="1007"/>
        </w:numPr>
        <w:pStyle w:val="Compact"/>
      </w:pPr>
      <w:r>
        <w:t xml:space="preserve">Cross-side escalation workflow (where partner supports public ticket APIs)</w:t>
      </w:r>
    </w:p>
    <w:p>
      <w:pPr>
        <w:numPr>
          <w:ilvl w:val="0"/>
          <w:numId w:val="1007"/>
        </w:numPr>
        <w:pStyle w:val="Compact"/>
      </w:pPr>
      <w:r>
        <w:t xml:space="preserve">Settlement-date forecasting via the reconciled cash projection</w:t>
      </w:r>
    </w:p>
    <w:p>
      <w:pPr>
        <w:numPr>
          <w:ilvl w:val="0"/>
          <w:numId w:val="1007"/>
        </w:numPr>
        <w:pStyle w:val="Compact"/>
      </w:pPr>
      <w:r>
        <w:t xml:space="preserve">Higher-touch onboarding to handle Type B partner API immaturity</w:t>
      </w:r>
    </w:p>
    <w:p>
      <w:pPr>
        <w:numPr>
          <w:ilvl w:val="0"/>
          <w:numId w:val="1007"/>
        </w:numPr>
        <w:pStyle w:val="Compact"/>
      </w:pPr>
      <w:r>
        <w:t xml:space="preserve">Compliance-grade audit trail on every settlement-side discrepancy</w:t>
      </w:r>
    </w:p>
    <w:p>
      <w:pPr>
        <w:pStyle w:val="Heading3"/>
      </w:pPr>
      <w:bookmarkStart w:id="33" w:name="common-customer-questions-1"/>
      <w:r>
        <w:t xml:space="preserve">Common customer questions</w:t>
      </w:r>
      <w:bookmarkEnd w:id="33"/>
    </w:p>
    <w:p>
      <w:pPr>
        <w:numPr>
          <w:ilvl w:val="0"/>
          <w:numId w:val="1008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When does Type B go GA?</w:t>
      </w:r>
      <w:r>
        <w:rPr>
          <w:i/>
        </w:rPr>
        <w:t xml:space="preserve">”</w:t>
      </w:r>
      <w:r>
        <w:t xml:space="preserve"> </w:t>
      </w:r>
      <w:r>
        <w:t xml:space="preserve">— Following the Type A first-release pattern; Type B is the second release of the Partner Integration Layer</w:t>
      </w:r>
    </w:p>
    <w:p>
      <w:pPr>
        <w:numPr>
          <w:ilvl w:val="0"/>
          <w:numId w:val="1008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Can polling be sub-5-minute?</w:t>
      </w:r>
      <w:r>
        <w:rPr>
          <w:i/>
        </w:rPr>
        <w:t xml:space="preserve">”</w:t>
      </w:r>
      <w:r>
        <w:t xml:space="preserve"> </w:t>
      </w:r>
      <w:r>
        <w:t xml:space="preserve">— Not in the first release; documented as a future-roadmap item pending partner-API behavior in production</w:t>
      </w:r>
    </w:p>
    <w:p>
      <w:pPr>
        <w:numPr>
          <w:ilvl w:val="0"/>
          <w:numId w:val="1008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What about partner systems we don’t see in your supported list?</w:t>
      </w:r>
      <w:r>
        <w:rPr>
          <w:i/>
        </w:rPr>
        <w:t xml:space="preserve">”</w:t>
      </w:r>
      <w:r>
        <w:t xml:space="preserve"> </w:t>
      </w:r>
      <w:r>
        <w:t xml:space="preserve">— Available via the design-partner program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bundling-benefits"/>
      <w:r>
        <w:t xml:space="preserve">Bundling Benefits</w:t>
      </w:r>
      <w:bookmarkEnd w:id="34"/>
    </w:p>
    <w:p>
      <w:pPr>
        <w:pStyle w:val="FirstParagraph"/>
      </w:pPr>
      <w:r>
        <w:t xml:space="preserve">Customers who adopt both Type A and Type B during onboarding receive: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15% bundled-tier discount</w:t>
      </w:r>
      <w:r>
        <w:t xml:space="preserve"> </w:t>
      </w:r>
      <w:r>
        <w:t xml:space="preserve">on Growth and Enterprise tiers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Shared dedicated CS contact</w:t>
      </w:r>
      <w:r>
        <w:t xml:space="preserve"> </w:t>
      </w:r>
      <w:r>
        <w:t xml:space="preserve">across both integration types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Joint onboarding sprint</w:t>
      </w:r>
      <w:r>
        <w:t xml:space="preserve"> </w:t>
      </w:r>
      <w:r>
        <w:t xml:space="preserve">— single integration-design workshop covering both types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Cross-type reporting</w:t>
      </w:r>
      <w:r>
        <w:t xml:space="preserve"> </w:t>
      </w:r>
      <w:r>
        <w:t xml:space="preserve">— single reconciliation report instead of two separate dashboards</w:t>
      </w:r>
    </w:p>
    <w:p>
      <w:pPr>
        <w:pStyle w:val="Heading2"/>
      </w:pPr>
      <w:bookmarkStart w:id="35" w:name="integration-roadmap-illustrative"/>
      <w:r>
        <w:t xml:space="preserve">Integration Roadmap (Illustrative)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A general availability</w:t>
            </w:r>
          </w:p>
        </w:tc>
        <w:tc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B pilot launch (first 5 customers)</w:t>
            </w:r>
          </w:p>
        </w:tc>
        <w:tc>
          <w:p>
            <w:pPr>
              <w:pStyle w:val="Compact"/>
              <w:jc w:val="left"/>
            </w:pPr>
            <w:r>
              <w:t xml:space="preserve">Quarter 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B general availability</w:t>
            </w:r>
          </w:p>
        </w:tc>
        <w:tc>
          <w:p>
            <w:pPr>
              <w:pStyle w:val="Compact"/>
              <w:jc w:val="left"/>
            </w:pPr>
            <w:r>
              <w:t xml:space="preserve">Quarter +2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C (reference data) pilot</w:t>
            </w:r>
          </w:p>
        </w:tc>
        <w:tc>
          <w:p>
            <w:pPr>
              <w:pStyle w:val="Compact"/>
              <w:jc w:val="left"/>
            </w:pPr>
            <w:r>
              <w:t xml:space="preserve">Quarter +3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eventing (Type A)</w:t>
            </w:r>
          </w:p>
        </w:tc>
        <w:tc>
          <w:p>
            <w:pPr>
              <w:pStyle w:val="Compact"/>
              <w:jc w:val="left"/>
            </w:pPr>
            <w:r>
              <w:t xml:space="preserve">Quarter +4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onboarding-process"/>
      <w:r>
        <w:t xml:space="preserve">Onboarding Process</w:t>
      </w:r>
      <w:bookmarkEnd w:id="36"/>
    </w:p>
    <w:p>
      <w:pPr>
        <w:pStyle w:val="FirstParagraph"/>
      </w:pPr>
      <w:r>
        <w:t xml:space="preserve">All integration onboardings follow a consistent process: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Discovery workshop</w:t>
      </w:r>
      <w:r>
        <w:t xml:space="preserve"> </w:t>
      </w:r>
      <w:r>
        <w:t xml:space="preserve">(1 day) — Versana solutions team works with the customer to map integration scope, identify partner-side prerequisites, and confirm credentials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Integration setup</w:t>
      </w:r>
      <w:r>
        <w:t xml:space="preserve"> </w:t>
      </w:r>
      <w:r>
        <w:t xml:space="preserve">(2–3 weeks) — Versana enables the connection; customer enables credentials; both sides validate connectivity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Pilot run</w:t>
      </w:r>
      <w:r>
        <w:t xml:space="preserve"> </w:t>
      </w:r>
      <w:r>
        <w:t xml:space="preserve">(4 weeks) — Single business unit runs in parallel; reconciliation runs in observe-only mode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Cutover</w:t>
      </w:r>
      <w:r>
        <w:t xml:space="preserve"> </w:t>
      </w:r>
      <w:r>
        <w:t xml:space="preserve">(2 weeks) — Customer fully migrates operational workflow to Versana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Optimization review</w:t>
      </w:r>
      <w:r>
        <w:t xml:space="preserve"> </w:t>
      </w:r>
      <w:r>
        <w:t xml:space="preserve">(Quarter +1) — Versana CS reviews the customer’s usage and recommends cadence and threshold adjustments</w:t>
      </w:r>
    </w:p>
    <w:p>
      <w:pPr>
        <w:pStyle w:val="Heading2"/>
      </w:pPr>
      <w:bookmarkStart w:id="37" w:name="frequently-used-terms"/>
      <w:r>
        <w:t xml:space="preserve">Frequently Used Terms</w:t>
      </w:r>
      <w:bookmarkEnd w:id="37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Polling cadence:</w:t>
      </w:r>
      <w:r>
        <w:t xml:space="preserve"> </w:t>
      </w:r>
      <w:r>
        <w:t xml:space="preserve">How often Versana queries the partner API for new data. Standard is 15 minutes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Discrepancy severity tiers:</w:t>
      </w:r>
      <w:r>
        <w:t xml:space="preserve"> </w:t>
      </w:r>
      <w:r>
        <w:t xml:space="preserve">High / Medium / Low based on configured thresholds (defined per customer)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Cross-side discrepancy:</w:t>
      </w:r>
      <w:r>
        <w:t xml:space="preserve"> </w:t>
      </w:r>
      <w:r>
        <w:t xml:space="preserve">A discrepancy where the partner-side and platform-side records disagree; resolution typically requires partner involvement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Design partner:</w:t>
      </w:r>
      <w:r>
        <w:t xml:space="preserve"> </w:t>
      </w:r>
      <w:r>
        <w:t xml:space="preserve">A customer participating in the pre-release design of a new integration; receives priority onboarding and pricing in exchange for design feedback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 version: Workshop sample, May 2026. All content fictional.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2026-05-19T02:34:19Z</dcterms:created>
  <dcterms:modified xsi:type="dcterms:W3CDTF">2026-05-19T02:34:19Z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