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b74c1cb91e7972d6d9756cae9f69f6710cf90c"/>
      <w:r>
        <w:t xml:space="preserve">Sample Meeting Transcript — Customer Success ↔ Product Sync</w:t>
      </w:r>
      <w:bookmarkEnd w:id="20"/>
    </w:p>
    <w:p>
      <w:pPr>
        <w:pStyle w:val="BlockText"/>
      </w:pPr>
      <w:r>
        <w:rPr>
          <w:b/>
        </w:rPr>
        <w:t xml:space="preserve">Fictional.</w:t>
      </w:r>
      <w:r>
        <w:t xml:space="preserve"> </w:t>
      </w:r>
      <w:r>
        <w:t xml:space="preserve">Clearly fictional sample transcript created for a Microsoft 365 Copilot workshop demo. All names, customer references, and statements are placeholders. The transcript is intentionally messy and conversational so Copilot has something realistic to summarize.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Meeting:</w:t>
      </w:r>
      <w:r>
        <w:t xml:space="preserve"> </w:t>
      </w:r>
      <w:r>
        <w:t xml:space="preserve">Weekly customer success ↔ product sync</w:t>
      </w:r>
      <w:r>
        <w:t xml:space="preserve"> </w:t>
      </w:r>
      <w:r>
        <w:rPr>
          <w:b/>
        </w:rPr>
        <w:t xml:space="preserve">Format:</w:t>
      </w:r>
      <w:r>
        <w:t xml:space="preserve"> </w:t>
      </w:r>
      <w:r>
        <w:t xml:space="preserve">Microsoft Teams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rPr>
          <w:i/>
        </w:rPr>
        <w:t xml:space="preserve">(fictional)</w:t>
      </w:r>
      <w:r>
        <w:t xml:space="preserve"> </w:t>
      </w:r>
      <w:r>
        <w:t xml:space="preserve">— Wednesday morning</w:t>
      </w:r>
      <w:r>
        <w:t xml:space="preserve"> </w:t>
      </w:r>
      <w:r>
        <w:rPr>
          <w:b/>
        </w:rPr>
        <w:t xml:space="preserve">Attendees (fictional roles):</w:t>
      </w:r>
      <w:r>
        <w:t xml:space="preserve"> </w:t>
      </w:r>
      <w:r>
        <w:t xml:space="preserve">- D. Park — Customer Success Manager</w:t>
      </w:r>
      <w:r>
        <w:t xml:space="preserve"> </w:t>
      </w:r>
      <w:r>
        <w:t xml:space="preserve">- T. Brooks — Customer Success Lead</w:t>
      </w:r>
      <w:r>
        <w:t xml:space="preserve"> </w:t>
      </w:r>
      <w:r>
        <w:t xml:space="preserve">- R. Patel — Product Manager</w:t>
      </w:r>
      <w:r>
        <w:t xml:space="preserve"> </w:t>
      </w:r>
      <w:r>
        <w:t xml:space="preserve">- M. Chen — Senior Product Manager</w:t>
      </w:r>
      <w:r>
        <w:t xml:space="preserve"> </w:t>
      </w:r>
      <w:r>
        <w:t xml:space="preserve">- L. Kim — Engineering Manager (joined late)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[T. Brooks / CS Lead]:</w:t>
      </w:r>
      <w:r>
        <w:t xml:space="preserve"> </w:t>
      </w:r>
      <w:r>
        <w:t xml:space="preserve">Alright, top of the hour. Three things I want to cover today. Customer feedback from the last two weeks, the discrepancy issue from last Friday, and the Type B integration question that keeps coming up. R., M., that work for you?</w:t>
      </w:r>
    </w:p>
    <w:p>
      <w:pPr>
        <w:pStyle w:val="BodyText"/>
      </w:pPr>
      <w:r>
        <w:rPr>
          <w:b/>
        </w:rPr>
        <w:t xml:space="preserve">[R. Patel / PM]:</w:t>
      </w:r>
      <w:r>
        <w:t xml:space="preserve"> </w:t>
      </w:r>
      <w:r>
        <w:t xml:space="preserve">Yes, plus I want to flag something on the integration roadmap if there’s time.</w:t>
      </w:r>
    </w:p>
    <w:p>
      <w:pPr>
        <w:pStyle w:val="BodyText"/>
      </w:pPr>
      <w:r>
        <w:rPr>
          <w:b/>
        </w:rPr>
        <w:t xml:space="preserve">[T. Brooks]:</w:t>
      </w:r>
      <w:r>
        <w:t xml:space="preserve"> </w:t>
      </w:r>
      <w:r>
        <w:t xml:space="preserve">Good. D., kick us off.</w:t>
      </w:r>
    </w:p>
    <w:p>
      <w:pPr>
        <w:pStyle w:val="BodyText"/>
      </w:pPr>
      <w:r>
        <w:rPr>
          <w:b/>
        </w:rPr>
        <w:t xml:space="preserve">[D. Park / CSM]:</w:t>
      </w:r>
      <w:r>
        <w:t xml:space="preserve"> </w:t>
      </w:r>
      <w:r>
        <w:t xml:space="preserve">So — the big theme from the last two weeks. Three of our top-quartile customers have raised reconciliation lag. Same complaint. They’re spending too much time on end-of-day cleanup because data lives in two places. We’ve talked about this before but the volume of complaints is up. One of them said specifically — and I’m quoting —</w:t>
      </w:r>
      <w:r>
        <w:t xml:space="preserve"> </w:t>
      </w:r>
      <w:r>
        <w:t xml:space="preserve">“</w:t>
      </w:r>
      <w:r>
        <w:t xml:space="preserve">we’d switch our daily ops onto your platform if you closed this gap.</w:t>
      </w:r>
      <w:r>
        <w:t xml:space="preserve">”</w:t>
      </w:r>
    </w:p>
    <w:p>
      <w:pPr>
        <w:pStyle w:val="BodyText"/>
      </w:pPr>
      <w:r>
        <w:rPr>
          <w:b/>
        </w:rPr>
        <w:t xml:space="preserve">[R. Patel]:</w:t>
      </w:r>
      <w:r>
        <w:t xml:space="preserve"> </w:t>
      </w:r>
      <w:r>
        <w:t xml:space="preserve">That’s the customer I think we should make the pilot lead for the integration work.</w:t>
      </w:r>
    </w:p>
    <w:p>
      <w:pPr>
        <w:pStyle w:val="BodyText"/>
      </w:pPr>
      <w:r>
        <w:rPr>
          <w:b/>
        </w:rPr>
        <w:t xml:space="preserve">[D. Park]:</w:t>
      </w:r>
      <w:r>
        <w:t xml:space="preserve"> </w:t>
      </w:r>
      <w:r>
        <w:t xml:space="preserve">Yeah. They’ve offered to be a design partner. I told them we’d come back to them in two weeks with a more concrete timeline.</w:t>
      </w:r>
    </w:p>
    <w:p>
      <w:pPr>
        <w:pStyle w:val="BodyText"/>
      </w:pPr>
      <w:r>
        <w:rPr>
          <w:b/>
        </w:rPr>
        <w:t xml:space="preserve">[M. Chen / Sr. PM]:</w:t>
      </w:r>
      <w:r>
        <w:t xml:space="preserve"> </w:t>
      </w:r>
      <w:r>
        <w:t xml:space="preserve">That’s tight. Two weeks for a concrete timeline means we need to make a decision on scope this week. Are we going Type A first, Type B first, or both in parallel?</w:t>
      </w:r>
    </w:p>
    <w:p>
      <w:pPr>
        <w:pStyle w:val="BodyText"/>
      </w:pPr>
      <w:r>
        <w:rPr>
          <w:b/>
        </w:rPr>
        <w:t xml:space="preserve">[T. Brooks]:</w:t>
      </w:r>
      <w:r>
        <w:t xml:space="preserve"> </w:t>
      </w:r>
      <w:r>
        <w:t xml:space="preserve">What does CS think the customer impact is, by type?</w:t>
      </w:r>
    </w:p>
    <w:p>
      <w:pPr>
        <w:pStyle w:val="BodyText"/>
      </w:pPr>
      <w:r>
        <w:rPr>
          <w:b/>
        </w:rPr>
        <w:t xml:space="preserve">[D. Park]:</w:t>
      </w:r>
      <w:r>
        <w:t xml:space="preserve"> </w:t>
      </w:r>
      <w:r>
        <w:t xml:space="preserve">Type A is bigger volume — more customers affected. Type B is more painful when it happens — when there’s a discrepancy on Type B, it takes longer to resolve and shows up in compliance reporting. Customers don’t talk about Type B as much because the cases are rarer, but when they happen they’re the ones we get escalated calls on.</w:t>
      </w:r>
    </w:p>
    <w:p>
      <w:pPr>
        <w:pStyle w:val="BodyText"/>
      </w:pPr>
      <w:r>
        <w:rPr>
          <w:b/>
        </w:rPr>
        <w:t xml:space="preserve">[R. Patel]:</w:t>
      </w:r>
      <w:r>
        <w:t xml:space="preserve"> </w:t>
      </w:r>
      <w:r>
        <w:t xml:space="preserve">So Type A is the volume play, Type B is the pain play.</w:t>
      </w:r>
    </w:p>
    <w:p>
      <w:pPr>
        <w:pStyle w:val="BodyText"/>
      </w:pPr>
      <w:r>
        <w:rPr>
          <w:b/>
        </w:rPr>
        <w:t xml:space="preserve">[M. Chen]:</w:t>
      </w:r>
      <w:r>
        <w:t xml:space="preserve"> </w:t>
      </w:r>
      <w:r>
        <w:t xml:space="preserve">And if I’m being honest — Type B is the harder integration. The partner APIs are less mature.</w:t>
      </w:r>
    </w:p>
    <w:p>
      <w:pPr>
        <w:pStyle w:val="BodyText"/>
      </w:pPr>
      <w:r>
        <w:rPr>
          <w:b/>
        </w:rPr>
        <w:t xml:space="preserve">[L. Kim / Eng Mgr (joining)]:</w:t>
      </w:r>
      <w:r>
        <w:t xml:space="preserve"> </w:t>
      </w:r>
      <w:r>
        <w:t xml:space="preserve">Sorry I’m late. Heard the last bit. Type B partner APIs — yes, they’re rougher. Rate limits, intermittent timeout issues. We’d want a longer engineering ramp.</w:t>
      </w:r>
    </w:p>
    <w:p>
      <w:pPr>
        <w:pStyle w:val="BodyText"/>
      </w:pPr>
      <w:r>
        <w:rPr>
          <w:b/>
        </w:rPr>
        <w:t xml:space="preserve">[T. Brooks]:</w:t>
      </w:r>
      <w:r>
        <w:t xml:space="preserve"> </w:t>
      </w:r>
      <w:r>
        <w:t xml:space="preserve">OK so working hypothesis: Type A in the first release, Type B in the second. Anyone disagree?</w:t>
      </w:r>
    </w:p>
    <w:p>
      <w:pPr>
        <w:pStyle w:val="BodyText"/>
      </w:pPr>
      <w:r>
        <w:rPr>
          <w:b/>
        </w:rPr>
        <w:t xml:space="preserve">[D. Park]:</w:t>
      </w:r>
      <w:r>
        <w:t xml:space="preserve"> </w:t>
      </w:r>
      <w:r>
        <w:t xml:space="preserve">I think that’s right but I want to be honest with the customer who offered to be the design partner. They have both. If we ship Type A first, are we going to lose their trust on Type B?</w:t>
      </w:r>
    </w:p>
    <w:p>
      <w:pPr>
        <w:pStyle w:val="BodyText"/>
      </w:pPr>
      <w:r>
        <w:rPr>
          <w:b/>
        </w:rPr>
        <w:t xml:space="preserve">[R. Patel]:</w:t>
      </w:r>
      <w:r>
        <w:t xml:space="preserve"> </w:t>
      </w:r>
      <w:r>
        <w:t xml:space="preserve">I think the way to frame it is</w:t>
      </w:r>
      <w:r>
        <w:t xml:space="preserve"> </w:t>
      </w:r>
      <w:r>
        <w:t xml:space="preserve">“</w:t>
      </w:r>
      <w:r>
        <w:t xml:space="preserve">we’re starting with the higher-volume one because it gets you the faster reconciliation win, and Type B follows in the next release.</w:t>
      </w:r>
      <w:r>
        <w:t xml:space="preserve">”</w:t>
      </w:r>
      <w:r>
        <w:t xml:space="preserve"> </w:t>
      </w:r>
      <w:r>
        <w:t xml:space="preserve">If that’s locked in writing, customers tend to be fine.</w:t>
      </w:r>
    </w:p>
    <w:p>
      <w:pPr>
        <w:pStyle w:val="BodyText"/>
      </w:pPr>
      <w:r>
        <w:rPr>
          <w:b/>
        </w:rPr>
        <w:t xml:space="preserve">[T. Brooks]:</w:t>
      </w:r>
      <w:r>
        <w:t xml:space="preserve"> </w:t>
      </w:r>
      <w:r>
        <w:t xml:space="preserve">Agreed. Action item — R. drafts a one-pager on the proposed sequence by Friday. D. takes it to the design-partner customer next week.</w:t>
      </w:r>
    </w:p>
    <w:p>
      <w:pPr>
        <w:pStyle w:val="BodyText"/>
      </w:pPr>
      <w:r>
        <w:rPr>
          <w:b/>
        </w:rPr>
        <w:t xml:space="preserve">[R. Patel]:</w:t>
      </w:r>
      <w:r>
        <w:t xml:space="preserve"> </w:t>
      </w:r>
      <w:r>
        <w:t xml:space="preserve">Done. Other thing I want to flag — the polling cadence question. We were going to do 15 minutes. I had two customers tell me last week they want it shorter. They don’t want it real-time — but every 5 minutes would be a step change for them.</w:t>
      </w:r>
    </w:p>
    <w:p>
      <w:pPr>
        <w:pStyle w:val="BodyText"/>
      </w:pPr>
      <w:r>
        <w:rPr>
          <w:b/>
        </w:rPr>
        <w:t xml:space="preserve">[L. Kim]:</w:t>
      </w:r>
      <w:r>
        <w:t xml:space="preserve"> </w:t>
      </w:r>
      <w:r>
        <w:t xml:space="preserve">Five minutes is doable on Type A. Type B I’d want to load-test before promising.</w:t>
      </w:r>
    </w:p>
    <w:p>
      <w:pPr>
        <w:pStyle w:val="BodyText"/>
      </w:pPr>
      <w:r>
        <w:rPr>
          <w:b/>
        </w:rPr>
        <w:t xml:space="preserve">[M. Chen]:</w:t>
      </w:r>
      <w:r>
        <w:t xml:space="preserve"> </w:t>
      </w:r>
      <w:r>
        <w:t xml:space="preserve">Let’s not promise it for the first release. Document it as a future-roadmap item. We can revisit after we see the actual partner-API behavior in production.</w:t>
      </w:r>
    </w:p>
    <w:p>
      <w:pPr>
        <w:pStyle w:val="BodyText"/>
      </w:pPr>
      <w:r>
        <w:rPr>
          <w:b/>
        </w:rPr>
        <w:t xml:space="preserve">[T. Brooks]:</w:t>
      </w:r>
      <w:r>
        <w:t xml:space="preserve"> </w:t>
      </w:r>
      <w:r>
        <w:t xml:space="preserve">Fine. Discrepancy issue from last Friday — D., can you summarize?</w:t>
      </w:r>
    </w:p>
    <w:p>
      <w:pPr>
        <w:pStyle w:val="BodyText"/>
      </w:pPr>
      <w:r>
        <w:rPr>
          <w:b/>
        </w:rPr>
        <w:t xml:space="preserve">[D. Park]:</w:t>
      </w:r>
      <w:r>
        <w:t xml:space="preserve"> </w:t>
      </w:r>
      <w:r>
        <w:t xml:space="preserve">One of our largest customers had a high-severity discrepancy that took until Tuesday to resolve. Root cause was a partner-side issue, not us, but the customer’s experience was that they were chasing it down for three business days. They want to know if there’s a way to flag and escalate cross-side issues faster.</w:t>
      </w:r>
    </w:p>
    <w:p>
      <w:pPr>
        <w:pStyle w:val="BodyText"/>
      </w:pPr>
      <w:r>
        <w:rPr>
          <w:b/>
        </w:rPr>
        <w:t xml:space="preserve">[R. Patel]:</w:t>
      </w:r>
      <w:r>
        <w:t xml:space="preserve"> </w:t>
      </w:r>
      <w:r>
        <w:t xml:space="preserve">That’s interesting because it’s not actually about our platform — it’s about how we surface the partner issue to the customer.</w:t>
      </w:r>
    </w:p>
    <w:p>
      <w:pPr>
        <w:pStyle w:val="BodyText"/>
      </w:pPr>
      <w:r>
        <w:rPr>
          <w:b/>
        </w:rPr>
        <w:t xml:space="preserve">[M. Chen]:</w:t>
      </w:r>
      <w:r>
        <w:t xml:space="preserve"> </w:t>
      </w:r>
      <w:r>
        <w:t xml:space="preserve">Could we add a</w:t>
      </w:r>
      <w:r>
        <w:t xml:space="preserve"> </w:t>
      </w:r>
      <w:r>
        <w:t xml:space="preserve">“</w:t>
      </w:r>
      <w:r>
        <w:t xml:space="preserve">partner-side issue</w:t>
      </w:r>
      <w:r>
        <w:t xml:space="preserve">”</w:t>
      </w:r>
      <w:r>
        <w:t xml:space="preserve"> </w:t>
      </w:r>
      <w:r>
        <w:t xml:space="preserve">tag on discrepancies that automatically opens a ticket in the partner’s support system, where supported?</w:t>
      </w:r>
    </w:p>
    <w:p>
      <w:pPr>
        <w:pStyle w:val="BodyText"/>
      </w:pPr>
      <w:r>
        <w:rPr>
          <w:b/>
        </w:rPr>
        <w:t xml:space="preserve">[L. Kim]:</w:t>
      </w:r>
      <w:r>
        <w:t xml:space="preserve"> </w:t>
      </w:r>
      <w:r>
        <w:t xml:space="preserve">Some partners have public ticket APIs, some don’t. We’d need to scope it case by case.</w:t>
      </w:r>
    </w:p>
    <w:p>
      <w:pPr>
        <w:pStyle w:val="BodyText"/>
      </w:pPr>
      <w:r>
        <w:rPr>
          <w:b/>
        </w:rPr>
        <w:t xml:space="preserve">[T. Brooks]:</w:t>
      </w:r>
      <w:r>
        <w:t xml:space="preserve"> </w:t>
      </w:r>
      <w:r>
        <w:t xml:space="preserve">Action item — L. and M. scope the cross-side escalation idea by next week’s sync. Risk-rate it.</w:t>
      </w:r>
    </w:p>
    <w:p>
      <w:pPr>
        <w:pStyle w:val="BodyText"/>
      </w:pPr>
      <w:r>
        <w:rPr>
          <w:b/>
        </w:rPr>
        <w:t xml:space="preserve">[D. Park]:</w:t>
      </w:r>
      <w:r>
        <w:t xml:space="preserve"> </w:t>
      </w:r>
      <w:r>
        <w:t xml:space="preserve">Last thing, quickly — the Type B integration question. We had three customers in the last week ask us when Type B is coming. I’d like a customer-facing answer that’s not</w:t>
      </w:r>
      <w:r>
        <w:t xml:space="preserve"> </w:t>
      </w:r>
      <w:r>
        <w:t xml:space="preserve">“</w:t>
      </w:r>
      <w:r>
        <w:t xml:space="preserve">soon.</w:t>
      </w:r>
      <w:r>
        <w:t xml:space="preserve">”</w:t>
      </w:r>
    </w:p>
    <w:p>
      <w:pPr>
        <w:pStyle w:val="BodyText"/>
      </w:pPr>
      <w:r>
        <w:rPr>
          <w:b/>
        </w:rPr>
        <w:t xml:space="preserve">[R. Patel]:</w:t>
      </w:r>
      <w:r>
        <w:t xml:space="preserve"> </w:t>
      </w:r>
      <w:r>
        <w:t xml:space="preserve">After my one-pager Friday, you’ll have one. I’ll give you a window — something like</w:t>
      </w:r>
      <w:r>
        <w:t xml:space="preserve"> </w:t>
      </w:r>
      <w:r>
        <w:t xml:space="preserve">“</w:t>
      </w:r>
      <w:r>
        <w:t xml:space="preserve">early in the next quarter, after we ship Type A.</w:t>
      </w:r>
      <w:r>
        <w:t xml:space="preserve">”</w:t>
      </w:r>
    </w:p>
    <w:p>
      <w:pPr>
        <w:pStyle w:val="BodyText"/>
      </w:pPr>
      <w:r>
        <w:rPr>
          <w:b/>
        </w:rPr>
        <w:t xml:space="preserve">[D. Park]:</w:t>
      </w:r>
      <w:r>
        <w:t xml:space="preserve"> </w:t>
      </w:r>
      <w:r>
        <w:t xml:space="preserve">Works for me.</w:t>
      </w:r>
    </w:p>
    <w:p>
      <w:pPr>
        <w:pStyle w:val="BodyText"/>
      </w:pPr>
      <w:r>
        <w:rPr>
          <w:b/>
        </w:rPr>
        <w:t xml:space="preserve">[T. Brooks]:</w:t>
      </w:r>
      <w:r>
        <w:t xml:space="preserve"> </w:t>
      </w:r>
      <w:r>
        <w:t xml:space="preserve">OK summary. R. drafts the integration-sequence one-pager by Friday — Type A first, Type B in the next release. D. takes it to the design-partner customer next week. M. and L. scope the cross-side escalation idea for next week’s sync. Polling cadence: 15-min for v1, document 5-min as a future item. Discrepancy issue: addressed via the cross-side escalation work, longer-term. Type B customer messaging: holds until R.’s one-pager is done. Anything I missed?</w:t>
      </w:r>
    </w:p>
    <w:p>
      <w:pPr>
        <w:pStyle w:val="BodyText"/>
      </w:pPr>
      <w:r>
        <w:rPr>
          <w:b/>
        </w:rPr>
        <w:t xml:space="preserve">[R. Patel]:</w:t>
      </w:r>
      <w:r>
        <w:t xml:space="preserve"> </w:t>
      </w:r>
      <w:r>
        <w:t xml:space="preserve">That’s it.</w:t>
      </w:r>
    </w:p>
    <w:p>
      <w:pPr>
        <w:pStyle w:val="BodyText"/>
      </w:pPr>
      <w:r>
        <w:rPr>
          <w:b/>
        </w:rPr>
        <w:t xml:space="preserve">[D. Park]:</w:t>
      </w:r>
      <w:r>
        <w:t xml:space="preserve"> </w:t>
      </w:r>
      <w:r>
        <w:t xml:space="preserve">Good.</w:t>
      </w:r>
    </w:p>
    <w:p>
      <w:pPr>
        <w:pStyle w:val="BodyText"/>
      </w:pPr>
      <w:r>
        <w:rPr>
          <w:b/>
        </w:rPr>
        <w:t xml:space="preserve">[T. Brooks]:</w:t>
      </w:r>
      <w:r>
        <w:t xml:space="preserve"> </w:t>
      </w:r>
      <w:r>
        <w:t xml:space="preserve">See you next week.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nd-of-fictional-transcript."/>
      <w:r>
        <w:t xml:space="preserve">End of fictional transcript.</w:t>
      </w:r>
      <w:bookmarkEnd w:id="21"/>
    </w:p>
    <w:p>
      <w:pPr>
        <w:pStyle w:val="FirstParagraph"/>
      </w:pPr>
      <w:r>
        <w:rPr>
          <w:i/>
        </w:rPr>
        <w:t xml:space="preserve">This transcript exists only to give Copilot a fictional summarization target during the workshop demos.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2026-05-19T02:53:13Z</dcterms:created>
  <dcterms:modified xsi:type="dcterms:W3CDTF">2026-05-19T02:53:13Z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