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7a85a8eb407086fc8be21f789c45e1ecefd12a"/>
      <w:r>
        <w:t xml:space="preserve">Sample Ops Runbook — Daily Reconciliation Workflow</w:t>
      </w:r>
      <w:bookmarkEnd w:id="20"/>
    </w:p>
    <w:p>
      <w:pPr>
        <w:pStyle w:val="BlockText"/>
      </w:pPr>
      <w:r>
        <w:rPr>
          <w:b/>
        </w:rPr>
        <w:t xml:space="preserve">Fictional.</w:t>
      </w:r>
      <w:r>
        <w:t xml:space="preserve"> </w:t>
      </w:r>
      <w:r>
        <w:t xml:space="preserve">Clearly fictional sample content for a Microsoft 365 Copilot workshop. Not an actual operational runbook.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Purpose</w:t>
      </w:r>
      <w:bookmarkEnd w:id="21"/>
    </w:p>
    <w:p>
      <w:pPr>
        <w:pStyle w:val="FirstParagraph"/>
      </w:pPr>
      <w:r>
        <w:t xml:space="preserve">Standardize the daily reconciliation workflow performed by the operations team to verify platform-side records against partner-system positions and to identify discrepancies for resolution.</w:t>
      </w:r>
    </w:p>
    <w:p>
      <w:pPr>
        <w:pStyle w:val="Heading2"/>
      </w:pPr>
      <w:bookmarkStart w:id="22" w:name="cadence"/>
      <w:r>
        <w:t xml:space="preserve">Cadence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b/>
        </w:rPr>
        <w:t xml:space="preserve">daily</w:t>
      </w:r>
      <w:r>
        <w:t xml:space="preserve"> </w:t>
      </w:r>
      <w:r>
        <w:t xml:space="preserve">by</w:t>
      </w:r>
      <w:r>
        <w:t xml:space="preserve"> </w:t>
      </w:r>
      <w:r>
        <w:rPr>
          <w:b/>
        </w:rPr>
        <w:t xml:space="preserve">end of business + 1 hour</w:t>
      </w:r>
    </w:p>
    <w:p>
      <w:pPr>
        <w:numPr>
          <w:ilvl w:val="0"/>
          <w:numId w:val="1001"/>
        </w:numPr>
        <w:pStyle w:val="Compact"/>
      </w:pPr>
      <w:r>
        <w:t xml:space="preserve">Backstop run on Mondays for any weekend-pending items</w:t>
      </w:r>
    </w:p>
    <w:p>
      <w:pPr>
        <w:numPr>
          <w:ilvl w:val="0"/>
          <w:numId w:val="1001"/>
        </w:numPr>
        <w:pStyle w:val="Compact"/>
      </w:pPr>
      <w:r>
        <w:t xml:space="preserve">Quarterly review of the runbook itself</w:t>
      </w:r>
    </w:p>
    <w:p>
      <w:pPr>
        <w:pStyle w:val="Heading2"/>
      </w:pPr>
      <w:bookmarkStart w:id="23" w:name="roles"/>
      <w:r>
        <w:t xml:space="preserve">Roles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Ops Analyst (primary)</w:t>
            </w:r>
          </w:p>
        </w:tc>
        <w:tc>
          <w:p>
            <w:pPr>
              <w:pStyle w:val="Compact"/>
              <w:jc w:val="left"/>
            </w:pPr>
            <w:r>
              <w:t xml:space="preserve">Run the reconciliation, log discrepancies, escalate per the matrix below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Ops Lead (secondary)</w:t>
            </w:r>
          </w:p>
        </w:tc>
        <w:tc>
          <w:p>
            <w:pPr>
              <w:pStyle w:val="Compact"/>
              <w:jc w:val="left"/>
            </w:pPr>
            <w:r>
              <w:t xml:space="preserve">Review the daily summary, sign off on any discrepancies that exceed the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Engineering on-call</w:t>
            </w:r>
          </w:p>
        </w:tc>
        <w:tc>
          <w:p>
            <w:pPr>
              <w:pStyle w:val="Compact"/>
              <w:jc w:val="left"/>
            </w:pPr>
            <w:r>
              <w:t xml:space="preserve">Tier-2 escalation for technical issues blocking the reconciliation run</w:t>
            </w:r>
          </w:p>
        </w:tc>
      </w:tr>
    </w:tbl>
    <w:p>
      <w:pPr>
        <w:pStyle w:val="Heading2"/>
      </w:pPr>
      <w:bookmarkStart w:id="24" w:name="step-by-step"/>
      <w:r>
        <w:t xml:space="preserve">Step-by-step</w:t>
      </w:r>
      <w:bookmarkEnd w:id="24"/>
    </w:p>
    <w:p>
      <w:pPr>
        <w:pStyle w:val="Heading3"/>
      </w:pPr>
      <w:bookmarkStart w:id="25" w:name="pre-checks-5-min"/>
      <w:r>
        <w:t xml:space="preserve">1. Pre-checks (5 min)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Confirm partner-system data feeds have completed (status: green in the monitoring dashboard).</w:t>
      </w:r>
    </w:p>
    <w:p>
      <w:pPr>
        <w:numPr>
          <w:ilvl w:val="0"/>
          <w:numId w:val="1002"/>
        </w:numPr>
        <w:pStyle w:val="Compact"/>
      </w:pPr>
      <w:r>
        <w:t xml:space="preserve">Confirm platform-side end-of-day batch has completed.</w:t>
      </w:r>
    </w:p>
    <w:p>
      <w:pPr>
        <w:numPr>
          <w:ilvl w:val="0"/>
          <w:numId w:val="1002"/>
        </w:numPr>
        <w:pStyle w:val="Compact"/>
      </w:pPr>
      <w:r>
        <w:t xml:space="preserve">If either feed is delayed, hold the reconciliation run and escalate per the matrix below.</w:t>
      </w:r>
    </w:p>
    <w:p>
      <w:pPr>
        <w:pStyle w:val="Heading3"/>
      </w:pPr>
      <w:bookmarkStart w:id="26" w:name="run-the-reconciliation-10-min"/>
      <w:r>
        <w:t xml:space="preserve">2. Run the reconciliation (10 min)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Open the operations console.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b/>
        </w:rPr>
        <w:t xml:space="preserve">Daily Reconciliation</w:t>
      </w:r>
      <w:r>
        <w:t xml:space="preserve"> </w:t>
      </w:r>
      <w:r>
        <w:t xml:space="preserve">for the current business day.</w:t>
      </w:r>
    </w:p>
    <w:p>
      <w:pPr>
        <w:numPr>
          <w:ilvl w:val="0"/>
          <w:numId w:val="1003"/>
        </w:numPr>
        <w:pStyle w:val="Compact"/>
      </w:pPr>
      <w:r>
        <w:t xml:space="preserve">Confirm the run completes without errors.</w:t>
      </w:r>
    </w:p>
    <w:p>
      <w:pPr>
        <w:numPr>
          <w:ilvl w:val="0"/>
          <w:numId w:val="1003"/>
        </w:numPr>
        <w:pStyle w:val="Compact"/>
      </w:pPr>
      <w:r>
        <w:t xml:space="preserve">Capture the run ID for the daily summary.</w:t>
      </w:r>
    </w:p>
    <w:p>
      <w:pPr>
        <w:pStyle w:val="Heading3"/>
      </w:pPr>
      <w:bookmarkStart w:id="27" w:name="X86f53dbe406735b74575a8d9be3e95397180846"/>
      <w:r>
        <w:t xml:space="preserve">3. Review discrepancies (15–30 min depending on volume)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Filter the discrepancy list by severity: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High:</w:t>
      </w:r>
      <w:r>
        <w:t xml:space="preserve"> </w:t>
      </w:r>
      <w:r>
        <w:t xml:space="preserve">position or amount difference &gt; defined threshold; investigate same-day.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Medium:</w:t>
      </w:r>
      <w:r>
        <w:t xml:space="preserve"> </w:t>
      </w:r>
      <w:r>
        <w:t xml:space="preserve">difference within threshold but new since previous run; capture and review next-day if needed.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Low:</w:t>
      </w:r>
      <w:r>
        <w:t xml:space="preserve"> </w:t>
      </w:r>
      <w:r>
        <w:t xml:space="preserve">stale items rolling forward from prior runs; review weekly.</w:t>
      </w:r>
    </w:p>
    <w:p>
      <w:pPr>
        <w:pStyle w:val="Heading3"/>
      </w:pPr>
      <w:bookmarkStart w:id="28" w:name="resolve-or-escalate-variable"/>
      <w:r>
        <w:t xml:space="preserve">4. Resolve or escalate (variable)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For each High discrepancy: contact the partner ops desk via the standard channel; document the resolution path; update the discrepancy record.</w:t>
      </w:r>
    </w:p>
    <w:p>
      <w:pPr>
        <w:numPr>
          <w:ilvl w:val="0"/>
          <w:numId w:val="1006"/>
        </w:numPr>
        <w:pStyle w:val="Compact"/>
      </w:pPr>
      <w:r>
        <w:t xml:space="preserve">For Medium: assign to the appropriate analyst with a 24-hour follow-up.</w:t>
      </w:r>
    </w:p>
    <w:p>
      <w:pPr>
        <w:numPr>
          <w:ilvl w:val="0"/>
          <w:numId w:val="1006"/>
        </w:numPr>
        <w:pStyle w:val="Compact"/>
      </w:pPr>
      <w:r>
        <w:t xml:space="preserve">For Low: leave in the queue with the next review date.</w:t>
      </w:r>
    </w:p>
    <w:p>
      <w:pPr>
        <w:pStyle w:val="Heading3"/>
      </w:pPr>
      <w:bookmarkStart w:id="29" w:name="daily-summary-10-min"/>
      <w:r>
        <w:t xml:space="preserve">5. Daily summary (10 min)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Generate the daily summary report.</w:t>
      </w:r>
    </w:p>
    <w:p>
      <w:pPr>
        <w:numPr>
          <w:ilvl w:val="0"/>
          <w:numId w:val="1007"/>
        </w:numPr>
        <w:pStyle w:val="Compact"/>
      </w:pPr>
      <w:r>
        <w:t xml:space="preserve">Post to the Operations channel with: total discrepancies (by severity), notable items, items pending escalation.</w:t>
      </w:r>
    </w:p>
    <w:p>
      <w:pPr>
        <w:numPr>
          <w:ilvl w:val="0"/>
          <w:numId w:val="1007"/>
        </w:numPr>
        <w:pStyle w:val="Compact"/>
      </w:pPr>
      <w:r>
        <w:t xml:space="preserve">Tag the Ops Lead for sign-off.</w:t>
      </w:r>
    </w:p>
    <w:p>
      <w:pPr>
        <w:pStyle w:val="Heading2"/>
      </w:pPr>
      <w:bookmarkStart w:id="30" w:name="escalation-matrix"/>
      <w:r>
        <w:t xml:space="preserve">Escalation matrix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escalation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Partner feed delay &gt; 30 min</w:t>
            </w:r>
          </w:p>
        </w:tc>
        <w:tc>
          <w:p>
            <w:pPr>
              <w:pStyle w:val="Compact"/>
              <w:jc w:val="left"/>
            </w:pPr>
            <w:r>
              <w:t xml:space="preserve">Partner ops desk</w:t>
            </w:r>
          </w:p>
        </w:tc>
        <w:tc>
          <w:p>
            <w:pPr>
              <w:pStyle w:val="Compact"/>
              <w:jc w:val="left"/>
            </w:pPr>
            <w:r>
              <w:t xml:space="preserve">Engineering on-call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batch failure</w:t>
            </w:r>
          </w:p>
        </w:tc>
        <w:tc>
          <w:p>
            <w:pPr>
              <w:pStyle w:val="Compact"/>
              <w:jc w:val="left"/>
            </w:pPr>
            <w:r>
              <w:t xml:space="preserve">Engineering on-call</w:t>
            </w:r>
          </w:p>
        </w:tc>
        <w:tc>
          <w:p>
            <w:pPr>
              <w:pStyle w:val="Compact"/>
              <w:jc w:val="left"/>
            </w:pPr>
            <w:r>
              <w:t xml:space="preserve">Engineering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discrepancy above threshold</w:t>
            </w:r>
          </w:p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Head of Operations + Compliance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Five or more high-severity discrepancies in one run</w:t>
            </w:r>
          </w:p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Head of Operations + Engineering</w:t>
            </w:r>
          </w:p>
        </w:tc>
      </w:tr>
    </w:tbl>
    <w:p>
      <w:pPr>
        <w:pStyle w:val="Heading2"/>
      </w:pPr>
      <w:bookmarkStart w:id="31" w:name="exceptions"/>
      <w:r>
        <w:t xml:space="preserve">Exceptions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Holidays:</w:t>
      </w:r>
      <w:r>
        <w:t xml:space="preserve"> </w:t>
      </w:r>
      <w:r>
        <w:t xml:space="preserve">Run delayed to next business day. Communicate to customers per the standard holiday notification.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Half-day market closes:</w:t>
      </w:r>
      <w:r>
        <w:t xml:space="preserve"> </w:t>
      </w:r>
      <w:r>
        <w:t xml:space="preserve">Run on regular cadence; flag any reduced-volume conditions.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System maintenance windows:</w:t>
      </w:r>
      <w:r>
        <w:t xml:space="preserve"> </w:t>
      </w:r>
      <w:r>
        <w:t xml:space="preserve">Hold the run; resume next business day with a backfill flag.</w:t>
      </w:r>
    </w:p>
    <w:p>
      <w:pPr>
        <w:pStyle w:val="Heading2"/>
      </w:pPr>
      <w:bookmarkStart w:id="32" w:name="metrics"/>
      <w:r>
        <w:t xml:space="preserve">Metrics</w:t>
      </w:r>
      <w:bookmarkEnd w:id="32"/>
    </w:p>
    <w:p>
      <w:pPr>
        <w:pStyle w:val="FirstParagraph"/>
      </w:pPr>
      <w:r>
        <w:t xml:space="preserve">The runbook is reviewed quarterly using these metrics:</w:t>
      </w:r>
    </w:p>
    <w:p>
      <w:pPr>
        <w:numPr>
          <w:ilvl w:val="0"/>
          <w:numId w:val="1009"/>
        </w:numPr>
        <w:pStyle w:val="Compact"/>
      </w:pPr>
      <w:r>
        <w:t xml:space="preserve">Average run completion time</w:t>
      </w:r>
    </w:p>
    <w:p>
      <w:pPr>
        <w:numPr>
          <w:ilvl w:val="0"/>
          <w:numId w:val="1009"/>
        </w:numPr>
        <w:pStyle w:val="Compact"/>
      </w:pPr>
      <w:r>
        <w:t xml:space="preserve">High-severity discrepancy rate per 1,000 transactions</w:t>
      </w:r>
    </w:p>
    <w:p>
      <w:pPr>
        <w:numPr>
          <w:ilvl w:val="0"/>
          <w:numId w:val="1009"/>
        </w:numPr>
        <w:pStyle w:val="Compact"/>
      </w:pPr>
      <w:r>
        <w:t xml:space="preserve">Time-to-resolution for high-severity discrepancies</w:t>
      </w:r>
    </w:p>
    <w:p>
      <w:pPr>
        <w:numPr>
          <w:ilvl w:val="0"/>
          <w:numId w:val="1009"/>
        </w:numPr>
        <w:pStyle w:val="Compact"/>
      </w:pPr>
      <w:r>
        <w:t xml:space="preserve">On-time rate (was the daily summary posted by the EOD+1h target)</w:t>
      </w:r>
    </w:p>
    <w:p>
      <w:pPr>
        <w:pStyle w:val="Heading2"/>
      </w:pPr>
      <w:bookmarkStart w:id="33" w:name="change-log"/>
      <w:r>
        <w:t xml:space="preserve">Change log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(fictional)</w:t>
            </w:r>
          </w:p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Initial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(fictional)</w:t>
            </w:r>
          </w:p>
        </w:tc>
        <w:tc>
          <w:p>
            <w:pPr>
              <w:pStyle w:val="Compact"/>
              <w:jc w:val="left"/>
            </w:pPr>
            <w:r>
              <w:t xml:space="preserve">Ops Analyst</w:t>
            </w:r>
          </w:p>
        </w:tc>
        <w:tc>
          <w:p>
            <w:pPr>
              <w:pStyle w:val="Compact"/>
              <w:jc w:val="left"/>
            </w:pPr>
            <w:r>
              <w:t xml:space="preserve">Added Medium severity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(fictional)</w:t>
            </w:r>
          </w:p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Updated escalation matrix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2026-05-19T02:53:13Z</dcterms:created>
  <dcterms:modified xsi:type="dcterms:W3CDTF">2026-05-19T02:53:13Z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