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ample-sprint-summary-sprint-47"/>
      <w:r>
        <w:t xml:space="preserve">Sample Sprint Summary — Sprint 47</w:t>
      </w:r>
      <w:bookmarkEnd w:id="20"/>
    </w:p>
    <w:p>
      <w:pPr>
        <w:pStyle w:val="BlockText"/>
      </w:pPr>
      <w:r>
        <w:rPr>
          <w:b/>
        </w:rPr>
        <w:t xml:space="preserve">Fictional.</w:t>
      </w:r>
      <w:r>
        <w:t xml:space="preserve"> </w:t>
      </w:r>
      <w:r>
        <w:t xml:space="preserve">Clearly fictional sample content for a Microsoft 365 Copilot workshop demo. Used in UC-09 to demonstrate generating customer-facing release notes from a sprint summary.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Sprint:</w:t>
      </w:r>
      <w:r>
        <w:t xml:space="preserve"> </w:t>
      </w:r>
      <w:r>
        <w:t xml:space="preserve">47</w:t>
      </w:r>
      <w:r>
        <w:t xml:space="preserve"> </w:t>
      </w:r>
      <w:r>
        <w:rPr>
          <w:b/>
        </w:rPr>
        <w:t xml:space="preserve">Dates:</w:t>
      </w:r>
      <w:r>
        <w:t xml:space="preserve"> </w:t>
      </w:r>
      <w:r>
        <w:rPr>
          <w:i/>
        </w:rPr>
        <w:t xml:space="preserve">(fictional two-week window)</w:t>
      </w:r>
      <w:r>
        <w:t xml:space="preserve"> </w:t>
      </w:r>
      <w:r>
        <w:rPr>
          <w:b/>
        </w:rPr>
        <w:t xml:space="preserve">Squad:</w:t>
      </w:r>
      <w:r>
        <w:t xml:space="preserve"> </w:t>
      </w:r>
      <w:r>
        <w:t xml:space="preserve">Platform Integrations</w:t>
      </w:r>
      <w:r>
        <w:t xml:space="preserve"> </w:t>
      </w:r>
      <w:r>
        <w:rPr>
          <w:b/>
        </w:rPr>
        <w:t xml:space="preserve">PM:</w:t>
      </w:r>
      <w:r>
        <w:t xml:space="preserve"> </w:t>
      </w:r>
      <w:r>
        <w:t xml:space="preserve">R. Patel</w:t>
      </w:r>
      <w:r>
        <w:t xml:space="preserve"> </w:t>
      </w:r>
      <w:r>
        <w:rPr>
          <w:b/>
        </w:rPr>
        <w:t xml:space="preserve">Eng Lead:</w:t>
      </w:r>
      <w:r>
        <w:t xml:space="preserve"> </w:t>
      </w:r>
      <w:r>
        <w:t xml:space="preserve">L. Kim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mpleted-items"/>
      <w:r>
        <w:t xml:space="preserve">Completed items</w:t>
      </w:r>
      <w:bookmarkEnd w:id="21"/>
    </w:p>
    <w:p>
      <w:pPr>
        <w:pStyle w:val="Heading3"/>
      </w:pPr>
      <w:bookmarkStart w:id="22" w:name="features"/>
      <w:r>
        <w:t xml:space="preserve">Features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PI-1042</w:t>
      </w:r>
      <w:r>
        <w:t xml:space="preserve"> </w:t>
      </w:r>
      <w:r>
        <w:t xml:space="preserve">— Partner Integration Layer: skeleton service for Type A polling. Polls every 15 minutes, reads position and event data, writes to staging table. Behind feature flag.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PI-1051</w:t>
      </w:r>
      <w:r>
        <w:t xml:space="preserve"> </w:t>
      </w:r>
      <w:r>
        <w:t xml:space="preserve">— Reconciliation engine v1. Compares platform-side end-of-day positions to staged partner-side positions; surfaces discrepancies to a new dashboard view.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PI-1058</w:t>
      </w:r>
      <w:r>
        <w:t xml:space="preserve"> </w:t>
      </w:r>
      <w:r>
        <w:t xml:space="preserve">— Discrepancy severity tagging. Each discrepancy is auto-tagged High / Medium / Low based on configured thresholds.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PI-1063</w:t>
      </w:r>
      <w:r>
        <w:t xml:space="preserve"> </w:t>
      </w:r>
      <w:r>
        <w:t xml:space="preserve">— New</w:t>
      </w:r>
      <w:r>
        <w:t xml:space="preserve"> </w:t>
      </w:r>
      <w:r>
        <w:t xml:space="preserve">“</w:t>
      </w:r>
      <w:r>
        <w:t xml:space="preserve">Partner Source</w:t>
      </w:r>
      <w:r>
        <w:t xml:space="preserve">”</w:t>
      </w:r>
      <w:r>
        <w:t xml:space="preserve"> </w:t>
      </w:r>
      <w:r>
        <w:t xml:space="preserve">column added to existing reconciliation report so users can see at a glance which partner system contributed each row.</w:t>
      </w:r>
    </w:p>
    <w:p>
      <w:pPr>
        <w:pStyle w:val="Heading3"/>
      </w:pPr>
      <w:bookmarkStart w:id="23" w:name="improvements"/>
      <w:r>
        <w:t xml:space="preserve">Improvements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PI-1071</w:t>
      </w:r>
      <w:r>
        <w:t xml:space="preserve"> </w:t>
      </w:r>
      <w:r>
        <w:t xml:space="preserve">— Reduced average reconciliation run time from 18 min to 9 min for top-quartile customers (load-tested on staging dataset).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PI-1075</w:t>
      </w:r>
      <w:r>
        <w:t xml:space="preserve"> </w:t>
      </w:r>
      <w:r>
        <w:t xml:space="preserve">— Discrepancy dashboard pagination added; previously timed out for large customers.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PI-1080</w:t>
      </w:r>
      <w:r>
        <w:t xml:space="preserve"> </w:t>
      </w:r>
      <w:r>
        <w:t xml:space="preserve">— In-app notifications for high-severity discrepancies now route to the on-call ops analyst’s Teams channel as well as the existing email path.</w:t>
      </w:r>
    </w:p>
    <w:p>
      <w:pPr>
        <w:pStyle w:val="Heading3"/>
      </w:pPr>
      <w:bookmarkStart w:id="24" w:name="fixes"/>
      <w:r>
        <w:t xml:space="preserve">Fixes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PI-1083</w:t>
      </w:r>
      <w:r>
        <w:t xml:space="preserve"> </w:t>
      </w:r>
      <w:r>
        <w:t xml:space="preserve">— Fixed a race condition where two simultaneous reconciliation runs could double-count a single discrepancy.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PI-1085</w:t>
      </w:r>
      <w:r>
        <w:t xml:space="preserve"> </w:t>
      </w:r>
      <w:r>
        <w:t xml:space="preserve">— Resolved a UI bug where the</w:t>
      </w:r>
      <w:r>
        <w:t xml:space="preserve"> </w:t>
      </w:r>
      <w:r>
        <w:t xml:space="preserve">“</w:t>
      </w:r>
      <w:r>
        <w:t xml:space="preserve">Resolve</w:t>
      </w:r>
      <w:r>
        <w:t xml:space="preserve">”</w:t>
      </w:r>
      <w:r>
        <w:t xml:space="preserve"> </w:t>
      </w:r>
      <w:r>
        <w:t xml:space="preserve">button on the discrepancy dashboard occasionally required two clicks.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PI-1088</w:t>
      </w:r>
      <w:r>
        <w:t xml:space="preserve"> </w:t>
      </w:r>
      <w:r>
        <w:t xml:space="preserve">— Corrected a timezone display issue in the discrepancy timestamps for non-Eastern customers.</w:t>
      </w:r>
    </w:p>
    <w:p>
      <w:pPr>
        <w:pStyle w:val="Heading2"/>
      </w:pPr>
      <w:bookmarkStart w:id="25" w:name="carry-over-to-sprint-48"/>
      <w:r>
        <w:t xml:space="preserve">Carry-over to Sprint 48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PI-1042 (continued)</w:t>
      </w:r>
      <w:r>
        <w:t xml:space="preserve"> </w:t>
      </w:r>
      <w:r>
        <w:t xml:space="preserve">— Move Type A polling out from behind feature flag for first three pilot customers.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PI-1095</w:t>
      </w:r>
      <w:r>
        <w:t xml:space="preserve"> </w:t>
      </w:r>
      <w:r>
        <w:t xml:space="preserve">— Cross-side escalation API spike (assigned to L. and M. per last week’s customer success sync).</w:t>
      </w:r>
    </w:p>
    <w:p>
      <w:pPr>
        <w:pStyle w:val="Heading2"/>
      </w:pPr>
      <w:bookmarkStart w:id="26" w:name="risks-watch-outs"/>
      <w:r>
        <w:t xml:space="preserve">Risks / watch-outs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Type A partner API has shown intermittent rate-limit responses on 2 of the last 7 days. Watching closely. May need to add per-partner backoff before the pilot launch.</w:t>
      </w:r>
    </w:p>
    <w:p>
      <w:pPr>
        <w:numPr>
          <w:ilvl w:val="0"/>
          <w:numId w:val="1005"/>
        </w:numPr>
        <w:pStyle w:val="Compact"/>
      </w:pPr>
      <w:r>
        <w:t xml:space="preserve">Pagination on the discrepancy dashboard works but is slow for the largest customer (~12,000 rows). Optimization queued for Sprint 49.</w:t>
      </w:r>
    </w:p>
    <w:p>
      <w:pPr>
        <w:pStyle w:val="Heading2"/>
      </w:pPr>
      <w:bookmarkStart w:id="27" w:name="squad-notes"/>
      <w:r>
        <w:t xml:space="preserve">Squad notes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Welcome to A. Reyes, joining the squad as a senior engineer this sprint.</w:t>
      </w:r>
    </w:p>
    <w:p>
      <w:pPr>
        <w:numPr>
          <w:ilvl w:val="0"/>
          <w:numId w:val="1006"/>
        </w:numPr>
        <w:pStyle w:val="Compact"/>
      </w:pPr>
      <w:r>
        <w:t xml:space="preserve">Sprint 48 retro will discuss whether the polling cadence becomes a customer-configurable parameter or stays platform-default.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2026-05-19T02:53:13Z</dcterms:created>
  <dcterms:modified xsi:type="dcterms:W3CDTF">2026-05-19T02:53:13Z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