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ster-service-agreement"/>
    <w:p>
      <w:pPr>
        <w:pStyle w:val="Heading1"/>
      </w:pPr>
      <w:r>
        <w:t xml:space="preserve">MASTER SERVICE AGREEMENT</w:t>
      </w:r>
    </w:p>
    <w:p>
      <w:pPr>
        <w:pStyle w:val="FirstParagraph"/>
      </w:pPr>
      <w:r>
        <w:rPr>
          <w:b/>
          <w:bCs/>
        </w:rPr>
        <w:t xml:space="preserve">Between:</w:t>
      </w:r>
    </w:p>
    <w:p>
      <w:pPr>
        <w:pStyle w:val="BodyText"/>
      </w:pPr>
      <w:r>
        <w:rPr>
          <w:b/>
          <w:bCs/>
        </w:rPr>
        <w:t xml:space="preserve">Techshila Ltd</w:t>
      </w:r>
      <w:r>
        <w:t xml:space="preserve"> </w:t>
      </w:r>
      <w:r>
        <w:t xml:space="preserve">(Company No. 17107536), a company registered in England and Wales whose registered office is at 37 Cygnet Close, Northwood, England, HA6 2TA (</w:t>
      </w:r>
      <w:r>
        <w:t xml:space="preserve">“</w:t>
      </w:r>
      <w:r>
        <w:rPr>
          <w:b/>
          <w:bCs/>
        </w:rPr>
        <w:t xml:space="preserve">the Supplier</w:t>
      </w:r>
      <w:r>
        <w:t xml:space="preserve">”</w:t>
      </w:r>
      <w:r>
        <w:t xml:space="preserve">)</w:t>
      </w:r>
    </w:p>
    <w:p>
      <w:pPr>
        <w:pStyle w:val="BodyText"/>
      </w:pPr>
      <w:r>
        <w:rPr>
          <w:b/>
          <w:bCs/>
        </w:rPr>
        <w:t xml:space="preserve">and</w:t>
      </w:r>
    </w:p>
    <w:p>
      <w:pPr>
        <w:pStyle w:val="BodyText"/>
      </w:pPr>
      <w:r>
        <w:rPr>
          <w:b/>
          <w:bCs/>
        </w:rPr>
        <w:t xml:space="preserve">[CLIENT COMPANY NAME]</w:t>
      </w:r>
      <w:r>
        <w:t xml:space="preserve"> </w:t>
      </w:r>
      <w:r>
        <w:t xml:space="preserve">(Company No. [NUMBER]), a company registered in [JURISDICTION] whose registered office is at [ADDRESS] (</w:t>
      </w:r>
      <w:r>
        <w:t xml:space="preserve">“</w:t>
      </w:r>
      <w:r>
        <w:rPr>
          <w:b/>
          <w:bCs/>
        </w:rPr>
        <w:t xml:space="preserve">the Client</w:t>
      </w:r>
      <w:r>
        <w:t xml:space="preserve">”</w:t>
      </w:r>
      <w:r>
        <w:t xml:space="preserve">)</w:t>
      </w:r>
    </w:p>
    <w:p>
      <w:pPr>
        <w:pStyle w:val="BodyText"/>
      </w:pPr>
      <w:r>
        <w:rPr>
          <w:b/>
          <w:bCs/>
        </w:rPr>
        <w:t xml:space="preserve">Effective Date:</w:t>
      </w:r>
      <w:r>
        <w:t xml:space="preserve"> </w:t>
      </w:r>
      <w:r>
        <w:t xml:space="preserve">[DATE]</w:t>
      </w:r>
    </w:p>
    <w:p>
      <w:r>
        <w:pict>
          <v:rect style="width:0;height:1.5pt" o:hralign="center" o:hrstd="t" o:hr="t"/>
        </w:pict>
      </w:r>
    </w:p>
    <w:bookmarkStart w:id="9" w:name="definitions-and-interpretation"/>
    <w:p>
      <w:pPr>
        <w:pStyle w:val="Heading2"/>
      </w:pPr>
      <w:r>
        <w:t xml:space="preserve">1. DEFINITIONS AND INTERPRETATION</w:t>
      </w:r>
    </w:p>
    <w:p>
      <w:pPr>
        <w:pStyle w:val="FirstParagraph"/>
      </w:pPr>
      <w:r>
        <w:t xml:space="preserve">1.1 In this Agreement, the following terms shall have the following meanings:</w:t>
      </w:r>
    </w:p>
    <w:p>
      <w:pPr>
        <w:pStyle w:val="Compact"/>
        <w:numPr>
          <w:ilvl w:val="0"/>
          <w:numId w:val="1001"/>
        </w:numPr>
      </w:pPr>
      <w:r>
        <w:rPr>
          <w:b/>
          <w:bCs/>
        </w:rPr>
        <w:t xml:space="preserve">“Advisory Period”</w:t>
      </w:r>
      <w:r>
        <w:t xml:space="preserve"> </w:t>
      </w:r>
      <w:r>
        <w:t xml:space="preserve">means the 4-week post-engagement support period (where applicable under the selected Engagement Option).</w:t>
      </w:r>
    </w:p>
    <w:p>
      <w:pPr>
        <w:pStyle w:val="Compact"/>
        <w:numPr>
          <w:ilvl w:val="0"/>
          <w:numId w:val="1001"/>
        </w:numPr>
      </w:pPr>
      <w:r>
        <w:rPr>
          <w:b/>
          <w:bCs/>
        </w:rPr>
        <w:t xml:space="preserve">“Agentic SDLC Framework”</w:t>
      </w:r>
      <w:r>
        <w:t xml:space="preserve"> </w:t>
      </w:r>
      <w:r>
        <w:t xml:space="preserve">means the Supplier’s proprietary workflow generation framework, including templates, phase files, rules, and companion configurations installed during the Engagement.</w:t>
      </w:r>
    </w:p>
    <w:p>
      <w:pPr>
        <w:pStyle w:val="Compact"/>
        <w:numPr>
          <w:ilvl w:val="0"/>
          <w:numId w:val="1001"/>
        </w:numPr>
      </w:pPr>
      <w:r>
        <w:rPr>
          <w:b/>
          <w:bCs/>
        </w:rPr>
        <w:t xml:space="preserve">“Champion”</w:t>
      </w:r>
      <w:r>
        <w:t xml:space="preserve"> </w:t>
      </w:r>
      <w:r>
        <w:t xml:space="preserve">means the Client’s designated internal lead(s) responsible for owning and maintaining the workflows after handoff.</w:t>
      </w:r>
    </w:p>
    <w:p>
      <w:pPr>
        <w:pStyle w:val="Compact"/>
        <w:numPr>
          <w:ilvl w:val="0"/>
          <w:numId w:val="1001"/>
        </w:numPr>
      </w:pPr>
      <w:r>
        <w:rPr>
          <w:b/>
          <w:bCs/>
        </w:rPr>
        <w:t xml:space="preserve">“Confidential Information”</w:t>
      </w:r>
      <w:r>
        <w:t xml:space="preserve"> </w:t>
      </w:r>
      <w:r>
        <w:t xml:space="preserve">means all information disclosed by one party to the other in connection with this Agreement that is identified as confidential or that ought reasonably to be considered confidential given the nature of the information or the circumstances of disclosure.</w:t>
      </w:r>
    </w:p>
    <w:p>
      <w:pPr>
        <w:pStyle w:val="Compact"/>
        <w:numPr>
          <w:ilvl w:val="0"/>
          <w:numId w:val="1001"/>
        </w:numPr>
      </w:pPr>
      <w:r>
        <w:rPr>
          <w:b/>
          <w:bCs/>
        </w:rPr>
        <w:t xml:space="preserve">“Deliverables”</w:t>
      </w:r>
      <w:r>
        <w:t xml:space="preserve"> </w:t>
      </w:r>
      <w:r>
        <w:t xml:space="preserve">means the items to be delivered to the Client as specified in Schedule 1.</w:t>
      </w:r>
    </w:p>
    <w:p>
      <w:pPr>
        <w:pStyle w:val="Compact"/>
        <w:numPr>
          <w:ilvl w:val="0"/>
          <w:numId w:val="1001"/>
        </w:numPr>
      </w:pPr>
      <w:r>
        <w:rPr>
          <w:b/>
          <w:bCs/>
        </w:rPr>
        <w:t xml:space="preserve">“Engagement”</w:t>
      </w:r>
      <w:r>
        <w:t xml:space="preserve"> </w:t>
      </w:r>
      <w:r>
        <w:t xml:space="preserve">means the services to be performed by the Supplier as described in Schedule 1.</w:t>
      </w:r>
    </w:p>
    <w:p>
      <w:pPr>
        <w:pStyle w:val="Compact"/>
        <w:numPr>
          <w:ilvl w:val="0"/>
          <w:numId w:val="1001"/>
        </w:numPr>
      </w:pPr>
      <w:r>
        <w:rPr>
          <w:b/>
          <w:bCs/>
        </w:rPr>
        <w:t xml:space="preserve">“Engagement Period”</w:t>
      </w:r>
      <w:r>
        <w:t xml:space="preserve"> </w:t>
      </w:r>
      <w:r>
        <w:t xml:space="preserve">means the duration of the active engagement as set out in Schedule 1.</w:t>
      </w:r>
    </w:p>
    <w:p>
      <w:pPr>
        <w:pStyle w:val="Compact"/>
        <w:numPr>
          <w:ilvl w:val="0"/>
          <w:numId w:val="1001"/>
        </w:numPr>
      </w:pPr>
      <w:r>
        <w:rPr>
          <w:b/>
          <w:bCs/>
        </w:rPr>
        <w:t xml:space="preserve">“Intellectual Property Rights”</w:t>
      </w:r>
      <w:r>
        <w:t xml:space="preserve"> </w:t>
      </w:r>
      <w:r>
        <w:t xml:space="preserve">means patents, rights to inventions, copyright and related rights, trade marks, trade names, domain names, rights in get-up and trade dress, goodwill, rights to sue for passing off, rights in designs, database rights, rights in confidential information (including know-how and trade secrets), and all other intellectual property rights, in each case whether registered or unregistered.</w:t>
      </w:r>
    </w:p>
    <w:p>
      <w:pPr>
        <w:pStyle w:val="Compact"/>
        <w:numPr>
          <w:ilvl w:val="0"/>
          <w:numId w:val="1001"/>
        </w:numPr>
      </w:pPr>
      <w:r>
        <w:rPr>
          <w:b/>
          <w:bCs/>
        </w:rPr>
        <w:t xml:space="preserve">“Working Day”</w:t>
      </w:r>
      <w:r>
        <w:t xml:space="preserve"> </w:t>
      </w:r>
      <w:r>
        <w:t xml:space="preserve">means any day other than a Saturday, Sunday, or public holiday in England.</w:t>
      </w:r>
    </w:p>
    <w:p>
      <w:r>
        <w:pict>
          <v:rect style="width:0;height:1.5pt" o:hralign="center" o:hrstd="t" o:hr="t"/>
        </w:pict>
      </w:r>
    </w:p>
    <w:bookmarkEnd w:id="9"/>
    <w:bookmarkStart w:id="10" w:name="engagement-and-scope"/>
    <w:p>
      <w:pPr>
        <w:pStyle w:val="Heading2"/>
      </w:pPr>
      <w:r>
        <w:t xml:space="preserve">2. ENGAGEMENT AND SCOPE</w:t>
      </w:r>
    </w:p>
    <w:p>
      <w:pPr>
        <w:pStyle w:val="FirstParagraph"/>
      </w:pPr>
      <w:r>
        <w:t xml:space="preserve">2.1 The Supplier shall perform the Engagement as described in Schedule 1, exercising reasonable skill and care.</w:t>
      </w:r>
    </w:p>
    <w:p>
      <w:pPr>
        <w:pStyle w:val="BodyText"/>
      </w:pPr>
      <w:r>
        <w:t xml:space="preserve">2.2 The Engagement Option selected by the Client is:</w:t>
      </w:r>
      <w:r>
        <w:t xml:space="preserve"> </w:t>
      </w:r>
      <w:r>
        <w:rPr>
          <w:b/>
          <w:bCs/>
        </w:rPr>
        <w:t xml:space="preserve">[Standard / Standard + Advisory]</w:t>
      </w:r>
      <w:r>
        <w:t xml:space="preserve"> </w:t>
      </w:r>
      <w:r>
        <w:t xml:space="preserve">(delete as appropriate).</w:t>
      </w:r>
    </w:p>
    <w:p>
      <w:pPr>
        <w:pStyle w:val="BodyText"/>
      </w:pPr>
      <w:r>
        <w:t xml:space="preserve">2.3 The Supplier shall commence the Engagement on the date agreed in writing by both parties (</w:t>
      </w:r>
      <w:r>
        <w:t xml:space="preserve">“</w:t>
      </w:r>
      <w:r>
        <w:rPr>
          <w:b/>
          <w:bCs/>
        </w:rPr>
        <w:t xml:space="preserve">Start Date</w:t>
      </w:r>
      <w:r>
        <w:t xml:space="preserve">”</w:t>
      </w:r>
      <w:r>
        <w:t xml:space="preserve">), subject to receipt of the initial payment as set out in clause 5.</w:t>
      </w:r>
    </w:p>
    <w:p>
      <w:pPr>
        <w:pStyle w:val="BodyText"/>
      </w:pPr>
      <w:r>
        <w:t xml:space="preserve">2.4 The scope of the Engagement is limited to the services described in Schedule 1. Any work beyond this scope shall be subject to a separate written agreement or change order signed by both parties.</w:t>
      </w:r>
    </w:p>
    <w:p>
      <w:r>
        <w:pict>
          <v:rect style="width:0;height:1.5pt" o:hralign="center" o:hrstd="t" o:hr="t"/>
        </w:pict>
      </w:r>
    </w:p>
    <w:bookmarkEnd w:id="10"/>
    <w:bookmarkStart w:id="11" w:name="client-obligations"/>
    <w:p>
      <w:pPr>
        <w:pStyle w:val="Heading2"/>
      </w:pPr>
      <w:r>
        <w:t xml:space="preserve">3. CLIENT OBLIGATIONS</w:t>
      </w:r>
    </w:p>
    <w:p>
      <w:pPr>
        <w:pStyle w:val="FirstParagraph"/>
      </w:pPr>
      <w:r>
        <w:t xml:space="preserve">3.1 The Client shall:</w:t>
      </w:r>
    </w:p>
    <w:p>
      <w:pPr>
        <w:numPr>
          <w:ilvl w:val="0"/>
          <w:numId w:val="1002"/>
        </w:numPr>
      </w:pPr>
      <w:r>
        <w:t xml:space="preserve">provide the Supplier with timely access to the relevant code repository(ies), development environment, and any tooling reasonably required to perform the Engagement;</w:t>
      </w:r>
    </w:p>
    <w:p>
      <w:pPr>
        <w:numPr>
          <w:ilvl w:val="0"/>
          <w:numId w:val="1002"/>
        </w:numPr>
      </w:pPr>
      <w:r>
        <w:t xml:space="preserve">designate at least one Champion to participate in training sessions and paired execution activities;</w:t>
      </w:r>
    </w:p>
    <w:p>
      <w:pPr>
        <w:numPr>
          <w:ilvl w:val="0"/>
          <w:numId w:val="1002"/>
        </w:numPr>
      </w:pPr>
      <w:r>
        <w:t xml:space="preserve">ensure that relevant team members are available for the scheduled training sessions during the Engagement Period;</w:t>
      </w:r>
    </w:p>
    <w:p>
      <w:pPr>
        <w:numPr>
          <w:ilvl w:val="0"/>
          <w:numId w:val="1002"/>
        </w:numPr>
      </w:pPr>
      <w:r>
        <w:t xml:space="preserve">procure and maintain, at its own cost, all third-party licences required for the workflows to operate, including but not limited to Claude Pro/Team licences from Anthropic and any Atlassian/Jira subscriptions;</w:t>
      </w:r>
    </w:p>
    <w:p>
      <w:pPr>
        <w:numPr>
          <w:ilvl w:val="0"/>
          <w:numId w:val="1002"/>
        </w:numPr>
      </w:pPr>
      <w:r>
        <w:t xml:space="preserve">provide prompt feedback and decisions when reasonably requested by the Supplier to avoid delays to the Engagement timeline;</w:t>
      </w:r>
    </w:p>
    <w:p>
      <w:pPr>
        <w:numPr>
          <w:ilvl w:val="0"/>
          <w:numId w:val="1002"/>
        </w:numPr>
      </w:pPr>
      <w:r>
        <w:t xml:space="preserve">grant the Supplier access to communication channels (Slack, Teams, or email) as needed for the Engagement and any Advisory Period.</w:t>
      </w:r>
    </w:p>
    <w:p>
      <w:pPr>
        <w:pStyle w:val="FirstParagraph"/>
      </w:pPr>
      <w:r>
        <w:t xml:space="preserve">3.2 The Client acknowledges that the Supplier’s ability to deliver the Engagement to the agreed timeline is dependent on the Client fulfilling its obligations under this clause 3. Delays caused by the Client’s failure to fulfil these obligations shall not constitute a breach by the Supplier.</w:t>
      </w:r>
    </w:p>
    <w:p>
      <w:r>
        <w:pict>
          <v:rect style="width:0;height:1.5pt" o:hralign="center" o:hrstd="t" o:hr="t"/>
        </w:pict>
      </w:r>
    </w:p>
    <w:bookmarkEnd w:id="11"/>
    <w:bookmarkStart w:id="14" w:name="engagement-option-details"/>
    <w:p>
      <w:pPr>
        <w:pStyle w:val="Heading2"/>
      </w:pPr>
      <w:r>
        <w:t xml:space="preserve">4. ENGAGEMENT OPTION DETAILS</w:t>
      </w:r>
    </w:p>
    <w:bookmarkStart w:id="12" w:name="standard-engagement-2-weeks"/>
    <w:p>
      <w:pPr>
        <w:pStyle w:val="Heading3"/>
      </w:pPr>
      <w:r>
        <w:t xml:space="preserve">4.1 Standard Engagement (2 weeks)</w:t>
      </w:r>
    </w:p>
    <w:p>
      <w:pPr>
        <w:pStyle w:val="FirstParagraph"/>
      </w:pPr>
      <w:r>
        <w:rPr>
          <w:b/>
          <w:bCs/>
        </w:rPr>
        <w:t xml:space="preserve">Week 1 — Setup &amp; Training</w:t>
      </w:r>
      <w:r>
        <w:t xml:space="preserve"> </w:t>
      </w:r>
      <w:r>
        <w:t xml:space="preserve">- Repository assessment and framework installation</w:t>
      </w:r>
      <w:r>
        <w:t xml:space="preserve"> </w:t>
      </w:r>
      <w:r>
        <w:t xml:space="preserve">- Generator runs tailored to the Client’s codebase (Development, Story, and QE pipelines)</w:t>
      </w:r>
      <w:r>
        <w:t xml:space="preserve"> </w:t>
      </w:r>
      <w:r>
        <w:t xml:space="preserve">- Validation and first end-to-end workflow execution</w:t>
      </w:r>
      <w:r>
        <w:t xml:space="preserve"> </w:t>
      </w:r>
      <w:r>
        <w:t xml:space="preserve">- 5 training and mindset sessions (approximately 6 hours total, recorded):</w:t>
      </w:r>
      <w:r>
        <w:t xml:space="preserve"> </w:t>
      </w:r>
      <w:r>
        <w:t xml:space="preserve">- Vibe Coding to Agentic Delivery (1.5 hrs)</w:t>
      </w:r>
      <w:r>
        <w:t xml:space="preserve"> </w:t>
      </w:r>
      <w:r>
        <w:t xml:space="preserve">- The Trust Model (1 hr)</w:t>
      </w:r>
      <w:r>
        <w:t xml:space="preserve"> </w:t>
      </w:r>
      <w:r>
        <w:t xml:space="preserve">- Development Pipeline Deep-Dive (1 hr)</w:t>
      </w:r>
      <w:r>
        <w:t xml:space="preserve"> </w:t>
      </w:r>
      <w:r>
        <w:t xml:space="preserve">- QE &amp; Story Pipeline Deep-Dive (1.5 hrs)</w:t>
      </w:r>
      <w:r>
        <w:t xml:space="preserve"> </w:t>
      </w:r>
      <w:r>
        <w:t xml:space="preserve">- Prompt Engineering for Delivery (1 hr)</w:t>
      </w:r>
    </w:p>
    <w:p>
      <w:pPr>
        <w:pStyle w:val="BodyText"/>
      </w:pPr>
      <w:r>
        <w:rPr>
          <w:b/>
          <w:bCs/>
        </w:rPr>
        <w:t xml:space="preserve">Week 2 — Execution &amp; Handoff</w:t>
      </w:r>
      <w:r>
        <w:t xml:space="preserve"> </w:t>
      </w:r>
      <w:r>
        <w:t xml:space="preserve">- Paired workflow execution on real sprint tickets</w:t>
      </w:r>
      <w:r>
        <w:t xml:space="preserve"> </w:t>
      </w:r>
      <w:r>
        <w:t xml:space="preserve">- Configuration tuning based on team feedback</w:t>
      </w:r>
      <w:r>
        <w:t xml:space="preserve"> </w:t>
      </w:r>
      <w:r>
        <w:t xml:space="preserve">- Champion coaching and peer session</w:t>
      </w:r>
      <w:r>
        <w:t xml:space="preserve"> </w:t>
      </w:r>
      <w:r>
        <w:t xml:space="preserve">- Documentation website source code handoff and update walkthrough</w:t>
      </w:r>
      <w:r>
        <w:t xml:space="preserve"> </w:t>
      </w:r>
      <w:r>
        <w:t xml:space="preserve">- Champion playbook delivery</w:t>
      </w:r>
      <w:r>
        <w:t xml:space="preserve"> </w:t>
      </w:r>
      <w:r>
        <w:t xml:space="preserve">- Upgrade path documentation</w:t>
      </w:r>
      <w:r>
        <w:t xml:space="preserve"> </w:t>
      </w:r>
      <w:r>
        <w:t xml:space="preserve">- Engagement retrospective and sign-off</w:t>
      </w:r>
    </w:p>
    <w:bookmarkEnd w:id="12"/>
    <w:bookmarkStart w:id="13" w:name="advisory-add-on-4-weeks-post-engagement"/>
    <w:p>
      <w:pPr>
        <w:pStyle w:val="Heading3"/>
      </w:pPr>
      <w:r>
        <w:t xml:space="preserve">4.2 Advisory Add-On (4 weeks post-engagement)</w:t>
      </w:r>
    </w:p>
    <w:p>
      <w:pPr>
        <w:pStyle w:val="FirstParagraph"/>
      </w:pPr>
      <w:r>
        <w:t xml:space="preserve">Where the Client has selected the Standard + Advisory option, the following support is included for 4 weeks following the completion of Week 2:</w:t>
      </w:r>
    </w:p>
    <w:p>
      <w:pPr>
        <w:pStyle w:val="Compact"/>
        <w:numPr>
          <w:ilvl w:val="0"/>
          <w:numId w:val="1003"/>
        </w:numPr>
      </w:pPr>
      <w:r>
        <w:t xml:space="preserve">Up to 2 hours per week of asynchronous support via agreed channels (Slack, email, or Teams)</w:t>
      </w:r>
    </w:p>
    <w:p>
      <w:pPr>
        <w:pStyle w:val="Compact"/>
        <w:numPr>
          <w:ilvl w:val="0"/>
          <w:numId w:val="1003"/>
        </w:numPr>
      </w:pPr>
      <w:r>
        <w:t xml:space="preserve">Workflow configuration questions</w:t>
      </w:r>
    </w:p>
    <w:p>
      <w:pPr>
        <w:pStyle w:val="Compact"/>
        <w:numPr>
          <w:ilvl w:val="0"/>
          <w:numId w:val="1003"/>
        </w:numPr>
      </w:pPr>
      <w:r>
        <w:t xml:space="preserve">Champion coaching as they onboard new team members</w:t>
      </w:r>
    </w:p>
    <w:p>
      <w:pPr>
        <w:pStyle w:val="Compact"/>
        <w:numPr>
          <w:ilvl w:val="0"/>
          <w:numId w:val="1003"/>
        </w:numPr>
      </w:pPr>
      <w:r>
        <w:t xml:space="preserve">Edge case troubleshooting</w:t>
      </w:r>
    </w:p>
    <w:p>
      <w:pPr>
        <w:pStyle w:val="Compact"/>
        <w:numPr>
          <w:ilvl w:val="0"/>
          <w:numId w:val="1003"/>
        </w:numPr>
      </w:pPr>
      <w:r>
        <w:t xml:space="preserve">Guidance on extending or customising workflows</w:t>
      </w:r>
    </w:p>
    <w:p>
      <w:pPr>
        <w:pStyle w:val="FirstParagraph"/>
      </w:pPr>
      <w:r>
        <w:t xml:space="preserve">Advisory support is provided asynchronously. The Supplier shall use reasonable endeavours to respond within 1 Working Day.</w:t>
      </w:r>
    </w:p>
    <w:p>
      <w:r>
        <w:pict>
          <v:rect style="width:0;height:1.5pt" o:hralign="center" o:hrstd="t" o:hr="t"/>
        </w:pict>
      </w:r>
    </w:p>
    <w:bookmarkEnd w:id="13"/>
    <w:bookmarkEnd w:id="14"/>
    <w:bookmarkStart w:id="15" w:name="fees-and-payment"/>
    <w:p>
      <w:pPr>
        <w:pStyle w:val="Heading2"/>
      </w:pPr>
      <w:r>
        <w:t xml:space="preserve">5. FEES AND PAYMENT</w:t>
      </w:r>
    </w:p>
    <w:p>
      <w:pPr>
        <w:pStyle w:val="FirstParagraph"/>
      </w:pPr>
      <w:r>
        <w:t xml:space="preserve">5.1 The fees for the Engagement are as set out in Schedule 2.</w:t>
      </w:r>
    </w:p>
    <w:p>
      <w:pPr>
        <w:pStyle w:val="BodyText"/>
      </w:pPr>
      <w:r>
        <w:t xml:space="preserve">5.2 All fees are stated exclusive of VAT, which shall be charged at the applicable UK rate.</w:t>
      </w:r>
    </w:p>
    <w:p>
      <w:pPr>
        <w:pStyle w:val="BodyText"/>
      </w:pPr>
      <w:r>
        <w:t xml:space="preserve">5.3 The Supplier shall issue invoices in accordance with the payment schedule in Schedule 2.</w:t>
      </w:r>
    </w:p>
    <w:p>
      <w:pPr>
        <w:pStyle w:val="BodyText"/>
      </w:pPr>
      <w:r>
        <w:t xml:space="preserve">5.4 Payment is due within 7 days of the date of each invoice, by bank transfer to the account details provided on the invoice.</w:t>
      </w:r>
    </w:p>
    <w:p>
      <w:pPr>
        <w:pStyle w:val="BodyText"/>
      </w:pPr>
      <w:r>
        <w:t xml:space="preserve">5.5 Without prejudice to any other right or remedy, if the Client fails to make any payment when due, the Supplier may:</w:t>
      </w:r>
    </w:p>
    <w:p>
      <w:pPr>
        <w:numPr>
          <w:ilvl w:val="0"/>
          <w:numId w:val="1004"/>
        </w:numPr>
      </w:pPr>
      <w:r>
        <w:t xml:space="preserve">charge interest on the overdue amount at the rate of 4% per annum above the Bank of England base rate from time to time, accruing daily until payment is made; and</w:t>
      </w:r>
    </w:p>
    <w:p>
      <w:pPr>
        <w:numPr>
          <w:ilvl w:val="0"/>
          <w:numId w:val="1004"/>
        </w:numPr>
      </w:pPr>
      <w:r>
        <w:t xml:space="preserve">suspend performance of the Engagement until all outstanding amounts are paid in full.</w:t>
      </w:r>
    </w:p>
    <w:p>
      <w:r>
        <w:pict>
          <v:rect style="width:0;height:1.5pt" o:hralign="center" o:hrstd="t" o:hr="t"/>
        </w:pict>
      </w:r>
    </w:p>
    <w:bookmarkEnd w:id="15"/>
    <w:bookmarkStart w:id="16" w:name="intellectual-property"/>
    <w:p>
      <w:pPr>
        <w:pStyle w:val="Heading2"/>
      </w:pPr>
      <w:r>
        <w:t xml:space="preserve">6. INTELLECTUAL PROPERTY</w:t>
      </w:r>
    </w:p>
    <w:p>
      <w:pPr>
        <w:pStyle w:val="FirstParagraph"/>
      </w:pPr>
      <w:r>
        <w:t xml:space="preserve">6.1</w:t>
      </w:r>
      <w:r>
        <w:t xml:space="preserve"> </w:t>
      </w:r>
      <w:r>
        <w:rPr>
          <w:b/>
          <w:bCs/>
        </w:rPr>
        <w:t xml:space="preserve">Supplier’s IP.</w:t>
      </w:r>
      <w:r>
        <w:t xml:space="preserve"> </w:t>
      </w:r>
      <w:r>
        <w:t xml:space="preserve">The Agentic SDLC Framework (including its templates, generator logic, phase files, and documentation structure) is and shall remain the Intellectual Property of the Supplier. The Client is granted a non-exclusive, perpetual, royalty-free licence to use, modify, and extend the installed framework and generated workflows for the Client’s own internal business purposes.</w:t>
      </w:r>
    </w:p>
    <w:p>
      <w:pPr>
        <w:pStyle w:val="BodyText"/>
      </w:pPr>
      <w:r>
        <w:t xml:space="preserve">6.2</w:t>
      </w:r>
      <w:r>
        <w:t xml:space="preserve"> </w:t>
      </w:r>
      <w:r>
        <w:rPr>
          <w:b/>
          <w:bCs/>
        </w:rPr>
        <w:t xml:space="preserve">Client’s IP.</w:t>
      </w:r>
      <w:r>
        <w:t xml:space="preserve"> </w:t>
      </w:r>
      <w:r>
        <w:t xml:space="preserve">All Intellectual Property Rights in the Client’s codebase, data, and pre-existing materials shall remain the property of the Client. The Supplier shall not acquire any rights in the Client’s IP by virtue of this Agreement.</w:t>
      </w:r>
    </w:p>
    <w:p>
      <w:pPr>
        <w:pStyle w:val="BodyText"/>
      </w:pPr>
      <w:r>
        <w:t xml:space="preserve">6.3</w:t>
      </w:r>
      <w:r>
        <w:t xml:space="preserve"> </w:t>
      </w:r>
      <w:r>
        <w:rPr>
          <w:b/>
          <w:bCs/>
        </w:rPr>
        <w:t xml:space="preserve">Generated Outputs.</w:t>
      </w:r>
      <w:r>
        <w:t xml:space="preserve"> </w:t>
      </w:r>
      <w:r>
        <w:t xml:space="preserve">Workflow configurations, rules files, and documentation generated specifically for the Client during the Engagement shall be owned by the Client from the date of handoff, subject to the Supplier’s underlying IP in the framework itself.</w:t>
      </w:r>
    </w:p>
    <w:p>
      <w:pPr>
        <w:pStyle w:val="BodyText"/>
      </w:pPr>
      <w:r>
        <w:t xml:space="preserve">6.4</w:t>
      </w:r>
      <w:r>
        <w:t xml:space="preserve"> </w:t>
      </w:r>
      <w:r>
        <w:rPr>
          <w:b/>
          <w:bCs/>
        </w:rPr>
        <w:t xml:space="preserve">Documentation Website.</w:t>
      </w:r>
      <w:r>
        <w:t xml:space="preserve"> </w:t>
      </w:r>
      <w:r>
        <w:t xml:space="preserve">The source code for the documentation website delivered during the Engagement shall be owned by the Client from the date of handoff. The Client is solely responsible for ongoing hosting, maintenance, and updates.</w:t>
      </w:r>
    </w:p>
    <w:p>
      <w:pPr>
        <w:pStyle w:val="BodyText"/>
      </w:pPr>
      <w:r>
        <w:t xml:space="preserve">6.5</w:t>
      </w:r>
      <w:r>
        <w:t xml:space="preserve"> </w:t>
      </w:r>
      <w:r>
        <w:rPr>
          <w:b/>
          <w:bCs/>
        </w:rPr>
        <w:t xml:space="preserve">Training Materials.</w:t>
      </w:r>
      <w:r>
        <w:t xml:space="preserve"> </w:t>
      </w:r>
      <w:r>
        <w:t xml:space="preserve">Training session recordings and the Champion playbook may be used by the Client for internal purposes only and shall not be distributed externally without the Supplier’s prior written consent.</w:t>
      </w:r>
    </w:p>
    <w:p>
      <w:r>
        <w:pict>
          <v:rect style="width:0;height:1.5pt" o:hralign="center" o:hrstd="t" o:hr="t"/>
        </w:pict>
      </w:r>
    </w:p>
    <w:bookmarkEnd w:id="16"/>
    <w:bookmarkStart w:id="17" w:name="confidentiality"/>
    <w:p>
      <w:pPr>
        <w:pStyle w:val="Heading2"/>
      </w:pPr>
      <w:r>
        <w:t xml:space="preserve">7. CONFIDENTIALITY</w:t>
      </w:r>
    </w:p>
    <w:p>
      <w:pPr>
        <w:pStyle w:val="FirstParagraph"/>
      </w:pPr>
      <w:r>
        <w:t xml:space="preserve">7.1 Each party shall keep the other party’s Confidential Information strictly confidential and shall not disclose it to any third party without the prior written consent of the disclosing party.</w:t>
      </w:r>
    </w:p>
    <w:p>
      <w:pPr>
        <w:pStyle w:val="BodyText"/>
      </w:pPr>
      <w:r>
        <w:t xml:space="preserve">7.2 Each party may disclose the other party’s Confidential Information:</w:t>
      </w:r>
    </w:p>
    <w:p>
      <w:pPr>
        <w:numPr>
          <w:ilvl w:val="0"/>
          <w:numId w:val="1005"/>
        </w:numPr>
      </w:pPr>
      <w:r>
        <w:t xml:space="preserve">to its employees, officers, contractors, and professional advisers who need to know such information for the purposes of this Agreement, provided that such persons are bound by obligations of confidentiality no less onerous than this clause 7;</w:t>
      </w:r>
    </w:p>
    <w:p>
      <w:pPr>
        <w:numPr>
          <w:ilvl w:val="0"/>
          <w:numId w:val="1005"/>
        </w:numPr>
      </w:pPr>
      <w:r>
        <w:t xml:space="preserve">as may be required by law, regulation, or any governmental or regulatory authority.</w:t>
      </w:r>
    </w:p>
    <w:p>
      <w:pPr>
        <w:pStyle w:val="FirstParagraph"/>
      </w:pPr>
      <w:r>
        <w:t xml:space="preserve">7.3 This clause 7 shall survive termination of this Agreement for a period of 2 years.</w:t>
      </w:r>
    </w:p>
    <w:p>
      <w:pPr>
        <w:pStyle w:val="BodyText"/>
      </w:pPr>
      <w:r>
        <w:t xml:space="preserve">7.4 Confidential Information does not include information that:</w:t>
      </w:r>
    </w:p>
    <w:p>
      <w:pPr>
        <w:numPr>
          <w:ilvl w:val="0"/>
          <w:numId w:val="1006"/>
        </w:numPr>
      </w:pPr>
      <w:r>
        <w:t xml:space="preserve">is or becomes publicly available through no fault of the receiving party;</w:t>
      </w:r>
    </w:p>
    <w:p>
      <w:pPr>
        <w:numPr>
          <w:ilvl w:val="0"/>
          <w:numId w:val="1006"/>
        </w:numPr>
      </w:pPr>
      <w:r>
        <w:t xml:space="preserve">was already known to the receiving party prior to disclosure;</w:t>
      </w:r>
    </w:p>
    <w:p>
      <w:pPr>
        <w:numPr>
          <w:ilvl w:val="0"/>
          <w:numId w:val="1006"/>
        </w:numPr>
      </w:pPr>
      <w:r>
        <w:t xml:space="preserve">is independently developed by the receiving party without reference to the Confidential Information; or</w:t>
      </w:r>
    </w:p>
    <w:p>
      <w:pPr>
        <w:numPr>
          <w:ilvl w:val="0"/>
          <w:numId w:val="1006"/>
        </w:numPr>
      </w:pPr>
      <w:r>
        <w:t xml:space="preserve">is received from a third party who is not under an obligation of confidentiality.</w:t>
      </w:r>
    </w:p>
    <w:p>
      <w:r>
        <w:pict>
          <v:rect style="width:0;height:1.5pt" o:hralign="center" o:hrstd="t" o:hr="t"/>
        </w:pict>
      </w:r>
    </w:p>
    <w:bookmarkEnd w:id="17"/>
    <w:bookmarkStart w:id="18" w:name="data-protection"/>
    <w:p>
      <w:pPr>
        <w:pStyle w:val="Heading2"/>
      </w:pPr>
      <w:r>
        <w:t xml:space="preserve">8. DATA PROTECTION</w:t>
      </w:r>
    </w:p>
    <w:p>
      <w:pPr>
        <w:pStyle w:val="FirstParagraph"/>
      </w:pPr>
      <w:r>
        <w:t xml:space="preserve">8.1 To the extent that either party processes personal data in connection with this Agreement, each party shall comply with all applicable data protection legislation, including the UK General Data Protection Regulation and the Data Protection Act 2018.</w:t>
      </w:r>
    </w:p>
    <w:p>
      <w:pPr>
        <w:pStyle w:val="BodyText"/>
      </w:pPr>
      <w:r>
        <w:t xml:space="preserve">8.2 The Supplier shall access the Client’s code repository and development environment solely for the purposes of performing the Engagement. The Supplier shall not extract, copy, or retain the Client’s proprietary source code beyond the duration of the Engagement, except to the extent necessary for delivering the Deliverables.</w:t>
      </w:r>
    </w:p>
    <w:p>
      <w:pPr>
        <w:pStyle w:val="BodyText"/>
      </w:pPr>
      <w:r>
        <w:t xml:space="preserve">8.3 Both parties shall implement appropriate technical and organisational measures to protect any personal data processed in connection with this Agreement.</w:t>
      </w:r>
    </w:p>
    <w:p>
      <w:r>
        <w:pict>
          <v:rect style="width:0;height:1.5pt" o:hralign="center" o:hrstd="t" o:hr="t"/>
        </w:pict>
      </w:r>
    </w:p>
    <w:bookmarkEnd w:id="18"/>
    <w:bookmarkStart w:id="19" w:name="warranties-and-limitations"/>
    <w:p>
      <w:pPr>
        <w:pStyle w:val="Heading2"/>
      </w:pPr>
      <w:r>
        <w:t xml:space="preserve">9. WARRANTIES AND LIMITATIONS</w:t>
      </w:r>
    </w:p>
    <w:p>
      <w:pPr>
        <w:pStyle w:val="FirstParagraph"/>
      </w:pPr>
      <w:r>
        <w:t xml:space="preserve">9.1 The Supplier warrants that:</w:t>
      </w:r>
    </w:p>
    <w:p>
      <w:pPr>
        <w:numPr>
          <w:ilvl w:val="0"/>
          <w:numId w:val="1007"/>
        </w:numPr>
      </w:pPr>
      <w:r>
        <w:t xml:space="preserve">it will perform the Engagement with reasonable skill and care, consistent with generally accepted industry standards;</w:t>
      </w:r>
    </w:p>
    <w:p>
      <w:pPr>
        <w:numPr>
          <w:ilvl w:val="0"/>
          <w:numId w:val="1007"/>
        </w:numPr>
      </w:pPr>
      <w:r>
        <w:t xml:space="preserve">it has the right to grant the licences described in clause 6.</w:t>
      </w:r>
    </w:p>
    <w:p>
      <w:pPr>
        <w:pStyle w:val="FirstParagraph"/>
      </w:pPr>
      <w:r>
        <w:t xml:space="preserve">9.2 The Client acknowledges and agrees that:</w:t>
      </w:r>
    </w:p>
    <w:p>
      <w:pPr>
        <w:numPr>
          <w:ilvl w:val="0"/>
          <w:numId w:val="1008"/>
        </w:numPr>
      </w:pPr>
      <w:r>
        <w:t xml:space="preserve">AI-assisted software development workflows depend on third-party AI models (including Anthropic Claude), the behaviour and availability of which are outside the Supplier’s control;</w:t>
      </w:r>
    </w:p>
    <w:p>
      <w:pPr>
        <w:numPr>
          <w:ilvl w:val="0"/>
          <w:numId w:val="1008"/>
        </w:numPr>
      </w:pPr>
      <w:r>
        <w:t xml:space="preserve">the Supplier does not guarantee specific productivity improvements, cycle time reductions, or other quantitative outcomes, as results depend on the Client’s team, codebase, and adoption;</w:t>
      </w:r>
    </w:p>
    <w:p>
      <w:pPr>
        <w:numPr>
          <w:ilvl w:val="0"/>
          <w:numId w:val="1008"/>
        </w:numPr>
      </w:pPr>
      <w:r>
        <w:t xml:space="preserve">the Supplier is not responsible for procuring, maintaining, or supporting third-party licences or subscriptions required by the Client.</w:t>
      </w:r>
    </w:p>
    <w:p>
      <w:pPr>
        <w:pStyle w:val="FirstParagraph"/>
      </w:pPr>
      <w:r>
        <w:t xml:space="preserve">9.3 Except as expressly stated in this Agreement, all warranties, conditions, and other terms implied by statute or common law are, to the fullest extent permitted by law, excluded.</w:t>
      </w:r>
    </w:p>
    <w:p>
      <w:r>
        <w:pict>
          <v:rect style="width:0;height:1.5pt" o:hralign="center" o:hrstd="t" o:hr="t"/>
        </w:pict>
      </w:r>
    </w:p>
    <w:bookmarkEnd w:id="19"/>
    <w:bookmarkStart w:id="20" w:name="liability"/>
    <w:p>
      <w:pPr>
        <w:pStyle w:val="Heading2"/>
      </w:pPr>
      <w:r>
        <w:t xml:space="preserve">10. LIABILITY</w:t>
      </w:r>
    </w:p>
    <w:p>
      <w:pPr>
        <w:pStyle w:val="FirstParagraph"/>
      </w:pPr>
      <w:r>
        <w:t xml:space="preserve">10.1 Nothing in this Agreement shall exclude or limit either party’s liability for:</w:t>
      </w:r>
    </w:p>
    <w:p>
      <w:pPr>
        <w:numPr>
          <w:ilvl w:val="0"/>
          <w:numId w:val="1009"/>
        </w:numPr>
      </w:pPr>
      <w:r>
        <w:t xml:space="preserve">death or personal injury caused by its negligence;</w:t>
      </w:r>
    </w:p>
    <w:p>
      <w:pPr>
        <w:numPr>
          <w:ilvl w:val="0"/>
          <w:numId w:val="1009"/>
        </w:numPr>
      </w:pPr>
      <w:r>
        <w:t xml:space="preserve">fraud or fraudulent misrepresentation; or</w:t>
      </w:r>
    </w:p>
    <w:p>
      <w:pPr>
        <w:numPr>
          <w:ilvl w:val="0"/>
          <w:numId w:val="1009"/>
        </w:numPr>
      </w:pPr>
      <w:r>
        <w:t xml:space="preserve">any other liability that cannot be excluded or limited by applicable law.</w:t>
      </w:r>
    </w:p>
    <w:p>
      <w:pPr>
        <w:pStyle w:val="FirstParagraph"/>
      </w:pPr>
      <w:r>
        <w:t xml:space="preserve">10.2 Subject to clause 10.1, the Supplier’s total aggregate liability under or in connection with this Agreement, whether in contract, tort (including negligence), breach of statutory duty, or otherwise, shall not exceed the total fees paid or payable by the Client under this Agreement.</w:t>
      </w:r>
    </w:p>
    <w:p>
      <w:pPr>
        <w:pStyle w:val="BodyText"/>
      </w:pPr>
      <w:r>
        <w:t xml:space="preserve">10.3 Subject to clause 10.1, neither party shall be liable to the other for any indirect, consequential, or special loss or damage, including loss of profit, loss of revenue, loss of data, or loss of business opportunity, howsoever arising.</w:t>
      </w:r>
    </w:p>
    <w:p>
      <w:r>
        <w:pict>
          <v:rect style="width:0;height:1.5pt" o:hralign="center" o:hrstd="t" o:hr="t"/>
        </w:pict>
      </w:r>
    </w:p>
    <w:bookmarkEnd w:id="20"/>
    <w:bookmarkStart w:id="21" w:name="termination"/>
    <w:p>
      <w:pPr>
        <w:pStyle w:val="Heading2"/>
      </w:pPr>
      <w:r>
        <w:t xml:space="preserve">11. TERMINATION</w:t>
      </w:r>
    </w:p>
    <w:p>
      <w:pPr>
        <w:pStyle w:val="FirstParagraph"/>
      </w:pPr>
      <w:r>
        <w:t xml:space="preserve">11.1 Either party may terminate this Agreement by giving 5 Working Days’ written notice to the other party if the other party commits a material breach of this Agreement and (if such breach is remediable) fails to remedy the breach within 10 Working Days of receiving written notice requiring it to do so.</w:t>
      </w:r>
    </w:p>
    <w:p>
      <w:pPr>
        <w:pStyle w:val="BodyText"/>
      </w:pPr>
      <w:r>
        <w:t xml:space="preserve">11.2 Either party may terminate this Agreement immediately by written notice if the other party becomes insolvent, enters administration, or has a receiver appointed over its assets.</w:t>
      </w:r>
    </w:p>
    <w:p>
      <w:pPr>
        <w:pStyle w:val="BodyText"/>
      </w:pPr>
      <w:r>
        <w:t xml:space="preserve">11.3 The Client may terminate the Engagement for convenience by giving 5 Working Days’ written notice. In such case:</w:t>
      </w:r>
    </w:p>
    <w:p>
      <w:pPr>
        <w:numPr>
          <w:ilvl w:val="0"/>
          <w:numId w:val="1010"/>
        </w:numPr>
      </w:pPr>
      <w:r>
        <w:t xml:space="preserve">if termination occurs before Week 1 is complete, the Supplier shall retain the initial payment as compensation for work performed and opportunity cost;</w:t>
      </w:r>
    </w:p>
    <w:p>
      <w:pPr>
        <w:numPr>
          <w:ilvl w:val="0"/>
          <w:numId w:val="1010"/>
        </w:numPr>
      </w:pPr>
      <w:r>
        <w:t xml:space="preserve">if termination occurs during or after Week 2, all fees for the Standard engagement are due in full;</w:t>
      </w:r>
    </w:p>
    <w:p>
      <w:pPr>
        <w:numPr>
          <w:ilvl w:val="0"/>
          <w:numId w:val="1010"/>
        </w:numPr>
      </w:pPr>
      <w:r>
        <w:t xml:space="preserve">any Advisory period fees not yet invoiced shall not be payable.</w:t>
      </w:r>
    </w:p>
    <w:p>
      <w:pPr>
        <w:pStyle w:val="FirstParagraph"/>
      </w:pPr>
      <w:r>
        <w:t xml:space="preserve">11.4 On termination, the Supplier shall deliver to the Client all Deliverables completed or substantially completed up to the date of termination.</w:t>
      </w:r>
    </w:p>
    <w:p>
      <w:pPr>
        <w:pStyle w:val="BodyText"/>
      </w:pPr>
      <w:r>
        <w:t xml:space="preserve">11.5 Clauses 6, 7, 9, 10, and 13 shall survive termination of this Agreement.</w:t>
      </w:r>
    </w:p>
    <w:p>
      <w:r>
        <w:pict>
          <v:rect style="width:0;height:1.5pt" o:hralign="center" o:hrstd="t" o:hr="t"/>
        </w:pict>
      </w:r>
    </w:p>
    <w:bookmarkEnd w:id="21"/>
    <w:bookmarkStart w:id="22" w:name="force-majeure"/>
    <w:p>
      <w:pPr>
        <w:pStyle w:val="Heading2"/>
      </w:pPr>
      <w:r>
        <w:t xml:space="preserve">12. FORCE MAJEURE</w:t>
      </w:r>
    </w:p>
    <w:p>
      <w:pPr>
        <w:pStyle w:val="FirstParagraph"/>
      </w:pPr>
      <w:r>
        <w:t xml:space="preserve">12.1 Neither party shall be liable for any failure or delay in performing its obligations under this Agreement to the extent that such failure or delay results from circumstances beyond its reasonable control, including but not limited to acts of God, pandemic, fire, flood, government action, strikes, or failure of third-party services.</w:t>
      </w:r>
    </w:p>
    <w:p>
      <w:pPr>
        <w:pStyle w:val="BodyText"/>
      </w:pPr>
      <w:r>
        <w:t xml:space="preserve">12.2 The affected party shall notify the other party as soon as reasonably practicable and shall use reasonable endeavours to mitigate the effect of the force majeure event.</w:t>
      </w:r>
    </w:p>
    <w:p>
      <w:r>
        <w:pict>
          <v:rect style="width:0;height:1.5pt" o:hralign="center" o:hrstd="t" o:hr="t"/>
        </w:pict>
      </w:r>
    </w:p>
    <w:bookmarkEnd w:id="22"/>
    <w:bookmarkStart w:id="23" w:name="general"/>
    <w:p>
      <w:pPr>
        <w:pStyle w:val="Heading2"/>
      </w:pPr>
      <w:r>
        <w:t xml:space="preserve">13. GENERAL</w:t>
      </w:r>
    </w:p>
    <w:p>
      <w:pPr>
        <w:pStyle w:val="FirstParagraph"/>
      </w:pPr>
      <w:r>
        <w:t xml:space="preserve">13.1</w:t>
      </w:r>
      <w:r>
        <w:t xml:space="preserve"> </w:t>
      </w:r>
      <w:r>
        <w:rPr>
          <w:b/>
          <w:bCs/>
        </w:rPr>
        <w:t xml:space="preserve">Entire Agreement.</w:t>
      </w:r>
      <w:r>
        <w:t xml:space="preserve"> </w:t>
      </w:r>
      <w:r>
        <w:t xml:space="preserve">This Agreement (including its Schedules) constitutes the entire agreement between the parties and supersedes all prior negotiations, representations, and agreements relating to its subject matter.</w:t>
      </w:r>
    </w:p>
    <w:p>
      <w:pPr>
        <w:pStyle w:val="BodyText"/>
      </w:pPr>
      <w:r>
        <w:t xml:space="preserve">13.2</w:t>
      </w:r>
      <w:r>
        <w:t xml:space="preserve"> </w:t>
      </w:r>
      <w:r>
        <w:rPr>
          <w:b/>
          <w:bCs/>
        </w:rPr>
        <w:t xml:space="preserve">Variation.</w:t>
      </w:r>
      <w:r>
        <w:t xml:space="preserve"> </w:t>
      </w:r>
      <w:r>
        <w:t xml:space="preserve">No variation of this Agreement shall be effective unless it is in writing and signed by both parties.</w:t>
      </w:r>
    </w:p>
    <w:p>
      <w:pPr>
        <w:pStyle w:val="BodyText"/>
      </w:pPr>
      <w:r>
        <w:t xml:space="preserve">13.3</w:t>
      </w:r>
      <w:r>
        <w:t xml:space="preserve"> </w:t>
      </w:r>
      <w:r>
        <w:rPr>
          <w:b/>
          <w:bCs/>
        </w:rPr>
        <w:t xml:space="preserve">Assignment.</w:t>
      </w:r>
      <w:r>
        <w:t xml:space="preserve"> </w:t>
      </w:r>
      <w:r>
        <w:t xml:space="preserve">Neither party may assign, transfer, or subcontract its rights or obligations under this Agreement without the prior written consent of the other party.</w:t>
      </w:r>
    </w:p>
    <w:p>
      <w:pPr>
        <w:pStyle w:val="BodyText"/>
      </w:pPr>
      <w:r>
        <w:t xml:space="preserve">13.4</w:t>
      </w:r>
      <w:r>
        <w:t xml:space="preserve"> </w:t>
      </w:r>
      <w:r>
        <w:rPr>
          <w:b/>
          <w:bCs/>
        </w:rPr>
        <w:t xml:space="preserve">Notices.</w:t>
      </w:r>
      <w:r>
        <w:t xml:space="preserve"> </w:t>
      </w:r>
      <w:r>
        <w:t xml:space="preserve">Any notice under this Agreement shall be in writing and sent by email to the addresses set out below (or such other address as a party may notify to the other in writing):</w:t>
      </w:r>
    </w:p>
    <w:p>
      <w:pPr>
        <w:pStyle w:val="Compact"/>
        <w:numPr>
          <w:ilvl w:val="0"/>
          <w:numId w:val="1011"/>
        </w:numPr>
      </w:pPr>
      <w:r>
        <w:t xml:space="preserve">Supplier: omsingh.is@gmail.com</w:t>
      </w:r>
    </w:p>
    <w:p>
      <w:pPr>
        <w:pStyle w:val="Compact"/>
        <w:numPr>
          <w:ilvl w:val="0"/>
          <w:numId w:val="1011"/>
        </w:numPr>
      </w:pPr>
      <w:r>
        <w:t xml:space="preserve">Client: [CLIENT EMAIL]</w:t>
      </w:r>
    </w:p>
    <w:p>
      <w:pPr>
        <w:pStyle w:val="FirstParagraph"/>
      </w:pPr>
      <w:r>
        <w:t xml:space="preserve">13.5</w:t>
      </w:r>
      <w:r>
        <w:t xml:space="preserve"> </w:t>
      </w:r>
      <w:r>
        <w:rPr>
          <w:b/>
          <w:bCs/>
        </w:rPr>
        <w:t xml:space="preserve">Governing Law.</w:t>
      </w:r>
      <w:r>
        <w:t xml:space="preserve"> </w:t>
      </w:r>
      <w:r>
        <w:t xml:space="preserve">This Agreement shall be governed by and construed in accordance with the laws of England and Wales.</w:t>
      </w:r>
    </w:p>
    <w:p>
      <w:pPr>
        <w:pStyle w:val="BodyText"/>
      </w:pPr>
      <w:r>
        <w:t xml:space="preserve">13.6</w:t>
      </w:r>
      <w:r>
        <w:t xml:space="preserve"> </w:t>
      </w:r>
      <w:r>
        <w:rPr>
          <w:b/>
          <w:bCs/>
        </w:rPr>
        <w:t xml:space="preserve">Jurisdiction.</w:t>
      </w:r>
      <w:r>
        <w:t xml:space="preserve"> </w:t>
      </w:r>
      <w:r>
        <w:t xml:space="preserve">Each party irrevocably agrees that the courts of England and Wales shall have exclusive jurisdiction to settle any dispute arising out of or in connection with this Agreement.</w:t>
      </w:r>
    </w:p>
    <w:p>
      <w:pPr>
        <w:pStyle w:val="BodyText"/>
      </w:pPr>
      <w:r>
        <w:t xml:space="preserve">13.7</w:t>
      </w:r>
      <w:r>
        <w:t xml:space="preserve"> </w:t>
      </w:r>
      <w:r>
        <w:rPr>
          <w:b/>
          <w:bCs/>
        </w:rPr>
        <w:t xml:space="preserve">Third Party Rights.</w:t>
      </w:r>
      <w:r>
        <w:t xml:space="preserve"> </w:t>
      </w:r>
      <w:r>
        <w:t xml:space="preserve">No person other than a party to this Agreement shall have any rights under the Contracts (Rights of Third Parties) Act 1999 to enforce any term of this Agreement.</w:t>
      </w:r>
    </w:p>
    <w:p>
      <w:pPr>
        <w:pStyle w:val="BodyText"/>
      </w:pPr>
      <w:r>
        <w:t xml:space="preserve">13.8</w:t>
      </w:r>
      <w:r>
        <w:t xml:space="preserve"> </w:t>
      </w:r>
      <w:r>
        <w:rPr>
          <w:b/>
          <w:bCs/>
        </w:rPr>
        <w:t xml:space="preserve">Waiver.</w:t>
      </w:r>
      <w:r>
        <w:t xml:space="preserve"> </w:t>
      </w:r>
      <w:r>
        <w:t xml:space="preserve">No failure or delay by a party in exercising any right or remedy shall constitute a waiver of that right or remedy.</w:t>
      </w:r>
    </w:p>
    <w:p>
      <w:r>
        <w:pict>
          <v:rect style="width:0;height:1.5pt" o:hralign="center" o:hrstd="t" o:hr="t"/>
        </w:pict>
      </w:r>
    </w:p>
    <w:bookmarkEnd w:id="23"/>
    <w:bookmarkStart w:id="25" w:name="schedule-1-engagement-details"/>
    <w:p>
      <w:pPr>
        <w:pStyle w:val="Heading2"/>
      </w:pPr>
      <w:r>
        <w:t xml:space="preserve">SCHEDULE 1 — ENGAGEMENT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Engagement Option</w:t>
            </w:r>
          </w:p>
        </w:tc>
        <w:tc>
          <w:tcPr/>
          <w:p>
            <w:pPr>
              <w:pStyle w:val="Compact"/>
            </w:pPr>
            <w:r>
              <w:rPr>
                <w:b/>
                <w:bCs/>
              </w:rPr>
              <w:t xml:space="preserve">[Standard / Standard + Advisory]</w:t>
            </w:r>
          </w:p>
        </w:tc>
      </w:tr>
      <w:tr>
        <w:tc>
          <w:tcPr/>
          <w:p>
            <w:pPr>
              <w:pStyle w:val="Compact"/>
            </w:pPr>
            <w:r>
              <w:t xml:space="preserve">Start Date</w:t>
            </w:r>
          </w:p>
        </w:tc>
        <w:tc>
          <w:tcPr/>
          <w:p>
            <w:pPr>
              <w:pStyle w:val="Compact"/>
            </w:pPr>
            <w:r>
              <w:t xml:space="preserve">[DATE]</w:t>
            </w:r>
          </w:p>
        </w:tc>
      </w:tr>
      <w:tr>
        <w:tc>
          <w:tcPr/>
          <w:p>
            <w:pPr>
              <w:pStyle w:val="Compact"/>
            </w:pPr>
            <w:r>
              <w:t xml:space="preserve">Client Repository</w:t>
            </w:r>
          </w:p>
        </w:tc>
        <w:tc>
          <w:tcPr/>
          <w:p>
            <w:pPr>
              <w:pStyle w:val="Compact"/>
            </w:pPr>
            <w:r>
              <w:t xml:space="preserve">[REPO URL / DESCRIPTION]</w:t>
            </w:r>
          </w:p>
        </w:tc>
      </w:tr>
      <w:tr>
        <w:tc>
          <w:tcPr/>
          <w:p>
            <w:pPr>
              <w:pStyle w:val="Compact"/>
            </w:pPr>
            <w:r>
              <w:t xml:space="preserve">Primary Tech Stack</w:t>
            </w:r>
          </w:p>
        </w:tc>
        <w:tc>
          <w:tcPr/>
          <w:p>
            <w:pPr>
              <w:pStyle w:val="Compact"/>
            </w:pPr>
            <w:r>
              <w:t xml:space="preserve">[e.g. TypeScript, React, Node.js]</w:t>
            </w:r>
          </w:p>
        </w:tc>
      </w:tr>
      <w:tr>
        <w:tc>
          <w:tcPr/>
          <w:p>
            <w:pPr>
              <w:pStyle w:val="Compact"/>
            </w:pPr>
            <w:r>
              <w:t xml:space="preserve">Team Size</w:t>
            </w:r>
          </w:p>
        </w:tc>
        <w:tc>
          <w:tcPr/>
          <w:p>
            <w:pPr>
              <w:pStyle w:val="Compact"/>
            </w:pPr>
            <w:r>
              <w:t xml:space="preserve">[NUMBER] engineers</w:t>
            </w:r>
          </w:p>
        </w:tc>
      </w:tr>
      <w:tr>
        <w:tc>
          <w:tcPr/>
          <w:p>
            <w:pPr>
              <w:pStyle w:val="Compact"/>
            </w:pPr>
            <w:r>
              <w:t xml:space="preserve">Designated Champion(s)</w:t>
            </w:r>
          </w:p>
        </w:tc>
        <w:tc>
          <w:tcPr/>
          <w:p>
            <w:pPr>
              <w:pStyle w:val="Compact"/>
            </w:pPr>
            <w:r>
              <w:t xml:space="preserve">[NAME(S)]</w:t>
            </w:r>
          </w:p>
        </w:tc>
      </w:tr>
      <w:tr>
        <w:tc>
          <w:tcPr/>
          <w:p>
            <w:pPr>
              <w:pStyle w:val="Compact"/>
            </w:pPr>
            <w:r>
              <w:t xml:space="preserve">Pipelines in Scope</w:t>
            </w:r>
          </w:p>
        </w:tc>
        <w:tc>
          <w:tcPr/>
          <w:p>
            <w:pPr>
              <w:pStyle w:val="Compact"/>
            </w:pPr>
            <w:r>
              <w:t xml:space="preserve">Development, Story, QE</w:t>
            </w:r>
          </w:p>
        </w:tc>
      </w:tr>
      <w:tr>
        <w:tc>
          <w:tcPr/>
          <w:p>
            <w:pPr>
              <w:pStyle w:val="Compact"/>
            </w:pPr>
            <w:r>
              <w:t xml:space="preserve">Additional Repositories</w:t>
            </w:r>
          </w:p>
        </w:tc>
        <w:tc>
          <w:tcPr/>
          <w:p>
            <w:pPr>
              <w:pStyle w:val="Compact"/>
            </w:pPr>
            <w:r>
              <w:t xml:space="preserve">[None / List with pricing]</w:t>
            </w:r>
          </w:p>
        </w:tc>
      </w:tr>
    </w:tbl>
    <w:bookmarkStart w:id="24" w:name="deliverables"/>
    <w:p>
      <w:pPr>
        <w:pStyle w:val="Heading3"/>
      </w:pPr>
      <w:r>
        <w:t xml:space="preserve">Deliverables</w:t>
      </w:r>
    </w:p>
    <w:p>
      <w:pPr>
        <w:pStyle w:val="Compact"/>
        <w:numPr>
          <w:ilvl w:val="0"/>
          <w:numId w:val="1012"/>
        </w:numPr>
      </w:pPr>
      <w:r>
        <w:t xml:space="preserve">Agentic SDLC Framework installed and configured for the Client’s repository</w:t>
      </w:r>
    </w:p>
    <w:p>
      <w:pPr>
        <w:pStyle w:val="Compact"/>
        <w:numPr>
          <w:ilvl w:val="0"/>
          <w:numId w:val="1012"/>
        </w:numPr>
      </w:pPr>
      <w:r>
        <w:t xml:space="preserve">Generator runs completed for Development, Story, and QE pipelines</w:t>
      </w:r>
    </w:p>
    <w:p>
      <w:pPr>
        <w:pStyle w:val="Compact"/>
        <w:numPr>
          <w:ilvl w:val="0"/>
          <w:numId w:val="1012"/>
        </w:numPr>
      </w:pPr>
      <w:r>
        <w:t xml:space="preserve">5 training sessions delivered and recorded</w:t>
      </w:r>
    </w:p>
    <w:p>
      <w:pPr>
        <w:pStyle w:val="Compact"/>
        <w:numPr>
          <w:ilvl w:val="0"/>
          <w:numId w:val="1012"/>
        </w:numPr>
      </w:pPr>
      <w:r>
        <w:t xml:space="preserve">Champion playbook</w:t>
      </w:r>
    </w:p>
    <w:p>
      <w:pPr>
        <w:pStyle w:val="Compact"/>
        <w:numPr>
          <w:ilvl w:val="0"/>
          <w:numId w:val="1012"/>
        </w:numPr>
      </w:pPr>
      <w:r>
        <w:t xml:space="preserve">Documentation website source code</w:t>
      </w:r>
    </w:p>
    <w:p>
      <w:pPr>
        <w:pStyle w:val="Compact"/>
        <w:numPr>
          <w:ilvl w:val="0"/>
          <w:numId w:val="1012"/>
        </w:numPr>
      </w:pPr>
      <w:r>
        <w:t xml:space="preserve">Upgrade path documentation</w:t>
      </w:r>
    </w:p>
    <w:p>
      <w:pPr>
        <w:pStyle w:val="Compact"/>
        <w:numPr>
          <w:ilvl w:val="0"/>
          <w:numId w:val="1012"/>
        </w:numPr>
      </w:pPr>
      <w:r>
        <w:t xml:space="preserve">Engagement retrospective and sign-off document</w:t>
      </w:r>
    </w:p>
    <w:p>
      <w:r>
        <w:pict>
          <v:rect style="width:0;height:1.5pt" o:hralign="center" o:hrstd="t" o:hr="t"/>
        </w:pict>
      </w:r>
    </w:p>
    <w:bookmarkEnd w:id="24"/>
    <w:bookmarkEnd w:id="25"/>
    <w:bookmarkStart w:id="29" w:name="schedule-2-fees-and-payment"/>
    <w:p>
      <w:pPr>
        <w:pStyle w:val="Heading2"/>
      </w:pPr>
      <w:r>
        <w:t xml:space="preserve">SCHEDULE 2 — FEES AND PAYMENT</w:t>
      </w:r>
    </w:p>
    <w:bookmarkStart w:id="26" w:name="option-a-standard-8000-vat"/>
    <w:p>
      <w:pPr>
        <w:pStyle w:val="Heading3"/>
      </w:pPr>
      <w:r>
        <w:t xml:space="preserve">Option A: Standard (£8,000 + VAT)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Amount (ex-VAT)</w:t>
            </w:r>
          </w:p>
        </w:tc>
        <w:tc>
          <w:tcPr/>
          <w:p>
            <w:pPr>
              <w:pStyle w:val="Compact"/>
            </w:pPr>
            <w:r>
              <w:t xml:space="preserve">Due</w:t>
            </w:r>
          </w:p>
        </w:tc>
      </w:tr>
      <w:tr>
        <w:tc>
          <w:tcPr/>
          <w:p>
            <w:pPr>
              <w:pStyle w:val="Compact"/>
            </w:pPr>
            <w:r>
              <w:t xml:space="preserve">Engagement start</w:t>
            </w:r>
          </w:p>
        </w:tc>
        <w:tc>
          <w:tcPr/>
          <w:p>
            <w:pPr>
              <w:pStyle w:val="Compact"/>
            </w:pPr>
            <w:r>
              <w:t xml:space="preserve">£4,000</w:t>
            </w:r>
          </w:p>
        </w:tc>
        <w:tc>
          <w:tcPr/>
          <w:p>
            <w:pPr>
              <w:pStyle w:val="Compact"/>
            </w:pPr>
            <w:r>
              <w:t xml:space="preserve">On signature, before Day 1</w:t>
            </w:r>
          </w:p>
        </w:tc>
      </w:tr>
      <w:tr>
        <w:tc>
          <w:tcPr/>
          <w:p>
            <w:pPr>
              <w:pStyle w:val="Compact"/>
            </w:pPr>
            <w:r>
              <w:t xml:space="preserve">Engagement completion (Day 10 sign-off)</w:t>
            </w:r>
          </w:p>
        </w:tc>
        <w:tc>
          <w:tcPr/>
          <w:p>
            <w:pPr>
              <w:pStyle w:val="Compact"/>
            </w:pPr>
            <w:r>
              <w:t xml:space="preserve">£4,000</w:t>
            </w:r>
          </w:p>
        </w:tc>
        <w:tc>
          <w:tcPr/>
          <w:p>
            <w:pPr>
              <w:pStyle w:val="Compact"/>
            </w:pPr>
            <w:r>
              <w:t xml:space="preserve">On sign-off</w:t>
            </w:r>
          </w:p>
        </w:tc>
      </w:tr>
    </w:tbl>
    <w:bookmarkEnd w:id="26"/>
    <w:bookmarkStart w:id="27" w:name="option-b-standard-advisory-10000-vat"/>
    <w:p>
      <w:pPr>
        <w:pStyle w:val="Heading3"/>
      </w:pPr>
      <w:r>
        <w:t xml:space="preserve">Option B: Standard + Advisory (£10,000 + VAT)</w:t>
      </w:r>
    </w:p>
    <w:tbl>
      <w:tblPr>
        <w:tblStyle w:val="Table"/>
        <w:tblW w:type="pct" w:w="5000"/>
        <w:tblLayout w:type="fixed"/>
        <w:tblLook w:firstRow="1" w:lastRow="0" w:firstColumn="0" w:lastColumn="0" w:noHBand="0" w:noVBand="0" w:val="0020"/>
      </w:tblPr>
      <w:tblGrid>
        <w:gridCol w:w="2640"/>
        <w:gridCol w:w="4080"/>
        <w:gridCol w:w="1200"/>
      </w:tblGrid>
      <w:tr>
        <w:trPr>
          <w:tblHeader w:val="on"/>
        </w:trPr>
        <w:tc>
          <w:tcPr/>
          <w:p>
            <w:pPr>
              <w:pStyle w:val="Compact"/>
            </w:pPr>
            <w:r>
              <w:t xml:space="preserve">Milestone</w:t>
            </w:r>
          </w:p>
        </w:tc>
        <w:tc>
          <w:tcPr/>
          <w:p>
            <w:pPr>
              <w:pStyle w:val="Compact"/>
            </w:pPr>
            <w:r>
              <w:t xml:space="preserve">Amount (ex-VAT)</w:t>
            </w:r>
          </w:p>
        </w:tc>
        <w:tc>
          <w:tcPr/>
          <w:p>
            <w:pPr>
              <w:pStyle w:val="Compact"/>
            </w:pPr>
            <w:r>
              <w:t xml:space="preserve">Due</w:t>
            </w:r>
          </w:p>
        </w:tc>
      </w:tr>
      <w:tr>
        <w:tc>
          <w:tcPr/>
          <w:p>
            <w:pPr>
              <w:pStyle w:val="Compact"/>
            </w:pPr>
            <w:r>
              <w:t xml:space="preserve">Engagement start</w:t>
            </w:r>
          </w:p>
        </w:tc>
        <w:tc>
          <w:tcPr/>
          <w:p>
            <w:pPr>
              <w:pStyle w:val="Compact"/>
            </w:pPr>
            <w:r>
              <w:t xml:space="preserve">£5,000</w:t>
            </w:r>
          </w:p>
        </w:tc>
        <w:tc>
          <w:tcPr/>
          <w:p>
            <w:pPr>
              <w:pStyle w:val="Compact"/>
            </w:pPr>
            <w:r>
              <w:t xml:space="preserve">On signature, before Day 1</w:t>
            </w:r>
          </w:p>
        </w:tc>
      </w:tr>
      <w:tr>
        <w:tc>
          <w:tcPr/>
          <w:p>
            <w:pPr>
              <w:pStyle w:val="Compact"/>
            </w:pPr>
            <w:r>
              <w:t xml:space="preserve">Engagement completion (Day 10 sign-off)</w:t>
            </w:r>
          </w:p>
        </w:tc>
        <w:tc>
          <w:tcPr/>
          <w:p>
            <w:pPr>
              <w:pStyle w:val="Compact"/>
            </w:pPr>
            <w:r>
              <w:t xml:space="preserve">£3,500</w:t>
            </w:r>
          </w:p>
        </w:tc>
        <w:tc>
          <w:tcPr/>
          <w:p>
            <w:pPr>
              <w:pStyle w:val="Compact"/>
            </w:pPr>
            <w:r>
              <w:t xml:space="preserve">On sign-off</w:t>
            </w:r>
          </w:p>
        </w:tc>
      </w:tr>
      <w:tr>
        <w:tc>
          <w:tcPr/>
          <w:p>
            <w:pPr>
              <w:pStyle w:val="Compact"/>
            </w:pPr>
            <w:r>
              <w:t xml:space="preserve">Advisory period completion</w:t>
            </w:r>
          </w:p>
        </w:tc>
        <w:tc>
          <w:tcPr/>
          <w:p>
            <w:pPr>
              <w:pStyle w:val="Compact"/>
            </w:pPr>
            <w:r>
              <w:t xml:space="preserve">£1,500</w:t>
            </w:r>
          </w:p>
        </w:tc>
        <w:tc>
          <w:tcPr/>
          <w:p>
            <w:pPr>
              <w:pStyle w:val="Compact"/>
            </w:pPr>
            <w:r>
              <w:t xml:space="preserve">At end of 4-week advisory period</w:t>
            </w:r>
          </w:p>
        </w:tc>
      </w:tr>
    </w:tbl>
    <w:bookmarkEnd w:id="27"/>
    <w:bookmarkStart w:id="28" w:name="additional-repositories-if-applicable"/>
    <w:p>
      <w:pPr>
        <w:pStyle w:val="Heading3"/>
      </w:pPr>
      <w:r>
        <w:t xml:space="preserve">Additional Repositories (if applicable)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Complexity</w:t>
            </w:r>
          </w:p>
        </w:tc>
        <w:tc>
          <w:tcPr/>
          <w:p>
            <w:pPr>
              <w:pStyle w:val="Compact"/>
            </w:pPr>
            <w:r>
              <w:t xml:space="preserve">Fee (ex-VAT)</w:t>
            </w:r>
          </w:p>
        </w:tc>
      </w:tr>
      <w:tr>
        <w:tc>
          <w:tcPr/>
          <w:p>
            <w:pPr>
              <w:pStyle w:val="Compact"/>
            </w:pPr>
            <w:r>
              <w:t xml:space="preserve">[REPO NAME]</w:t>
            </w:r>
          </w:p>
        </w:tc>
        <w:tc>
          <w:tcPr/>
          <w:p>
            <w:pPr>
              <w:pStyle w:val="Compact"/>
            </w:pPr>
            <w:r>
              <w:t xml:space="preserve">[Standard / Complex]</w:t>
            </w:r>
          </w:p>
        </w:tc>
        <w:tc>
          <w:tcPr/>
          <w:p>
            <w:pPr>
              <w:pStyle w:val="Compact"/>
            </w:pPr>
            <w:r>
              <w:t xml:space="preserve">£[1,500-2,500]</w:t>
            </w:r>
          </w:p>
        </w:tc>
      </w:tr>
    </w:tbl>
    <w:p>
      <w:r>
        <w:pict>
          <v:rect style="width:0;height:1.5pt" o:hralign="center" o:hrstd="t" o:hr="t"/>
        </w:pict>
      </w:r>
    </w:p>
    <w:bookmarkEnd w:id="28"/>
    <w:bookmarkEnd w:id="29"/>
    <w:bookmarkStart w:id="30" w:name="schedule-3-exclusions"/>
    <w:p>
      <w:pPr>
        <w:pStyle w:val="Heading2"/>
      </w:pPr>
      <w:r>
        <w:t xml:space="preserve">SCHEDULE 3 — EXCLUSIONS</w:t>
      </w:r>
    </w:p>
    <w:p>
      <w:pPr>
        <w:pStyle w:val="FirstParagraph"/>
      </w:pPr>
      <w:r>
        <w:t xml:space="preserve">The following are expressly excluded from the Engagement and are the Client’s responsibility:</w:t>
      </w:r>
    </w:p>
    <w:p>
      <w:pPr>
        <w:pStyle w:val="Compact"/>
        <w:numPr>
          <w:ilvl w:val="0"/>
          <w:numId w:val="1013"/>
        </w:numPr>
      </w:pPr>
      <w:r>
        <w:t xml:space="preserve">Claude Pro/Team licence costs (purchased directly from Anthropic)</w:t>
      </w:r>
    </w:p>
    <w:p>
      <w:pPr>
        <w:pStyle w:val="Compact"/>
        <w:numPr>
          <w:ilvl w:val="0"/>
          <w:numId w:val="1013"/>
        </w:numPr>
      </w:pPr>
      <w:r>
        <w:t xml:space="preserve">Jira/Atlassian subscription or configuration beyond MCP setup</w:t>
      </w:r>
    </w:p>
    <w:p>
      <w:pPr>
        <w:pStyle w:val="Compact"/>
        <w:numPr>
          <w:ilvl w:val="0"/>
          <w:numId w:val="1013"/>
        </w:numPr>
      </w:pPr>
      <w:r>
        <w:t xml:space="preserve">Custom workflow development beyond the 3 standard pipelines (Development, Story, QE)</w:t>
      </w:r>
    </w:p>
    <w:p>
      <w:pPr>
        <w:pStyle w:val="Compact"/>
        <w:numPr>
          <w:ilvl w:val="0"/>
          <w:numId w:val="1013"/>
        </w:numPr>
      </w:pPr>
      <w:r>
        <w:t xml:space="preserve">Ongoing maintenance of the documentation website post-handoff</w:t>
      </w:r>
    </w:p>
    <w:p>
      <w:pPr>
        <w:pStyle w:val="Compact"/>
        <w:numPr>
          <w:ilvl w:val="0"/>
          <w:numId w:val="1013"/>
        </w:numPr>
      </w:pPr>
      <w:r>
        <w:t xml:space="preserve">CI/CD pipeline integration</w:t>
      </w:r>
    </w:p>
    <w:p>
      <w:pPr>
        <w:pStyle w:val="FirstParagraph"/>
      </w:pPr>
      <w:r>
        <w:t xml:space="preserve">Any of the above may be scoped as a separate follow-on engagement by mutual agreement.</w:t>
      </w:r>
    </w:p>
    <w:p>
      <w:r>
        <w:pict>
          <v:rect style="width:0;height:1.5pt" o:hralign="center" o:hrstd="t" o:hr="t"/>
        </w:pict>
      </w:r>
    </w:p>
    <w:bookmarkEnd w:id="30"/>
    <w:bookmarkStart w:id="31" w:name="signatures"/>
    <w:p>
      <w:pPr>
        <w:pStyle w:val="Heading2"/>
      </w:pPr>
      <w:r>
        <w:t xml:space="preserve">SIGNATURES</w:t>
      </w:r>
    </w:p>
    <w:p>
      <w:pPr>
        <w:pStyle w:val="FirstParagraph"/>
      </w:pPr>
      <w:r>
        <w:rPr>
          <w:b/>
          <w:bCs/>
        </w:rPr>
        <w:t xml:space="preserve">For and on behalf of Techshila Ltd:</w:t>
      </w:r>
    </w:p>
    <w:p>
      <w:pPr>
        <w:pStyle w:val="BodyText"/>
      </w:pPr>
      <w:r>
        <w:t xml:space="preserve">Name: ___________________________</w:t>
      </w:r>
    </w:p>
    <w:p>
      <w:pPr>
        <w:pStyle w:val="BodyText"/>
      </w:pPr>
      <w:r>
        <w:t xml:space="preserve">Title: ___________________________</w:t>
      </w:r>
    </w:p>
    <w:p>
      <w:pPr>
        <w:pStyle w:val="BodyText"/>
      </w:pPr>
      <w:r>
        <w:t xml:space="preserve">Signature: ___________________________</w:t>
      </w:r>
    </w:p>
    <w:p>
      <w:pPr>
        <w:pStyle w:val="BodyText"/>
      </w:pPr>
      <w:r>
        <w:t xml:space="preserve">Date: ___________________________</w:t>
      </w:r>
    </w:p>
    <w:p>
      <w:pPr>
        <w:pStyle w:val="BodyText"/>
      </w:pPr>
      <w:r>
        <w:t xml:space="preserve"> </w:t>
      </w:r>
    </w:p>
    <w:p>
      <w:pPr>
        <w:pStyle w:val="BodyText"/>
      </w:pPr>
      <w:r>
        <w:rPr>
          <w:b/>
          <w:bCs/>
        </w:rPr>
        <w:t xml:space="preserve">For and on behalf of [CLIENT COMPANY NAME]:</w:t>
      </w:r>
    </w:p>
    <w:p>
      <w:pPr>
        <w:pStyle w:val="BodyText"/>
      </w:pPr>
      <w:r>
        <w:t xml:space="preserve">Name: ___________________________</w:t>
      </w:r>
    </w:p>
    <w:p>
      <w:pPr>
        <w:pStyle w:val="BodyText"/>
      </w:pPr>
      <w:r>
        <w:t xml:space="preserve">Title: ___________________________</w:t>
      </w:r>
    </w:p>
    <w:p>
      <w:pPr>
        <w:pStyle w:val="BodyText"/>
      </w:pPr>
      <w:r>
        <w:t xml:space="preserve">Signature: ___________________________</w:t>
      </w:r>
    </w:p>
    <w:p>
      <w:pPr>
        <w:pStyle w:val="BodyText"/>
      </w:pPr>
      <w:r>
        <w:t xml:space="preserve">Date: ___________________________</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2026-03-25T15:26:13Z</dcterms:created>
  <dcterms:modified xsi:type="dcterms:W3CDTF">2026-03-25T15:26:13Z</dcterms:modified>
</cp:coreProperties>
</file>

<file path=docProps/custom.xml><?xml version="1.0" encoding="utf-8"?>
<Properties xmlns="http://schemas.openxmlformats.org/officeDocument/2006/custom-properties" xmlns:vt="http://schemas.openxmlformats.org/officeDocument/2006/docPropsVTypes"/>
</file>