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echshila-agentic-sdlc"/>
    <w:p>
      <w:pPr>
        <w:pStyle w:val="Heading1"/>
      </w:pPr>
      <w:r>
        <w:t xml:space="preserve">Techshila — Agentic SDLC</w:t>
      </w:r>
    </w:p>
    <w:bookmarkStart w:id="9" w:name="pricing-schedule"/>
    <w:p>
      <w:pPr>
        <w:pStyle w:val="Heading2"/>
      </w:pPr>
      <w:r>
        <w:t xml:space="preserve">Pricing Schedule</w:t>
      </w:r>
    </w:p>
    <w:bookmarkEnd w:id="9"/>
    <w:bookmarkStart w:id="10" w:name="engagement-options"/>
    <w:p>
      <w:pPr>
        <w:pStyle w:val="Heading2"/>
      </w:pPr>
      <w:r>
        <w:t xml:space="preserve">Engagement Options</w:t>
      </w:r>
    </w:p>
    <w:tbl>
      <w:tblPr>
        <w:tblStyle w:val="Table"/>
        <w:tblW w:type="pct" w:w="5000"/>
        <w:tblLayout w:type="fixed"/>
        <w:tblLook w:firstRow="1" w:lastRow="0" w:firstColumn="0" w:lastColumn="0" w:noHBand="0" w:noVBand="0" w:val="0020"/>
      </w:tblPr>
      <w:tblGrid>
        <w:gridCol w:w="1267"/>
        <w:gridCol w:w="1584"/>
        <w:gridCol w:w="2534"/>
        <w:gridCol w:w="2534"/>
      </w:tblGrid>
      <w:tr>
        <w:trPr>
          <w:tblHeader w:val="on"/>
        </w:trPr>
        <w:tc>
          <w:tcPr/>
          <w:p>
            <w:pPr>
              <w:pStyle w:val="Compact"/>
            </w:pPr>
            <w:r>
              <w:t xml:space="preserve">Option</w:t>
            </w:r>
          </w:p>
        </w:tc>
        <w:tc>
          <w:tcPr/>
          <w:p>
            <w:pPr>
              <w:pStyle w:val="Compact"/>
            </w:pPr>
            <w:r>
              <w:t xml:space="preserve">Duration</w:t>
            </w:r>
          </w:p>
        </w:tc>
        <w:tc>
          <w:tcPr/>
          <w:p>
            <w:pPr>
              <w:pStyle w:val="Compact"/>
            </w:pPr>
            <w:r>
              <w:t xml:space="preserve">What’s Included</w:t>
            </w:r>
          </w:p>
        </w:tc>
        <w:tc>
          <w:tcPr/>
          <w:p>
            <w:pPr>
              <w:pStyle w:val="Compact"/>
            </w:pPr>
            <w:r>
              <w:t xml:space="preserve">Price (ex-VAT)</w:t>
            </w:r>
          </w:p>
        </w:tc>
      </w:tr>
      <w:tr>
        <w:tc>
          <w:tcPr/>
          <w:p>
            <w:pPr>
              <w:pStyle w:val="Compact"/>
            </w:pPr>
            <w:r>
              <w:rPr>
                <w:b/>
                <w:bCs/>
              </w:rPr>
              <w:t xml:space="preserve">Standard</w:t>
            </w:r>
          </w:p>
        </w:tc>
        <w:tc>
          <w:tcPr/>
          <w:p>
            <w:pPr>
              <w:pStyle w:val="Compact"/>
            </w:pPr>
            <w:r>
              <w:t xml:space="preserve">2 weeks</w:t>
            </w:r>
          </w:p>
        </w:tc>
        <w:tc>
          <w:tcPr/>
          <w:p>
            <w:pPr>
              <w:pStyle w:val="Compact"/>
            </w:pPr>
            <w:r>
              <w:t xml:space="preserve">Full engagement — setup, mindset &amp; training (5 sessions), guided execution, framework + website handoff, champion playbook</w:t>
            </w:r>
          </w:p>
        </w:tc>
        <w:tc>
          <w:tcPr/>
          <w:p>
            <w:pPr>
              <w:pStyle w:val="Compact"/>
            </w:pPr>
            <w:r>
              <w:rPr>
                <w:b/>
                <w:bCs/>
              </w:rPr>
              <w:t xml:space="preserve">£8,000</w:t>
            </w:r>
          </w:p>
        </w:tc>
      </w:tr>
      <w:tr>
        <w:tc>
          <w:tcPr/>
          <w:p>
            <w:pPr>
              <w:pStyle w:val="Compact"/>
            </w:pPr>
            <w:r>
              <w:rPr>
                <w:b/>
                <w:bCs/>
              </w:rPr>
              <w:t xml:space="preserve">Standard + Advisory</w:t>
            </w:r>
          </w:p>
        </w:tc>
        <w:tc>
          <w:tcPr/>
          <w:p>
            <w:pPr>
              <w:pStyle w:val="Compact"/>
            </w:pPr>
            <w:r>
              <w:t xml:space="preserve">2 weeks + 4 weeks</w:t>
            </w:r>
          </w:p>
        </w:tc>
        <w:tc>
          <w:tcPr/>
          <w:p>
            <w:pPr>
              <w:pStyle w:val="Compact"/>
            </w:pPr>
            <w:r>
              <w:t xml:space="preserve">Everything in Standard, plus 4 weeks of post-handoff advisory support (2 hrs/week — async via Slack/email)</w:t>
            </w:r>
          </w:p>
        </w:tc>
        <w:tc>
          <w:tcPr/>
          <w:p>
            <w:pPr>
              <w:pStyle w:val="Compact"/>
            </w:pPr>
            <w:r>
              <w:rPr>
                <w:b/>
                <w:bCs/>
              </w:rPr>
              <w:t xml:space="preserve">£10,000</w:t>
            </w:r>
          </w:p>
        </w:tc>
      </w:tr>
    </w:tbl>
    <w:bookmarkEnd w:id="10"/>
    <w:bookmarkStart w:id="13" w:name="whats-covered-in-each-option"/>
    <w:p>
      <w:pPr>
        <w:pStyle w:val="Heading2"/>
      </w:pPr>
      <w:r>
        <w:t xml:space="preserve">What’s Covered in Each Option</w:t>
      </w:r>
    </w:p>
    <w:bookmarkStart w:id="11" w:name="standard-8000"/>
    <w:p>
      <w:pPr>
        <w:pStyle w:val="Heading3"/>
      </w:pPr>
      <w:r>
        <w:t xml:space="preserve">Standard (£8,000)</w:t>
      </w:r>
    </w:p>
    <w:p>
      <w:pPr>
        <w:pStyle w:val="FirstParagraph"/>
      </w:pPr>
      <w:r>
        <w:rPr>
          <w:b/>
          <w:bCs/>
        </w:rPr>
        <w:t xml:space="preserve">Week 1 — Setup &amp; Training</w:t>
      </w:r>
      <w:r>
        <w:t xml:space="preserve"> </w:t>
      </w:r>
      <w:r>
        <w:t xml:space="preserve">- Repository assessment and framework installation</w:t>
      </w:r>
      <w:r>
        <w:t xml:space="preserve"> </w:t>
      </w:r>
      <w:r>
        <w:t xml:space="preserve">- Generator runs tailored to your codebase (Dev, Story, QE pipelines)</w:t>
      </w:r>
      <w:r>
        <w:t xml:space="preserve"> </w:t>
      </w:r>
      <w:r>
        <w:t xml:space="preserve">- Validation and first end-to-end workflow execution</w:t>
      </w:r>
      <w:r>
        <w:t xml:space="preserve"> </w:t>
      </w:r>
      <w:r>
        <w:t xml:space="preserve">- 5 training &amp; mindset sessions (6 hours total, recorded):</w:t>
      </w:r>
      <w:r>
        <w:t xml:space="preserve"> </w:t>
      </w:r>
      <w:r>
        <w:t xml:space="preserve">- Vibe Coding → Agentic Delivery (1.5 hrs)</w:t>
      </w:r>
      <w:r>
        <w:t xml:space="preserve"> </w:t>
      </w:r>
      <w:r>
        <w:t xml:space="preserve">- The Trust Model (1 hr)</w:t>
      </w:r>
      <w:r>
        <w:t xml:space="preserve"> </w:t>
      </w:r>
      <w:r>
        <w:t xml:space="preserve">- Development Pipeline Deep-Dive (1 hr)</w:t>
      </w:r>
      <w:r>
        <w:t xml:space="preserve"> </w:t>
      </w:r>
      <w:r>
        <w:t xml:space="preserve">- QE &amp; Story Pipeline Deep-Dive (1.5 hrs)</w:t>
      </w:r>
      <w:r>
        <w:t xml:space="preserve"> </w:t>
      </w:r>
      <w:r>
        <w:t xml:space="preserve">- Prompt Engineering for Delivery (1 hr)</w:t>
      </w:r>
    </w:p>
    <w:p>
      <w:pPr>
        <w:pStyle w:val="BodyText"/>
      </w:pPr>
      <w:r>
        <w:rPr>
          <w:b/>
          <w:bCs/>
        </w:rPr>
        <w:t xml:space="preserve">Week 2 — Execution &amp; Handoff</w:t>
      </w:r>
      <w:r>
        <w:t xml:space="preserve"> </w:t>
      </w:r>
      <w:r>
        <w:t xml:space="preserve">- Paired workflow execution on real sprint tickets</w:t>
      </w:r>
      <w:r>
        <w:t xml:space="preserve"> </w:t>
      </w:r>
      <w:r>
        <w:t xml:space="preserve">- Configuration tuning based on team feedback</w:t>
      </w:r>
      <w:r>
        <w:t xml:space="preserve"> </w:t>
      </w:r>
      <w:r>
        <w:t xml:space="preserve">- Champion coaching and peer session</w:t>
      </w:r>
      <w:r>
        <w:t xml:space="preserve"> </w:t>
      </w:r>
      <w:r>
        <w:t xml:space="preserve">- Documentation website source code handoff + update walkthrough</w:t>
      </w:r>
      <w:r>
        <w:t xml:space="preserve"> </w:t>
      </w:r>
      <w:r>
        <w:t xml:space="preserve">- Champion playbook delivery</w:t>
      </w:r>
      <w:r>
        <w:t xml:space="preserve"> </w:t>
      </w:r>
      <w:r>
        <w:t xml:space="preserve">- Upgrade path documentation</w:t>
      </w:r>
      <w:r>
        <w:t xml:space="preserve"> </w:t>
      </w:r>
      <w:r>
        <w:t xml:space="preserve">- Engagement retrospective and sign-off</w:t>
      </w:r>
    </w:p>
    <w:bookmarkEnd w:id="11"/>
    <w:bookmarkStart w:id="12" w:name="advisory-add-on-2000"/>
    <w:p>
      <w:pPr>
        <w:pStyle w:val="Heading3"/>
      </w:pPr>
      <w:r>
        <w:t xml:space="preserve">Advisory Add-On (+£2,000)</w:t>
      </w:r>
    </w:p>
    <w:p>
      <w:pPr>
        <w:pStyle w:val="FirstParagraph"/>
      </w:pPr>
      <w:r>
        <w:t xml:space="preserve">4 weeks of lightweight support after the engagement ends:</w:t>
      </w:r>
      <w:r>
        <w:t xml:space="preserve"> </w:t>
      </w:r>
      <w:r>
        <w:t xml:space="preserve">- 2 hours per week via async channels (Slack, email, or Teams)</w:t>
      </w:r>
      <w:r>
        <w:t xml:space="preserve"> </w:t>
      </w:r>
      <w:r>
        <w:t xml:space="preserve">- Workflow configuration questions</w:t>
      </w:r>
      <w:r>
        <w:t xml:space="preserve"> </w:t>
      </w:r>
      <w:r>
        <w:t xml:space="preserve">- Champion coaching as they onboard new team members</w:t>
      </w:r>
      <w:r>
        <w:t xml:space="preserve"> </w:t>
      </w:r>
      <w:r>
        <w:t xml:space="preserve">- Edge case troubleshooting</w:t>
      </w:r>
      <w:r>
        <w:t xml:space="preserve"> </w:t>
      </w:r>
      <w:r>
        <w:t xml:space="preserve">- Guidance on extending or customising workflows</w:t>
      </w:r>
    </w:p>
    <w:p>
      <w:pPr>
        <w:pStyle w:val="BodyText"/>
      </w:pPr>
      <w:r>
        <w:rPr>
          <w:i/>
          <w:iCs/>
        </w:rPr>
        <w:t xml:space="preserve">Advisory is high-value during the first month as the team builds confidence operating independently. Most issues surface in weeks 3-4 after the initial excitement settles into daily use.</w:t>
      </w:r>
    </w:p>
    <w:bookmarkEnd w:id="12"/>
    <w:bookmarkEnd w:id="13"/>
    <w:bookmarkStart w:id="14" w:name="payment-terms"/>
    <w:p>
      <w:pPr>
        <w:pStyle w:val="Heading2"/>
      </w:pPr>
      <w:r>
        <w:t xml:space="preserve">Payment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When</w:t>
            </w:r>
          </w:p>
        </w:tc>
      </w:tr>
      <w:tr>
        <w:tc>
          <w:tcPr/>
          <w:p>
            <w:pPr>
              <w:pStyle w:val="Compact"/>
            </w:pPr>
            <w:r>
              <w:t xml:space="preserve">Engagement start</w:t>
            </w:r>
          </w:p>
        </w:tc>
        <w:tc>
          <w:tcPr/>
          <w:p>
            <w:pPr>
              <w:pStyle w:val="Compact"/>
            </w:pPr>
            <w:r>
              <w:t xml:space="preserve">50%</w:t>
            </w:r>
          </w:p>
        </w:tc>
        <w:tc>
          <w:tcPr/>
          <w:p>
            <w:pPr>
              <w:pStyle w:val="Compact"/>
            </w:pPr>
            <w:r>
              <w:t xml:space="preserve">On contract signature, before Day 1</w:t>
            </w:r>
          </w:p>
        </w:tc>
      </w:tr>
      <w:tr>
        <w:tc>
          <w:tcPr/>
          <w:p>
            <w:pPr>
              <w:pStyle w:val="Compact"/>
            </w:pPr>
            <w:r>
              <w:t xml:space="preserve">Engagement completion</w:t>
            </w:r>
          </w:p>
        </w:tc>
        <w:tc>
          <w:tcPr/>
          <w:p>
            <w:pPr>
              <w:pStyle w:val="Compact"/>
            </w:pPr>
            <w:r>
              <w:t xml:space="preserve">50%</w:t>
            </w:r>
          </w:p>
        </w:tc>
        <w:tc>
          <w:tcPr/>
          <w:p>
            <w:pPr>
              <w:pStyle w:val="Compact"/>
            </w:pPr>
            <w:r>
              <w:t xml:space="preserve">On sign-off (Day 10)</w:t>
            </w:r>
          </w:p>
        </w:tc>
      </w:tr>
    </w:tbl>
    <w:p>
      <w:pPr>
        <w:pStyle w:val="BodyText"/>
      </w:pPr>
      <w:r>
        <w:t xml:space="preserve">For the Standard + Advisory option:</w:t>
      </w:r>
    </w:p>
    <w:tbl>
      <w:tblPr>
        <w:tblStyle w:val="Table"/>
        <w:tblW w:type="pct" w:w="5000"/>
        <w:tblLayout w:type="fixed"/>
        <w:tblLook w:firstRow="1" w:lastRow="0" w:firstColumn="0" w:lastColumn="0" w:noHBand="0" w:noVBand="0" w:val="0020"/>
      </w:tblPr>
      <w:tblGrid>
        <w:gridCol w:w="3484"/>
        <w:gridCol w:w="2534"/>
        <w:gridCol w:w="1900"/>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When</w:t>
            </w:r>
          </w:p>
        </w:tc>
      </w:tr>
      <w:tr>
        <w:tc>
          <w:tcPr/>
          <w:p>
            <w:pPr>
              <w:pStyle w:val="Compact"/>
            </w:pPr>
            <w:r>
              <w:t xml:space="preserve">Engagement start</w:t>
            </w:r>
          </w:p>
        </w:tc>
        <w:tc>
          <w:tcPr/>
          <w:p>
            <w:pPr>
              <w:pStyle w:val="Compact"/>
            </w:pPr>
            <w:r>
              <w:t xml:space="preserve">50% (£5,000)</w:t>
            </w:r>
          </w:p>
        </w:tc>
        <w:tc>
          <w:tcPr/>
          <w:p>
            <w:pPr>
              <w:pStyle w:val="Compact"/>
            </w:pPr>
            <w:r>
              <w:t xml:space="preserve">On contract signature, before Day 1</w:t>
            </w:r>
          </w:p>
        </w:tc>
      </w:tr>
      <w:tr>
        <w:tc>
          <w:tcPr/>
          <w:p>
            <w:pPr>
              <w:pStyle w:val="Compact"/>
            </w:pPr>
            <w:r>
              <w:t xml:space="preserve">Engagement completion</w:t>
            </w:r>
          </w:p>
        </w:tc>
        <w:tc>
          <w:tcPr/>
          <w:p>
            <w:pPr>
              <w:pStyle w:val="Compact"/>
            </w:pPr>
            <w:r>
              <w:t xml:space="preserve">35% (£3,500)</w:t>
            </w:r>
          </w:p>
        </w:tc>
        <w:tc>
          <w:tcPr/>
          <w:p>
            <w:pPr>
              <w:pStyle w:val="Compact"/>
            </w:pPr>
            <w:r>
              <w:t xml:space="preserve">On sign-off (Day 10)</w:t>
            </w:r>
          </w:p>
        </w:tc>
      </w:tr>
      <w:tr>
        <w:tc>
          <w:tcPr/>
          <w:p>
            <w:pPr>
              <w:pStyle w:val="Compact"/>
            </w:pPr>
            <w:r>
              <w:t xml:space="preserve">Advisory completion</w:t>
            </w:r>
          </w:p>
        </w:tc>
        <w:tc>
          <w:tcPr/>
          <w:p>
            <w:pPr>
              <w:pStyle w:val="Compact"/>
            </w:pPr>
            <w:r>
              <w:t xml:space="preserve">15% (£1,500)</w:t>
            </w:r>
          </w:p>
        </w:tc>
        <w:tc>
          <w:tcPr/>
          <w:p>
            <w:pPr>
              <w:pStyle w:val="Compact"/>
            </w:pPr>
            <w:r>
              <w:t xml:space="preserve">At end of 4-week advisory period</w:t>
            </w:r>
          </w:p>
        </w:tc>
      </w:tr>
    </w:tbl>
    <w:p>
      <w:r>
        <w:pict>
          <v:rect style="width:0;height:1.5pt" o:hralign="center" o:hrstd="t" o:hr="t"/>
        </w:pict>
      </w:r>
    </w:p>
    <w:bookmarkEnd w:id="14"/>
    <w:bookmarkStart w:id="15" w:name="whats-not-included"/>
    <w:p>
      <w:pPr>
        <w:pStyle w:val="Heading2"/>
      </w:pPr>
      <w:r>
        <w:t xml:space="preserve">What’s Not Included</w:t>
      </w:r>
    </w:p>
    <w:p>
      <w:pPr>
        <w:pStyle w:val="Compact"/>
        <w:numPr>
          <w:ilvl w:val="0"/>
          <w:numId w:val="1001"/>
        </w:numPr>
      </w:pPr>
      <w:r>
        <w:t xml:space="preserve">Claude Pro/Team license costs (purchased directly from Anthropic by your team)</w:t>
      </w:r>
    </w:p>
    <w:p>
      <w:pPr>
        <w:pStyle w:val="Compact"/>
        <w:numPr>
          <w:ilvl w:val="0"/>
          <w:numId w:val="1001"/>
        </w:numPr>
      </w:pPr>
      <w:r>
        <w:t xml:space="preserve">Jira/Atlassian subscription or configuration beyond MCP setup</w:t>
      </w:r>
    </w:p>
    <w:p>
      <w:pPr>
        <w:pStyle w:val="Compact"/>
        <w:numPr>
          <w:ilvl w:val="0"/>
          <w:numId w:val="1001"/>
        </w:numPr>
      </w:pPr>
      <w:r>
        <w:t xml:space="preserve">Custom workflow development beyond the 3 standard pipelines</w:t>
      </w:r>
    </w:p>
    <w:p>
      <w:pPr>
        <w:pStyle w:val="Compact"/>
        <w:numPr>
          <w:ilvl w:val="0"/>
          <w:numId w:val="1001"/>
        </w:numPr>
      </w:pPr>
      <w:r>
        <w:t xml:space="preserve">Ongoing maintenance of the documentation website (ownership transfers to your team)</w:t>
      </w:r>
    </w:p>
    <w:p>
      <w:pPr>
        <w:pStyle w:val="Compact"/>
        <w:numPr>
          <w:ilvl w:val="0"/>
          <w:numId w:val="1001"/>
        </w:numPr>
      </w:pPr>
      <w:r>
        <w:t xml:space="preserve">CI/CD pipeline integration (the framework operates independently of CI)</w:t>
      </w:r>
    </w:p>
    <w:p>
      <w:pPr>
        <w:pStyle w:val="FirstParagraph"/>
      </w:pPr>
      <w:r>
        <w:t xml:space="preserve">Any of the above can be scoped as a follow-on engagement if needed.</w:t>
      </w:r>
    </w:p>
    <w:bookmarkEnd w:id="15"/>
    <w:bookmarkStart w:id="16" w:name="frequently-asked-questions"/>
    <w:p>
      <w:pPr>
        <w:pStyle w:val="Heading2"/>
      </w:pPr>
      <w:r>
        <w:t xml:space="preserve">Frequently Asked Questions</w:t>
      </w:r>
    </w:p>
    <w:p>
      <w:pPr>
        <w:pStyle w:val="FirstParagraph"/>
      </w:pPr>
      <w:r>
        <w:rPr>
          <w:b/>
          <w:bCs/>
        </w:rPr>
        <w:t xml:space="preserve">Why fixed-price, not day-rate?</w:t>
      </w:r>
      <w:r>
        <w:t xml:space="preserve"> </w:t>
      </w:r>
      <w:r>
        <w:t xml:space="preserve">You’re not buying time — you’re buying a capability. The price reflects the framework IP, the training programme, the documentation website, and the knowledge transfer. A team attempting to build this independently would spend 2-3 months of engineering time with uncertain results.</w:t>
      </w:r>
    </w:p>
    <w:p>
      <w:pPr>
        <w:pStyle w:val="BodyText"/>
      </w:pPr>
      <w:r>
        <w:rPr>
          <w:b/>
          <w:bCs/>
        </w:rPr>
        <w:t xml:space="preserve">What if we only need 2 of the 3 pipelines?</w:t>
      </w:r>
      <w:r>
        <w:t xml:space="preserve"> </w:t>
      </w:r>
      <w:r>
        <w:t xml:space="preserve">We can discuss a reduced scope. However, the pipelines share infrastructure (generator framework, knowledge stores, documentation), so the savings from removing one pipeline are modest (~10-15%).</w:t>
      </w:r>
    </w:p>
    <w:p>
      <w:pPr>
        <w:pStyle w:val="BodyText"/>
      </w:pPr>
      <w:r>
        <w:rPr>
          <w:b/>
          <w:bCs/>
        </w:rPr>
        <w:t xml:space="preserve">What if we have multiple repositories?</w:t>
      </w:r>
      <w:r>
        <w:t xml:space="preserve"> </w:t>
      </w:r>
      <w:r>
        <w:t xml:space="preserve">The first repository is included in the engagement price. Additional repositories can be added at £1,500-2,500 each (depending on complexity), as the generator runs independently per repo but the training and mindset sessions carry across.</w:t>
      </w:r>
    </w:p>
    <w:p>
      <w:pPr>
        <w:pStyle w:val="BodyText"/>
      </w:pPr>
      <w:r>
        <w:rPr>
          <w:b/>
          <w:bCs/>
        </w:rPr>
        <w:t xml:space="preserve">Do we need the advisory add-on?</w:t>
      </w:r>
      <w:r>
        <w:t xml:space="preserve"> </w:t>
      </w:r>
      <w:r>
        <w:t xml:space="preserve">Not strictly — many teams operate independently after Day 10. The advisory is a safety net for the transition period. If your champions are senior and confident, you may not need it. If this is the team’s first experience with agentic AI workflows, we recommend it.</w:t>
      </w:r>
    </w:p>
    <w:p>
      <w:pPr>
        <w:pStyle w:val="BodyText"/>
      </w:pPr>
      <w:r>
        <w:rPr>
          <w:b/>
          <w:bCs/>
        </w:rPr>
        <w:t xml:space="preserve">Can we extend the engagement beyond 2 weeks?</w:t>
      </w:r>
      <w:r>
        <w:t xml:space="preserve"> </w:t>
      </w:r>
      <w:r>
        <w:t xml:space="preserve">Yes. Extended engagements (3-4 weeks) make sense for larger teams (10+ engineers) or multiple repositories. We’ll scope and price these separately.</w:t>
      </w:r>
    </w:p>
    <w:p>
      <w:r>
        <w:pict>
          <v:rect style="width:0;height:1.5pt" o:hralign="center" o:hrstd="t" o:hr="t"/>
        </w:pict>
      </w:r>
    </w:p>
    <w:p>
      <w:pPr>
        <w:pStyle w:val="FirstParagraph"/>
      </w:pPr>
      <w:r>
        <w:rPr>
          <w:i/>
          <w:iCs/>
        </w:rPr>
        <w:t xml:space="preserve">All prices in GBP, exclusive of VAT. VAT charged at the applicable UK rate on invoice.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2026-03-23T17:17:20Z</dcterms:created>
  <dcterms:modified xsi:type="dcterms:W3CDTF">2026-03-23T17:17:20Z</dcterms:modified>
</cp:coreProperties>
</file>

<file path=docProps/custom.xml><?xml version="1.0" encoding="utf-8"?>
<Properties xmlns="http://schemas.openxmlformats.org/officeDocument/2006/custom-properties" xmlns:vt="http://schemas.openxmlformats.org/officeDocument/2006/docPropsVTypes"/>
</file>