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OptEV+ Dataset Guide and Evaluation Plan</w:t>
      </w:r>
    </w:p>
    <w:p>
      <w:pPr>
        <w:spacing w:after="240"/>
      </w:pPr>
      <w:r>
        <w:rPr>
          <w:color w:val="5F6670"/>
          <w:sz w:val="19"/>
          <w:szCs w:val="19"/>
        </w:rPr>
        <w:t xml:space="preserve">IRS Group 25 · Version 2 · 28 Sep 2026 · Restructured to match the project proposal of 13 Sep 2026</w:t>
      </w:r>
    </w:p>
    <w:p>
      <w:pPr>
        <w:pStyle w:val="Heading2"/>
      </w:pPr>
      <w:r>
        <w:t xml:space="preserve">1. What OptEV+ decides</w:t>
      </w:r>
    </w:p>
    <w:p>
      <w:pPr>
        <w:spacing w:after="140" w:line="276"/>
      </w:pPr>
      <w:r>
        <w:rPr>
          <w:b w:val="false"/>
          <w:bCs w:val="false"/>
          <w:sz w:val="21"/>
          <w:szCs w:val="21"/>
        </w:rPr>
        <w:t xml:space="preserve">OptEV+ helps government planners decide </w:t>
      </w:r>
      <w:r>
        <w:rPr>
          <w:b/>
          <w:bCs/>
          <w:sz w:val="21"/>
          <w:szCs w:val="21"/>
        </w:rPr>
        <w:t xml:space="preserve">where new public EV charging points should go and how many each site needs</w:t>
      </w:r>
      <w:r>
        <w:rPr>
          <w:b w:val="false"/>
          <w:bCs w:val="false"/>
          <w:sz w:val="21"/>
          <w:szCs w:val="21"/>
        </w:rPr>
        <w:t xml:space="preserve">. For a given budget and quantity it produces three things: a ranked list of candidate sites, a constrained allocation of charging points, and a recorded reason for every site accepted, rejected, deferred or made conditional.</w:t>
      </w:r>
    </w:p>
    <w:p>
      <w:pPr>
        <w:spacing w:after="140" w:line="276"/>
      </w:pPr>
      <w:r>
        <w:rPr>
          <w:b w:val="false"/>
          <w:bCs w:val="false"/>
          <w:sz w:val="21"/>
          <w:szCs w:val="21"/>
        </w:rPr>
        <w:t xml:space="preserve">Singapore targets 60,000 charging points by 2030: 40,000 in public car parks and 20,000 in private premises. About 34,700 were in place by September 2026, serving more than 82,100 EVs (</w:t>
      </w:r>
      <w:hyperlink w:history="1" r:id="rIdezh4m9iuzdn_uhlbxtyza">
        <w:r>
          <w:rPr>
            <w:b w:val="false"/>
            <w:bCs w:val="false"/>
            <w:color w:val="0B5CAD"/>
            <w:sz w:val="21"/>
            <w:szCs w:val="21"/>
            <w:u w:val="single"/>
          </w:rPr>
          <w:t xml:space="preserve">AsiaOne</w:t>
        </w:r>
      </w:hyperlink>
      <w:r>
        <w:rPr>
          <w:b w:val="false"/>
          <w:bCs w:val="false"/>
          <w:sz w:val="21"/>
          <w:szCs w:val="21"/>
        </w:rPr>
        <w:t xml:space="preserve">, as cited in our proposal). Our data covers public sites, so we plan against the 40,000 public share.</w:t>
      </w:r>
    </w:p>
    <w:p>
      <w:pPr>
        <w:spacing w:after="140" w:line="276"/>
      </w:pPr>
      <w:r>
        <w:rPr>
          <w:b w:val="false"/>
          <w:bCs w:val="false"/>
          <w:sz w:val="21"/>
          <w:szCs w:val="21"/>
        </w:rPr>
        <w:t xml:space="preserve">Data is collected island-wide and analysed per planning area (55 in total). Detailed evaluation and the demo use one planning area, chosen after the first week of data against a criterion stated in advance.</w:t>
      </w:r>
    </w:p>
    <w:p>
      <w:pPr>
        <w:spacing w:after="140" w:line="276"/>
      </w:pPr>
      <w:r>
        <w:rPr>
          <w:b w:val="false"/>
          <w:bCs w:val="false"/>
          <w:sz w:val="21"/>
          <w:szCs w:val="21"/>
        </w:rPr>
        <w:t xml:space="preserve">Every record belongs to one of </w:t>
      </w:r>
      <w:r>
        <w:rPr>
          <w:b/>
          <w:bCs/>
          <w:sz w:val="21"/>
          <w:szCs w:val="21"/>
        </w:rPr>
        <w:t xml:space="preserve">three layers that are never merged</w:t>
      </w:r>
      <w:r>
        <w:rPr>
          <w:b w:val="false"/>
          <w:bCs w:val="false"/>
          <w:sz w:val="21"/>
          <w:szCs w:val="21"/>
        </w:rPr>
        <w:t xml:space="preserve">:</w:t>
      </w:r>
    </w:p>
    <w:p>
      <w:pPr>
        <w:pStyle w:val="ListParagraph"/>
        <w:numPr>
          <w:ilvl w:val="0"/>
          <w:numId w:val="2"/>
        </w:numPr>
        <w:spacing w:after="60" w:line="276"/>
      </w:pPr>
      <w:r>
        <w:rPr>
          <w:b/>
          <w:bCs/>
          <w:sz w:val="21"/>
          <w:szCs w:val="21"/>
        </w:rPr>
        <w:t xml:space="preserve">Observed:</w:t>
      </w:r>
      <w:r>
        <w:rPr>
          <w:b w:val="false"/>
          <w:bCs w:val="false"/>
          <w:sz w:val="21"/>
          <w:szCs w:val="21"/>
        </w:rPr>
        <w:t xml:space="preserve"> measured from the live feeds and static files below.</w:t>
      </w:r>
    </w:p>
    <w:p>
      <w:pPr>
        <w:pStyle w:val="ListParagraph"/>
        <w:numPr>
          <w:ilvl w:val="0"/>
          <w:numId w:val="2"/>
        </w:numPr>
        <w:spacing w:after="60" w:line="276"/>
      </w:pPr>
      <w:r>
        <w:rPr>
          <w:b/>
          <w:bCs/>
          <w:sz w:val="21"/>
          <w:szCs w:val="21"/>
        </w:rPr>
        <w:t xml:space="preserve">Simulated:</w:t>
      </w:r>
      <w:r>
        <w:rPr>
          <w:b w:val="false"/>
          <w:bCs w:val="false"/>
          <w:sz w:val="21"/>
          <w:szCs w:val="21"/>
        </w:rPr>
        <w:t xml:space="preserve"> future demand generated in Stage 3 under declared growth assumptions, always labelled.</w:t>
      </w:r>
    </w:p>
    <w:p>
      <w:pPr>
        <w:pStyle w:val="ListParagraph"/>
        <w:numPr>
          <w:ilvl w:val="0"/>
          <w:numId w:val="2"/>
        </w:numPr>
        <w:spacing w:after="60" w:line="276"/>
      </w:pPr>
      <w:r>
        <w:rPr>
          <w:b/>
          <w:bCs/>
          <w:sz w:val="21"/>
          <w:szCs w:val="21"/>
        </w:rPr>
        <w:t xml:space="preserve">Planned:</w:t>
      </w:r>
      <w:r>
        <w:rPr>
          <w:b w:val="false"/>
          <w:bCs w:val="false"/>
          <w:sz w:val="21"/>
          <w:szCs w:val="21"/>
        </w:rPr>
        <w:t xml:space="preserve"> sites the planner selects, stored as planned capacity, separate from what exists today.</w:t>
      </w:r>
    </w:p>
    <w:p>
      <w:pPr>
        <w:pStyle w:val="Heading2"/>
      </w:pPr>
      <w:r>
        <w:t xml:space="preserve">2. The datasets, grouped as in the proposal</w:t>
      </w:r>
    </w:p>
    <w:p>
      <w:pPr>
        <w:spacing w:after="140" w:line="276"/>
      </w:pPr>
      <w:r>
        <w:rPr>
          <w:b w:val="false"/>
          <w:bCs w:val="false"/>
          <w:sz w:val="21"/>
          <w:szCs w:val="21"/>
        </w:rPr>
        <w:t xml:space="preserve">We use 13 government datasets, one optional dataset and one declared assumption. Names in </w:t>
      </w:r>
      <w:r>
        <w:rPr>
          <w:rFonts w:ascii="Consolas" w:cs="Consolas" w:eastAsia="Consolas" w:hAnsi="Consolas"/>
          <w:sz w:val="19"/>
          <w:szCs w:val="19"/>
          <w:shd w:fill="EEF0F3" w:color="auto" w:val="clear"/>
        </w:rPr>
        <w:t xml:space="preserve">code</w:t>
      </w:r>
      <w:r>
        <w:rPr>
          <w:b w:val="false"/>
          <w:bCs w:val="false"/>
          <w:sz w:val="21"/>
          <w:szCs w:val="21"/>
        </w:rPr>
        <w:t xml:space="preserve"> are exact field names. Names marked * are not verified yet: check them against the </w:t>
      </w:r>
      <w:hyperlink w:history="1" r:id="rId0nwc-9v4y9_fz1wiq89z8">
        <w:r>
          <w:rPr>
            <w:b w:val="false"/>
            <w:bCs w:val="false"/>
            <w:color w:val="0B5CAD"/>
            <w:sz w:val="21"/>
            <w:szCs w:val="21"/>
            <w:u w:val="single"/>
          </w:rPr>
          <w:t xml:space="preserve">LTA DataMall API User Guide</w:t>
        </w:r>
      </w:hyperlink>
      <w:r>
        <w:rPr>
          <w:b w:val="false"/>
          <w:bCs w:val="false"/>
          <w:sz w:val="21"/>
          <w:szCs w:val="21"/>
        </w:rPr>
        <w:t xml:space="preserve"> or the file itself. The Status column says what changed since version 1.</w:t>
      </w:r>
    </w:p>
    <w:tbl>
      <w:tblPr>
        <w:tblW w:type="dxa" w:w="9746"/>
        <w:tblBorders>
          <w:top w:val="single" w:color="C9CED6" w:sz="4"/>
          <w:left w:val="single" w:color="C9CED6" w:sz="4"/>
          <w:bottom w:val="single" w:color="C9CED6" w:sz="4"/>
          <w:right w:val="single" w:color="C9CED6" w:sz="4"/>
          <w:insideH w:val="single" w:color="C9CED6" w:sz="4"/>
          <w:insideV w:val="single" w:color="C9CED6" w:sz="4"/>
        </w:tblBorders>
      </w:tblPr>
      <w:tblGrid>
        <w:gridCol w:w="420"/>
        <w:gridCol w:w="2250"/>
        <w:gridCol w:w="2700"/>
        <w:gridCol w:w="3176"/>
        <w:gridCol w:w="1200"/>
      </w:tblGrid>
      <w:tr>
        <w:trPr>
          <w:cantSplit/>
          <w:tblHeader/>
        </w:trPr>
        <w:tc>
          <w:tcPr>
            <w:tcW w:type="dxa" w:w="420"/>
            <w:shd w:fill="F2F4F7" w:color="auto" w:val="clear"/>
            <w:tcMar>
              <w:top w:type="dxa" w:w="60"/>
              <w:left w:type="dxa" w:w="100"/>
              <w:bottom w:type="dxa" w:w="60"/>
              <w:right w:type="dxa" w:w="100"/>
            </w:tcMar>
          </w:tcPr>
          <w:p>
            <w:pPr>
              <w:spacing w:after="0" w:line="252"/>
              <w:jc w:val="left"/>
            </w:pPr>
            <w:r>
              <w:rPr>
                <w:b/>
                <w:bCs/>
                <w:sz w:val="17"/>
                <w:szCs w:val="17"/>
              </w:rPr>
              <w:t xml:space="preserve">#</w:t>
            </w:r>
          </w:p>
        </w:tc>
        <w:tc>
          <w:tcPr>
            <w:tcW w:type="dxa" w:w="2250"/>
            <w:shd w:fill="F2F4F7" w:color="auto" w:val="clear"/>
            <w:tcMar>
              <w:top w:type="dxa" w:w="60"/>
              <w:left w:type="dxa" w:w="100"/>
              <w:bottom w:type="dxa" w:w="60"/>
              <w:right w:type="dxa" w:w="100"/>
            </w:tcMar>
          </w:tcPr>
          <w:p>
            <w:pPr>
              <w:spacing w:after="0" w:line="252"/>
              <w:jc w:val="left"/>
            </w:pPr>
            <w:r>
              <w:rPr>
                <w:b/>
                <w:bCs/>
                <w:sz w:val="17"/>
                <w:szCs w:val="17"/>
              </w:rPr>
              <w:t xml:space="preserve">Dataset · source, refresh</w:t>
            </w:r>
          </w:p>
        </w:tc>
        <w:tc>
          <w:tcPr>
            <w:tcW w:type="dxa" w:w="2700"/>
            <w:shd w:fill="F2F4F7" w:color="auto" w:val="clear"/>
            <w:tcMar>
              <w:top w:type="dxa" w:w="60"/>
              <w:left w:type="dxa" w:w="100"/>
              <w:bottom w:type="dxa" w:w="60"/>
              <w:right w:type="dxa" w:w="100"/>
            </w:tcMar>
          </w:tcPr>
          <w:p>
            <w:pPr>
              <w:spacing w:after="0" w:line="252"/>
              <w:jc w:val="left"/>
            </w:pPr>
            <w:r>
              <w:rPr>
                <w:b/>
                <w:bCs/>
                <w:sz w:val="17"/>
                <w:szCs w:val="17"/>
              </w:rPr>
              <w:t xml:space="preserve">Fields we use</w:t>
            </w:r>
          </w:p>
        </w:tc>
        <w:tc>
          <w:tcPr>
            <w:tcW w:type="dxa" w:w="3176"/>
            <w:shd w:fill="F2F4F7" w:color="auto" w:val="clear"/>
            <w:tcMar>
              <w:top w:type="dxa" w:w="60"/>
              <w:left w:type="dxa" w:w="100"/>
              <w:bottom w:type="dxa" w:w="60"/>
              <w:right w:type="dxa" w:w="100"/>
            </w:tcMar>
          </w:tcPr>
          <w:p>
            <w:pPr>
              <w:spacing w:after="0" w:line="252"/>
              <w:jc w:val="left"/>
            </w:pPr>
            <w:r>
              <w:rPr>
                <w:b/>
                <w:bCs/>
                <w:sz w:val="17"/>
                <w:szCs w:val="17"/>
              </w:rPr>
              <w:t xml:space="preserve">What it does for OptEV+</w:t>
            </w:r>
          </w:p>
        </w:tc>
        <w:tc>
          <w:tcPr>
            <w:tcW w:type="dxa" w:w="1200"/>
            <w:shd w:fill="F2F4F7" w:color="auto" w:val="clear"/>
            <w:tcMar>
              <w:top w:type="dxa" w:w="60"/>
              <w:left w:type="dxa" w:w="100"/>
              <w:bottom w:type="dxa" w:w="60"/>
              <w:right w:type="dxa" w:w="100"/>
            </w:tcMar>
          </w:tcPr>
          <w:p>
            <w:pPr>
              <w:spacing w:after="0" w:line="252"/>
              <w:jc w:val="left"/>
            </w:pPr>
            <w:r>
              <w:rPr>
                <w:b/>
                <w:bCs/>
                <w:sz w:val="17"/>
                <w:szCs w:val="17"/>
              </w:rPr>
              <w:t xml:space="preserve">Status</w:t>
            </w:r>
          </w:p>
        </w:tc>
      </w:tr>
      <w:tr>
        <w:trPr>
          <w:cantSplit/>
        </w:trPr>
        <w:tc>
          <w:tcPr>
            <w:tcW w:type="dxa" w:w="9746"/>
            <w:gridSpan w:val="5"/>
            <w:shd w:fill="E4ECF7" w:color="auto" w:val="clear"/>
            <w:tcMar>
              <w:top w:type="dxa" w:w="50"/>
              <w:left w:type="dxa" w:w="100"/>
              <w:bottom w:type="dxa" w:w="50"/>
              <w:right w:type="dxa" w:w="100"/>
            </w:tcMar>
          </w:tcPr>
          <w:p>
            <w:pPr>
              <w:spacing w:after="0"/>
            </w:pPr>
            <w:r>
              <w:rPr>
                <w:b/>
                <w:bCs/>
                <w:sz w:val="17"/>
                <w:szCs w:val="17"/>
              </w:rPr>
              <w:t xml:space="preserve">A. Live feeds (observed layer): charging point status and car park availability</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1</w:t>
            </w:r>
          </w:p>
        </w:tc>
        <w:tc>
          <w:tcPr>
            <w:tcW w:type="dxa" w:w="2250"/>
            <w:tcMar>
              <w:top w:type="dxa" w:w="60"/>
              <w:left w:type="dxa" w:w="100"/>
              <w:bottom w:type="dxa" w:w="60"/>
              <w:right w:type="dxa" w:w="100"/>
            </w:tcMar>
          </w:tcPr>
          <w:p>
            <w:pPr>
              <w:spacing w:after="0" w:line="252"/>
              <w:jc w:val="left"/>
            </w:pPr>
            <w:hyperlink w:history="1" r:id="rIdekin1cyiheoxvec51z0tt">
              <w:r>
                <w:rPr>
                  <w:b w:val="false"/>
                  <w:bCs w:val="false"/>
                  <w:color w:val="0B5CAD"/>
                  <w:sz w:val="17"/>
                  <w:szCs w:val="17"/>
                  <w:u w:val="single"/>
                </w:rPr>
                <w:t xml:space="preserve">EV Charging Points Batch</w:t>
              </w:r>
            </w:hyperlink>
            <w:r>
              <w:rPr>
                <w:b w:val="false"/>
                <w:bCs w:val="false"/>
                <w:sz w:val="17"/>
                <w:szCs w:val="17"/>
              </w:rPr>
              <w:t xml:space="preserve"> · LTA DataMall API, refreshed every 5 min</w:t>
            </w:r>
          </w:p>
        </w:tc>
        <w:tc>
          <w:tcPr>
            <w:tcW w:type="dxa" w:w="27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postalCode</w:t>
            </w:r>
            <w:r>
              <w:rPr>
                <w:b w:val="false"/>
                <w:bCs w:val="false"/>
                <w:sz w:val="17"/>
                <w:szCs w:val="17"/>
              </w:rPr>
              <w:t xml:space="preserve">, </w:t>
            </w:r>
            <w:r>
              <w:rPr>
                <w:rFonts w:ascii="Consolas" w:cs="Consolas" w:eastAsia="Consolas" w:hAnsi="Consolas"/>
                <w:sz w:val="15"/>
                <w:szCs w:val="15"/>
                <w:shd w:fill="EEF0F3" w:color="auto" w:val="clear"/>
              </w:rPr>
              <w:t xml:space="preserve">name</w:t>
            </w:r>
            <w:r>
              <w:rPr>
                <w:b w:val="false"/>
                <w:bCs w:val="false"/>
                <w:sz w:val="17"/>
                <w:szCs w:val="17"/>
              </w:rPr>
              <w:t xml:space="preserve">, </w:t>
            </w:r>
            <w:r>
              <w:rPr>
                <w:rFonts w:ascii="Consolas" w:cs="Consolas" w:eastAsia="Consolas" w:hAnsi="Consolas"/>
                <w:sz w:val="15"/>
                <w:szCs w:val="15"/>
                <w:shd w:fill="EEF0F3" w:color="auto" w:val="clear"/>
              </w:rPr>
              <w:t xml:space="preserve">latitude</w:t>
            </w:r>
            <w:r>
              <w:rPr>
                <w:b w:val="false"/>
                <w:bCs w:val="false"/>
                <w:sz w:val="17"/>
                <w:szCs w:val="17"/>
              </w:rPr>
              <w:t xml:space="preserve">, </w:t>
            </w:r>
            <w:r>
              <w:rPr>
                <w:rFonts w:ascii="Consolas" w:cs="Consolas" w:eastAsia="Consolas" w:hAnsi="Consolas"/>
                <w:sz w:val="15"/>
                <w:szCs w:val="15"/>
                <w:shd w:fill="EEF0F3" w:color="auto" w:val="clear"/>
              </w:rPr>
              <w:t xml:space="preserve">longtitude</w:t>
            </w:r>
            <w:r>
              <w:rPr>
                <w:b w:val="false"/>
                <w:bCs w:val="false"/>
                <w:sz w:val="17"/>
                <w:szCs w:val="17"/>
              </w:rPr>
              <w:t xml:space="preserve"> (LTA's spelling), </w:t>
            </w:r>
            <w:r>
              <w:rPr>
                <w:rFonts w:ascii="Consolas" w:cs="Consolas" w:eastAsia="Consolas" w:hAnsi="Consolas"/>
                <w:sz w:val="15"/>
                <w:szCs w:val="15"/>
                <w:shd w:fill="EEF0F3" w:color="auto" w:val="clear"/>
              </w:rPr>
              <w:t xml:space="preserve">operator</w:t>
            </w:r>
            <w:r>
              <w:rPr>
                <w:b w:val="false"/>
                <w:bCs w:val="false"/>
                <w:sz w:val="17"/>
                <w:szCs w:val="17"/>
              </w:rPr>
              <w:t xml:space="preserve">, </w:t>
            </w:r>
            <w:r>
              <w:rPr>
                <w:rFonts w:ascii="Consolas" w:cs="Consolas" w:eastAsia="Consolas" w:hAnsi="Consolas"/>
                <w:sz w:val="15"/>
                <w:szCs w:val="15"/>
                <w:shd w:fill="EEF0F3" w:color="auto" w:val="clear"/>
              </w:rPr>
              <w:t xml:space="preserve">current</w:t>
            </w:r>
            <w:r>
              <w:rPr>
                <w:b w:val="false"/>
                <w:bCs w:val="false"/>
                <w:sz w:val="17"/>
                <w:szCs w:val="17"/>
              </w:rPr>
              <w:t xml:space="preserve"> (AC or DC), </w:t>
            </w:r>
            <w:r>
              <w:rPr>
                <w:rFonts w:ascii="Consolas" w:cs="Consolas" w:eastAsia="Consolas" w:hAnsi="Consolas"/>
                <w:sz w:val="15"/>
                <w:szCs w:val="15"/>
                <w:shd w:fill="EEF0F3" w:color="auto" w:val="clear"/>
              </w:rPr>
              <w:t xml:space="preserve">powerRating</w:t>
            </w:r>
            <w:r>
              <w:rPr>
                <w:b w:val="false"/>
                <w:bCs w:val="false"/>
                <w:sz w:val="17"/>
                <w:szCs w:val="17"/>
              </w:rPr>
              <w:t xml:space="preserve"> (kW), </w:t>
            </w:r>
            <w:r>
              <w:rPr>
                <w:rFonts w:ascii="Consolas" w:cs="Consolas" w:eastAsia="Consolas" w:hAnsi="Consolas"/>
                <w:sz w:val="15"/>
                <w:szCs w:val="15"/>
                <w:shd w:fill="EEF0F3" w:color="auto" w:val="clear"/>
              </w:rPr>
              <w:t xml:space="preserve">evCpId</w:t>
            </w:r>
            <w:r>
              <w:rPr>
                <w:b w:val="false"/>
                <w:bCs w:val="false"/>
                <w:sz w:val="17"/>
                <w:szCs w:val="17"/>
              </w:rPr>
              <w:t xml:space="preserve">, </w:t>
            </w:r>
            <w:r>
              <w:rPr>
                <w:rFonts w:ascii="Consolas" w:cs="Consolas" w:eastAsia="Consolas" w:hAnsi="Consolas"/>
                <w:sz w:val="15"/>
                <w:szCs w:val="15"/>
                <w:shd w:fill="EEF0F3" w:color="auto" w:val="clear"/>
              </w:rPr>
              <w:t xml:space="preserve">status</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Existing supply at each site (how many points, AC or DC, kW) and whether each point is in use. Saved every 15 minutes, it gives utilisation and saturation.</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Kept</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2</w:t>
            </w:r>
          </w:p>
        </w:tc>
        <w:tc>
          <w:tcPr>
            <w:tcW w:type="dxa" w:w="2250"/>
            <w:tcMar>
              <w:top w:type="dxa" w:w="60"/>
              <w:left w:type="dxa" w:w="100"/>
              <w:bottom w:type="dxa" w:w="60"/>
              <w:right w:type="dxa" w:w="100"/>
            </w:tcMar>
          </w:tcPr>
          <w:p>
            <w:pPr>
              <w:spacing w:after="0" w:line="252"/>
              <w:jc w:val="left"/>
            </w:pPr>
            <w:hyperlink w:history="1" r:id="rIduvfpx8yqhbduvc7qmq-fp">
              <w:r>
                <w:rPr>
                  <w:b w:val="false"/>
                  <w:bCs w:val="false"/>
                  <w:color w:val="0B5CAD"/>
                  <w:sz w:val="17"/>
                  <w:szCs w:val="17"/>
                  <w:u w:val="single"/>
                </w:rPr>
                <w:t xml:space="preserve">Carpark Availability</w:t>
              </w:r>
            </w:hyperlink>
            <w:r>
              <w:rPr>
                <w:b w:val="false"/>
                <w:bCs w:val="false"/>
                <w:sz w:val="17"/>
                <w:szCs w:val="17"/>
              </w:rPr>
              <w:t xml:space="preserve"> · LTA DataMall API, every minute</w:t>
            </w:r>
          </w:p>
        </w:tc>
        <w:tc>
          <w:tcPr>
            <w:tcW w:type="dxa" w:w="27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CarParkID</w:t>
            </w:r>
            <w:r>
              <w:rPr>
                <w:b w:val="false"/>
                <w:bCs w:val="false"/>
                <w:sz w:val="17"/>
                <w:szCs w:val="17"/>
              </w:rPr>
              <w:t xml:space="preserve">*, </w:t>
            </w:r>
            <w:r>
              <w:rPr>
                <w:rFonts w:ascii="Consolas" w:cs="Consolas" w:eastAsia="Consolas" w:hAnsi="Consolas"/>
                <w:sz w:val="15"/>
                <w:szCs w:val="15"/>
                <w:shd w:fill="EEF0F3" w:color="auto" w:val="clear"/>
              </w:rPr>
              <w:t xml:space="preserve">Development</w:t>
            </w:r>
            <w:r>
              <w:rPr>
                <w:b w:val="false"/>
                <w:bCs w:val="false"/>
                <w:sz w:val="17"/>
                <w:szCs w:val="17"/>
              </w:rPr>
              <w:t xml:space="preserve">*, </w:t>
            </w:r>
            <w:r>
              <w:rPr>
                <w:rFonts w:ascii="Consolas" w:cs="Consolas" w:eastAsia="Consolas" w:hAnsi="Consolas"/>
                <w:sz w:val="15"/>
                <w:szCs w:val="15"/>
                <w:shd w:fill="EEF0F3" w:color="auto" w:val="clear"/>
              </w:rPr>
              <w:t xml:space="preserve">Location</w:t>
            </w:r>
            <w:r>
              <w:rPr>
                <w:b w:val="false"/>
                <w:bCs w:val="false"/>
                <w:sz w:val="17"/>
                <w:szCs w:val="17"/>
              </w:rPr>
              <w:t xml:space="preserve">*, </w:t>
            </w:r>
            <w:r>
              <w:rPr>
                <w:rFonts w:ascii="Consolas" w:cs="Consolas" w:eastAsia="Consolas" w:hAnsi="Consolas"/>
                <w:sz w:val="15"/>
                <w:szCs w:val="15"/>
                <w:shd w:fill="EEF0F3" w:color="auto" w:val="clear"/>
              </w:rPr>
              <w:t xml:space="preserve">AvailableLots</w:t>
            </w:r>
            <w:r>
              <w:rPr>
                <w:b w:val="false"/>
                <w:bCs w:val="false"/>
                <w:sz w:val="17"/>
                <w:szCs w:val="17"/>
              </w:rPr>
              <w:t xml:space="preserve">*, </w:t>
            </w:r>
            <w:r>
              <w:rPr>
                <w:rFonts w:ascii="Consolas" w:cs="Consolas" w:eastAsia="Consolas" w:hAnsi="Consolas"/>
                <w:sz w:val="15"/>
                <w:szCs w:val="15"/>
                <w:shd w:fill="EEF0F3" w:color="auto" w:val="clear"/>
              </w:rPr>
              <w:t xml:space="preserve">LotType</w:t>
            </w:r>
            <w:r>
              <w:rPr>
                <w:b w:val="false"/>
                <w:bCs w:val="false"/>
                <w:sz w:val="17"/>
                <w:szCs w:val="17"/>
              </w:rPr>
              <w:t xml:space="preserve">*, </w:t>
            </w:r>
            <w:r>
              <w:rPr>
                <w:rFonts w:ascii="Consolas" w:cs="Consolas" w:eastAsia="Consolas" w:hAnsi="Consolas"/>
                <w:sz w:val="15"/>
                <w:szCs w:val="15"/>
                <w:shd w:fill="EEF0F3" w:color="auto" w:val="clear"/>
              </w:rPr>
              <w:t xml:space="preserve">Agency</w:t>
            </w:r>
            <w:r>
              <w:rPr>
                <w:b w:val="false"/>
                <w:bCs w:val="false"/>
                <w:sz w:val="17"/>
                <w:szCs w:val="17"/>
              </w:rPr>
              <w:t xml:space="preserve">*</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Free car lots at URA and mall carparks (keep </w:t>
            </w:r>
            <w:r>
              <w:rPr>
                <w:rFonts w:ascii="Consolas" w:cs="Consolas" w:eastAsia="Consolas" w:hAnsi="Consolas"/>
                <w:sz w:val="15"/>
                <w:szCs w:val="15"/>
                <w:shd w:fill="EEF0F3" w:color="auto" w:val="clear"/>
              </w:rPr>
              <w:t xml:space="preserve">LotType</w:t>
            </w:r>
            <w:r>
              <w:rPr>
                <w:b w:val="false"/>
                <w:bCs w:val="false"/>
                <w:sz w:val="17"/>
                <w:szCs w:val="17"/>
              </w:rPr>
              <w:t xml:space="preserve"> = C). Mall carparks (</w:t>
            </w:r>
            <w:r>
              <w:rPr>
                <w:rFonts w:ascii="Consolas" w:cs="Consolas" w:eastAsia="Consolas" w:hAnsi="Consolas"/>
                <w:sz w:val="15"/>
                <w:szCs w:val="15"/>
                <w:shd w:fill="EEF0F3" w:color="auto" w:val="clear"/>
              </w:rPr>
              <w:t xml:space="preserve">Agency</w:t>
            </w:r>
            <w:r>
              <w:rPr>
                <w:b w:val="false"/>
                <w:bCs w:val="false"/>
                <w:sz w:val="17"/>
                <w:szCs w:val="17"/>
              </w:rPr>
              <w:t xml:space="preserve"> = LTA) are our "commercial facility" candidates. HDB rows are dropped; feed 3 covers them.</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Kept, role widened</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3</w:t>
            </w:r>
          </w:p>
        </w:tc>
        <w:tc>
          <w:tcPr>
            <w:tcW w:type="dxa" w:w="2250"/>
            <w:tcMar>
              <w:top w:type="dxa" w:w="60"/>
              <w:left w:type="dxa" w:w="100"/>
              <w:bottom w:type="dxa" w:w="60"/>
              <w:right w:type="dxa" w:w="100"/>
            </w:tcMar>
          </w:tcPr>
          <w:p>
            <w:pPr>
              <w:spacing w:after="0" w:line="252"/>
              <w:jc w:val="left"/>
            </w:pPr>
            <w:hyperlink w:history="1" r:id="rId1wzh__avbe8gdzy8pojpr">
              <w:r>
                <w:rPr>
                  <w:b w:val="false"/>
                  <w:bCs w:val="false"/>
                  <w:color w:val="0B5CAD"/>
                  <w:sz w:val="17"/>
                  <w:szCs w:val="17"/>
                  <w:u w:val="single"/>
                </w:rPr>
                <w:t xml:space="preserve">Carpark Availability (HDB)</w:t>
              </w:r>
            </w:hyperlink>
            <w:r>
              <w:rPr>
                <w:b w:val="false"/>
                <w:bCs w:val="false"/>
                <w:sz w:val="17"/>
                <w:szCs w:val="17"/>
              </w:rPr>
              <w:t xml:space="preserve"> · data.gov.sg API, every minute, history from Jan 2018</w:t>
            </w:r>
          </w:p>
        </w:tc>
        <w:tc>
          <w:tcPr>
            <w:tcW w:type="dxa" w:w="27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carpark_number</w:t>
            </w:r>
            <w:r>
              <w:rPr>
                <w:b w:val="false"/>
                <w:bCs w:val="false"/>
                <w:sz w:val="17"/>
                <w:szCs w:val="17"/>
              </w:rPr>
              <w:t xml:space="preserve">, </w:t>
            </w:r>
            <w:r>
              <w:rPr>
                <w:rFonts w:ascii="Consolas" w:cs="Consolas" w:eastAsia="Consolas" w:hAnsi="Consolas"/>
                <w:sz w:val="15"/>
                <w:szCs w:val="15"/>
                <w:shd w:fill="EEF0F3" w:color="auto" w:val="clear"/>
              </w:rPr>
              <w:t xml:space="preserve">total_lots</w:t>
            </w:r>
            <w:r>
              <w:rPr>
                <w:b w:val="false"/>
                <w:bCs w:val="false"/>
                <w:sz w:val="17"/>
                <w:szCs w:val="17"/>
              </w:rPr>
              <w:t xml:space="preserve">, </w:t>
            </w:r>
            <w:r>
              <w:rPr>
                <w:rFonts w:ascii="Consolas" w:cs="Consolas" w:eastAsia="Consolas" w:hAnsi="Consolas"/>
                <w:sz w:val="15"/>
                <w:szCs w:val="15"/>
                <w:shd w:fill="EEF0F3" w:color="auto" w:val="clear"/>
              </w:rPr>
              <w:t xml:space="preserve">lots_available</w:t>
            </w:r>
            <w:r>
              <w:rPr>
                <w:b w:val="false"/>
                <w:bCs w:val="false"/>
                <w:sz w:val="17"/>
                <w:szCs w:val="17"/>
              </w:rPr>
              <w:t xml:space="preserve">, </w:t>
            </w:r>
            <w:r>
              <w:rPr>
                <w:rFonts w:ascii="Consolas" w:cs="Consolas" w:eastAsia="Consolas" w:hAnsi="Consolas"/>
                <w:sz w:val="15"/>
                <w:szCs w:val="15"/>
                <w:shd w:fill="EEF0F3" w:color="auto" w:val="clear"/>
              </w:rPr>
              <w:t xml:space="preserve">lot_type</w:t>
            </w:r>
            <w:r>
              <w:rPr>
                <w:b w:val="false"/>
                <w:bCs w:val="false"/>
                <w:sz w:val="17"/>
                <w:szCs w:val="17"/>
              </w:rPr>
              <w:t xml:space="preserve">, </w:t>
            </w:r>
            <w:r>
              <w:rPr>
                <w:rFonts w:ascii="Consolas" w:cs="Consolas" w:eastAsia="Consolas" w:hAnsi="Consolas"/>
                <w:sz w:val="15"/>
                <w:szCs w:val="15"/>
                <w:shd w:fill="EEF0F3" w:color="auto" w:val="clear"/>
              </w:rPr>
              <w:t xml:space="preserve">update_datetime</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Free and total lots for about 2,000 HDB carparks. Total lots give "% full" and the site-capacity limit. A past </w:t>
            </w:r>
            <w:r>
              <w:rPr>
                <w:rFonts w:ascii="Consolas" w:cs="Consolas" w:eastAsia="Consolas" w:hAnsi="Consolas"/>
                <w:sz w:val="15"/>
                <w:szCs w:val="15"/>
                <w:shd w:fill="EEF0F3" w:color="auto" w:val="clear"/>
              </w:rPr>
              <w:t xml:space="preserve">date_time</w:t>
            </w:r>
            <w:r>
              <w:rPr>
                <w:b w:val="false"/>
                <w:bCs w:val="false"/>
                <w:sz w:val="17"/>
                <w:szCs w:val="17"/>
              </w:rPr>
              <w:t xml:space="preserve"> backfills weeks of history.</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Kept</w:t>
            </w:r>
          </w:p>
        </w:tc>
      </w:tr>
      <w:tr>
        <w:trPr>
          <w:cantSplit/>
        </w:trPr>
        <w:tc>
          <w:tcPr>
            <w:tcW w:type="dxa" w:w="9746"/>
            <w:gridSpan w:val="5"/>
            <w:shd w:fill="E4ECF7" w:color="auto" w:val="clear"/>
            <w:tcMar>
              <w:top w:type="dxa" w:w="50"/>
              <w:left w:type="dxa" w:w="100"/>
              <w:bottom w:type="dxa" w:w="50"/>
              <w:right w:type="dxa" w:w="100"/>
            </w:tcMar>
          </w:tcPr>
          <w:p>
            <w:pPr>
              <w:spacing w:after="0"/>
            </w:pPr>
            <w:r>
              <w:rPr>
                <w:b/>
                <w:bCs/>
                <w:sz w:val="17"/>
                <w:szCs w:val="17"/>
              </w:rPr>
              <w:t xml:space="preserve">B. Car park registry (static): location and site characteristics</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4</w:t>
            </w:r>
          </w:p>
        </w:tc>
        <w:tc>
          <w:tcPr>
            <w:tcW w:type="dxa" w:w="2250"/>
            <w:tcMar>
              <w:top w:type="dxa" w:w="60"/>
              <w:left w:type="dxa" w:w="100"/>
              <w:bottom w:type="dxa" w:w="60"/>
              <w:right w:type="dxa" w:w="100"/>
            </w:tcMar>
          </w:tcPr>
          <w:p>
            <w:pPr>
              <w:spacing w:after="0" w:line="252"/>
              <w:jc w:val="left"/>
            </w:pPr>
            <w:hyperlink w:history="1" r:id="rId7rf9c3t5yk2pc7kadibx7">
              <w:r>
                <w:rPr>
                  <w:b w:val="false"/>
                  <w:bCs w:val="false"/>
                  <w:color w:val="0B5CAD"/>
                  <w:sz w:val="17"/>
                  <w:szCs w:val="17"/>
                  <w:u w:val="single"/>
                </w:rPr>
                <w:t xml:space="preserve">HDB Carpark Information</w:t>
              </w:r>
            </w:hyperlink>
            <w:r>
              <w:rPr>
                <w:b w:val="false"/>
                <w:bCs w:val="false"/>
                <w:sz w:val="17"/>
                <w:szCs w:val="17"/>
              </w:rPr>
              <w:t xml:space="preserve"> · data.gov.sg file</w:t>
            </w:r>
          </w:p>
        </w:tc>
        <w:tc>
          <w:tcPr>
            <w:tcW w:type="dxa" w:w="27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car_park_no</w:t>
            </w:r>
            <w:r>
              <w:rPr>
                <w:b w:val="false"/>
                <w:bCs w:val="false"/>
                <w:sz w:val="17"/>
                <w:szCs w:val="17"/>
              </w:rPr>
              <w:t xml:space="preserve">, </w:t>
            </w:r>
            <w:r>
              <w:rPr>
                <w:rFonts w:ascii="Consolas" w:cs="Consolas" w:eastAsia="Consolas" w:hAnsi="Consolas"/>
                <w:sz w:val="15"/>
                <w:szCs w:val="15"/>
                <w:shd w:fill="EEF0F3" w:color="auto" w:val="clear"/>
              </w:rPr>
              <w:t xml:space="preserve">address</w:t>
            </w:r>
            <w:r>
              <w:rPr>
                <w:b w:val="false"/>
                <w:bCs w:val="false"/>
                <w:sz w:val="17"/>
                <w:szCs w:val="17"/>
              </w:rPr>
              <w:t xml:space="preserve">, </w:t>
            </w:r>
            <w:r>
              <w:rPr>
                <w:rFonts w:ascii="Consolas" w:cs="Consolas" w:eastAsia="Consolas" w:hAnsi="Consolas"/>
                <w:sz w:val="15"/>
                <w:szCs w:val="15"/>
                <w:shd w:fill="EEF0F3" w:color="auto" w:val="clear"/>
              </w:rPr>
              <w:t xml:space="preserve">x_coord</w:t>
            </w:r>
            <w:r>
              <w:rPr>
                <w:b w:val="false"/>
                <w:bCs w:val="false"/>
                <w:sz w:val="17"/>
                <w:szCs w:val="17"/>
              </w:rPr>
              <w:t xml:space="preserve">, </w:t>
            </w:r>
            <w:r>
              <w:rPr>
                <w:rFonts w:ascii="Consolas" w:cs="Consolas" w:eastAsia="Consolas" w:hAnsi="Consolas"/>
                <w:sz w:val="15"/>
                <w:szCs w:val="15"/>
                <w:shd w:fill="EEF0F3" w:color="auto" w:val="clear"/>
              </w:rPr>
              <w:t xml:space="preserve">y_coord</w:t>
            </w:r>
            <w:r>
              <w:rPr>
                <w:b w:val="false"/>
                <w:bCs w:val="false"/>
                <w:sz w:val="17"/>
                <w:szCs w:val="17"/>
              </w:rPr>
              <w:t xml:space="preserve">, </w:t>
            </w:r>
            <w:r>
              <w:rPr>
                <w:rFonts w:ascii="Consolas" w:cs="Consolas" w:eastAsia="Consolas" w:hAnsi="Consolas"/>
                <w:sz w:val="15"/>
                <w:szCs w:val="15"/>
                <w:shd w:fill="EEF0F3" w:color="auto" w:val="clear"/>
              </w:rPr>
              <w:t xml:space="preserve">car_park_type</w:t>
            </w:r>
            <w:r>
              <w:rPr>
                <w:b w:val="false"/>
                <w:bCs w:val="false"/>
                <w:sz w:val="17"/>
                <w:szCs w:val="17"/>
              </w:rPr>
              <w:t xml:space="preserve">, </w:t>
            </w:r>
            <w:r>
              <w:rPr>
                <w:rFonts w:ascii="Consolas" w:cs="Consolas" w:eastAsia="Consolas" w:hAnsi="Consolas"/>
                <w:sz w:val="15"/>
                <w:szCs w:val="15"/>
                <w:shd w:fill="EEF0F3" w:color="auto" w:val="clear"/>
              </w:rPr>
              <w:t xml:space="preserve">night_parking</w:t>
            </w:r>
            <w:r>
              <w:rPr>
                <w:b w:val="false"/>
                <w:bCs w:val="false"/>
                <w:sz w:val="17"/>
                <w:szCs w:val="17"/>
              </w:rPr>
              <w:t xml:space="preserve">, </w:t>
            </w:r>
            <w:r>
              <w:rPr>
                <w:rFonts w:ascii="Consolas" w:cs="Consolas" w:eastAsia="Consolas" w:hAnsi="Consolas"/>
                <w:sz w:val="15"/>
                <w:szCs w:val="15"/>
                <w:shd w:fill="EEF0F3" w:color="auto" w:val="clear"/>
              </w:rPr>
              <w:t xml:space="preserve">short_term_parking</w:t>
            </w:r>
            <w:r>
              <w:rPr>
                <w:b w:val="false"/>
                <w:bCs w:val="false"/>
                <w:sz w:val="17"/>
                <w:szCs w:val="17"/>
              </w:rPr>
              <w:t xml:space="preserve">, </w:t>
            </w:r>
            <w:r>
              <w:rPr>
                <w:rFonts w:ascii="Consolas" w:cs="Consolas" w:eastAsia="Consolas" w:hAnsi="Consolas"/>
                <w:sz w:val="15"/>
                <w:szCs w:val="15"/>
                <w:shd w:fill="EEF0F3" w:color="auto" w:val="clear"/>
              </w:rPr>
              <w:t xml:space="preserve">gantry_height</w:t>
            </w:r>
            <w:r>
              <w:rPr>
                <w:b w:val="false"/>
                <w:bCs w:val="false"/>
                <w:sz w:val="17"/>
                <w:szCs w:val="17"/>
              </w:rPr>
              <w:t xml:space="preserve">, </w:t>
            </w:r>
            <w:r>
              <w:rPr>
                <w:rFonts w:ascii="Consolas" w:cs="Consolas" w:eastAsia="Consolas" w:hAnsi="Consolas"/>
                <w:sz w:val="15"/>
                <w:szCs w:val="15"/>
                <w:shd w:fill="EEF0F3" w:color="auto" w:val="clear"/>
              </w:rPr>
              <w:t xml:space="preserve">car_park_basement</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Where each HDB carpark is and what kind it is. Feeds the eligibility and feasibility rules: multi-storey or surface, overnight parking (suits slow AC), gantry height, basement.</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Kept, 2 fields added</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5</w:t>
            </w:r>
          </w:p>
        </w:tc>
        <w:tc>
          <w:tcPr>
            <w:tcW w:type="dxa" w:w="2250"/>
            <w:tcMar>
              <w:top w:type="dxa" w:w="60"/>
              <w:left w:type="dxa" w:w="100"/>
              <w:bottom w:type="dxa" w:w="60"/>
              <w:right w:type="dxa" w:w="100"/>
            </w:tcMar>
          </w:tcPr>
          <w:p>
            <w:pPr>
              <w:spacing w:after="0" w:line="252"/>
              <w:jc w:val="left"/>
            </w:pPr>
            <w:hyperlink w:history="1" r:id="rIdsf9qtoseqiznmo0wiacx0">
              <w:r>
                <w:rPr>
                  <w:b w:val="false"/>
                  <w:bCs w:val="false"/>
                  <w:color w:val="0B5CAD"/>
                  <w:sz w:val="17"/>
                  <w:szCs w:val="17"/>
                  <w:u w:val="single"/>
                </w:rPr>
                <w:t xml:space="preserve">Capacity of URA Parking Places</w:t>
              </w:r>
            </w:hyperlink>
            <w:r>
              <w:rPr>
                <w:b w:val="false"/>
                <w:bCs w:val="false"/>
                <w:sz w:val="17"/>
                <w:szCs w:val="17"/>
              </w:rPr>
              <w:t xml:space="preserve"> · data.gov.sg file</w:t>
            </w:r>
          </w:p>
        </w:tc>
        <w:tc>
          <w:tcPr>
            <w:tcW w:type="dxa" w:w="27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PP_CODE</w:t>
            </w:r>
            <w:r>
              <w:rPr>
                <w:b w:val="false"/>
                <w:bCs w:val="false"/>
                <w:sz w:val="17"/>
                <w:szCs w:val="17"/>
              </w:rPr>
              <w:t xml:space="preserve">, </w:t>
            </w:r>
            <w:r>
              <w:rPr>
                <w:rFonts w:ascii="Consolas" w:cs="Consolas" w:eastAsia="Consolas" w:hAnsi="Consolas"/>
                <w:sz w:val="15"/>
                <w:szCs w:val="15"/>
                <w:shd w:fill="EEF0F3" w:color="auto" w:val="clear"/>
              </w:rPr>
              <w:t xml:space="preserve">PARKING_PL</w:t>
            </w:r>
            <w:r>
              <w:rPr>
                <w:b w:val="false"/>
                <w:bCs w:val="false"/>
                <w:sz w:val="17"/>
                <w:szCs w:val="17"/>
              </w:rPr>
              <w:t xml:space="preserve">, </w:t>
            </w:r>
            <w:r>
              <w:rPr>
                <w:rFonts w:ascii="Consolas" w:cs="Consolas" w:eastAsia="Consolas" w:hAnsi="Consolas"/>
                <w:sz w:val="15"/>
                <w:szCs w:val="15"/>
                <w:shd w:fill="EEF0F3" w:color="auto" w:val="clear"/>
              </w:rPr>
              <w:t xml:space="preserve">NO_CAR</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Total car lots in each URA carpark: the capacity limit and "% full" for URA sites.</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Kept; add to proposal references</w:t>
            </w:r>
          </w:p>
        </w:tc>
      </w:tr>
      <w:tr>
        <w:trPr>
          <w:cantSplit/>
        </w:trPr>
        <w:tc>
          <w:tcPr>
            <w:tcW w:type="dxa" w:w="9746"/>
            <w:gridSpan w:val="5"/>
            <w:shd w:fill="E4ECF7" w:color="auto" w:val="clear"/>
            <w:tcMar>
              <w:top w:type="dxa" w:w="50"/>
              <w:left w:type="dxa" w:w="100"/>
              <w:bottom w:type="dxa" w:w="50"/>
              <w:right w:type="dxa" w:w="100"/>
            </w:tcMar>
          </w:tcPr>
          <w:p>
            <w:pPr>
              <w:spacing w:after="0"/>
            </w:pPr>
            <w:r>
              <w:rPr>
                <w:b/>
                <w:bCs/>
                <w:sz w:val="17"/>
                <w:szCs w:val="17"/>
              </w:rPr>
              <w:t xml:space="preserve">C. Boundaries and land use</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6</w:t>
            </w:r>
          </w:p>
        </w:tc>
        <w:tc>
          <w:tcPr>
            <w:tcW w:type="dxa" w:w="2250"/>
            <w:tcMar>
              <w:top w:type="dxa" w:w="60"/>
              <w:left w:type="dxa" w:w="100"/>
              <w:bottom w:type="dxa" w:w="60"/>
              <w:right w:type="dxa" w:w="100"/>
            </w:tcMar>
          </w:tcPr>
          <w:p>
            <w:pPr>
              <w:spacing w:after="0" w:line="252"/>
              <w:jc w:val="left"/>
            </w:pPr>
            <w:hyperlink w:history="1" r:id="rIdr1eebc7e9f4vojozgljew">
              <w:r>
                <w:rPr>
                  <w:b w:val="false"/>
                  <w:bCs w:val="false"/>
                  <w:color w:val="0B5CAD"/>
                  <w:sz w:val="17"/>
                  <w:szCs w:val="17"/>
                  <w:u w:val="single"/>
                </w:rPr>
                <w:t xml:space="preserve">Master Plan 2025 Planning Area Boundary</w:t>
              </w:r>
            </w:hyperlink>
            <w:r>
              <w:rPr>
                <w:b w:val="false"/>
                <w:bCs w:val="false"/>
                <w:sz w:val="17"/>
                <w:szCs w:val="17"/>
              </w:rPr>
              <w:t xml:space="preserve"> · data.gov.sg (URA)</w:t>
            </w:r>
          </w:p>
        </w:tc>
        <w:tc>
          <w:tcPr>
            <w:tcW w:type="dxa" w:w="2700"/>
            <w:tcMar>
              <w:top w:type="dxa" w:w="60"/>
              <w:left w:type="dxa" w:w="100"/>
              <w:bottom w:type="dxa" w:w="60"/>
              <w:right w:type="dxa" w:w="100"/>
            </w:tcMar>
          </w:tcPr>
          <w:p>
            <w:pPr>
              <w:spacing w:after="0" w:line="252"/>
              <w:jc w:val="left"/>
            </w:pPr>
            <w:r>
              <w:rPr>
                <w:b w:val="false"/>
                <w:bCs w:val="false"/>
                <w:sz w:val="17"/>
                <w:szCs w:val="17"/>
              </w:rPr>
              <w:t xml:space="preserve">Planning area name, region, polygon*</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Assigns every site to one of the 55 planning areas: the unit for aggregation, coverage constraints and choosing the demo area.</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New; replaces MP2019 Subzone</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7</w:t>
            </w:r>
          </w:p>
        </w:tc>
        <w:tc>
          <w:tcPr>
            <w:tcW w:type="dxa" w:w="2250"/>
            <w:tcMar>
              <w:top w:type="dxa" w:w="60"/>
              <w:left w:type="dxa" w:w="100"/>
              <w:bottom w:type="dxa" w:w="60"/>
              <w:right w:type="dxa" w:w="100"/>
            </w:tcMar>
          </w:tcPr>
          <w:p>
            <w:pPr>
              <w:spacing w:after="0" w:line="252"/>
              <w:jc w:val="left"/>
            </w:pPr>
            <w:hyperlink w:history="1" r:id="rIdlurtwxhsrcpmwayuvqap3">
              <w:r>
                <w:rPr>
                  <w:b w:val="false"/>
                  <w:bCs w:val="false"/>
                  <w:color w:val="0B5CAD"/>
                  <w:sz w:val="17"/>
                  <w:szCs w:val="17"/>
                  <w:u w:val="single"/>
                </w:rPr>
                <w:t xml:space="preserve">Master Plan 2025 Land Use Layer</w:t>
              </w:r>
            </w:hyperlink>
            <w:r>
              <w:rPr>
                <w:b w:val="false"/>
                <w:bCs w:val="false"/>
                <w:sz w:val="17"/>
                <w:szCs w:val="17"/>
              </w:rPr>
              <w:t xml:space="preserve"> · data.gov.sg (URA)</w:t>
            </w:r>
          </w:p>
        </w:tc>
        <w:tc>
          <w:tcPr>
            <w:tcW w:type="dxa" w:w="2700"/>
            <w:tcMar>
              <w:top w:type="dxa" w:w="60"/>
              <w:left w:type="dxa" w:w="100"/>
              <w:bottom w:type="dxa" w:w="60"/>
              <w:right w:type="dxa" w:w="100"/>
            </w:tcMar>
          </w:tcPr>
          <w:p>
            <w:pPr>
              <w:spacing w:after="0" w:line="252"/>
              <w:jc w:val="left"/>
            </w:pPr>
            <w:r>
              <w:rPr>
                <w:b w:val="false"/>
                <w:bCs w:val="false"/>
                <w:sz w:val="17"/>
                <w:szCs w:val="17"/>
              </w:rPr>
              <w:t xml:space="preserve">Land-use type per plot, polygon*</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Tells the rules what kind of land a site sits on (residential, commercial, civic and so on), which decides eligibility and the likely length of stay.</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New</w:t>
            </w:r>
          </w:p>
        </w:tc>
      </w:tr>
      <w:tr>
        <w:trPr>
          <w:cantSplit/>
        </w:trPr>
        <w:tc>
          <w:tcPr>
            <w:tcW w:type="dxa" w:w="9746"/>
            <w:gridSpan w:val="5"/>
            <w:shd w:fill="E4ECF7" w:color="auto" w:val="clear"/>
            <w:tcMar>
              <w:top w:type="dxa" w:w="50"/>
              <w:left w:type="dxa" w:w="100"/>
              <w:bottom w:type="dxa" w:w="50"/>
              <w:right w:type="dxa" w:w="100"/>
            </w:tcMar>
          </w:tcPr>
          <w:p>
            <w:pPr>
              <w:spacing w:after="0"/>
            </w:pPr>
            <w:r>
              <w:rPr>
                <w:b/>
                <w:bCs/>
                <w:sz w:val="17"/>
                <w:szCs w:val="17"/>
              </w:rPr>
              <w:t xml:space="preserve">D. Candidate amenity sites</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8</w:t>
            </w:r>
          </w:p>
        </w:tc>
        <w:tc>
          <w:tcPr>
            <w:tcW w:type="dxa" w:w="2250"/>
            <w:tcMar>
              <w:top w:type="dxa" w:w="60"/>
              <w:left w:type="dxa" w:w="100"/>
              <w:bottom w:type="dxa" w:w="60"/>
              <w:right w:type="dxa" w:w="100"/>
            </w:tcMar>
          </w:tcPr>
          <w:p>
            <w:pPr>
              <w:spacing w:after="0" w:line="252"/>
              <w:jc w:val="left"/>
            </w:pPr>
            <w:hyperlink w:history="1" r:id="rIdz2qb_rehqsfkjpn2mt2tx">
              <w:r>
                <w:rPr>
                  <w:b w:val="false"/>
                  <w:bCs w:val="false"/>
                  <w:color w:val="0B5CAD"/>
                  <w:sz w:val="17"/>
                  <w:szCs w:val="17"/>
                  <w:u w:val="single"/>
                </w:rPr>
                <w:t xml:space="preserve">Hawker Centres</w:t>
              </w:r>
            </w:hyperlink>
            <w:r>
              <w:rPr>
                <w:b w:val="false"/>
                <w:bCs w:val="false"/>
                <w:sz w:val="17"/>
                <w:szCs w:val="17"/>
              </w:rPr>
              <w:t xml:space="preserve"> · data.gov.sg (NEA)</w:t>
            </w:r>
          </w:p>
        </w:tc>
        <w:tc>
          <w:tcPr>
            <w:tcW w:type="dxa" w:w="2700"/>
            <w:tcMar>
              <w:top w:type="dxa" w:w="60"/>
              <w:left w:type="dxa" w:w="100"/>
              <w:bottom w:type="dxa" w:w="60"/>
              <w:right w:type="dxa" w:w="100"/>
            </w:tcMar>
          </w:tcPr>
          <w:p>
            <w:pPr>
              <w:spacing w:after="0" w:line="252"/>
              <w:jc w:val="left"/>
            </w:pPr>
            <w:r>
              <w:rPr>
                <w:b w:val="false"/>
                <w:bCs w:val="false"/>
                <w:sz w:val="17"/>
                <w:szCs w:val="17"/>
              </w:rPr>
              <w:t xml:space="preserve">Name, address, coordinates*</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Candidate sites, and a demand signal: people stop here for a meal.</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New; replaces OneMap</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9</w:t>
            </w:r>
          </w:p>
        </w:tc>
        <w:tc>
          <w:tcPr>
            <w:tcW w:type="dxa" w:w="2250"/>
            <w:tcMar>
              <w:top w:type="dxa" w:w="60"/>
              <w:left w:type="dxa" w:w="100"/>
              <w:bottom w:type="dxa" w:w="60"/>
              <w:right w:type="dxa" w:w="100"/>
            </w:tcMar>
          </w:tcPr>
          <w:p>
            <w:pPr>
              <w:spacing w:after="0" w:line="252"/>
              <w:jc w:val="left"/>
            </w:pPr>
            <w:hyperlink w:history="1" r:id="rIdxnpz-teyewcntydedd_55">
              <w:r>
                <w:rPr>
                  <w:b w:val="false"/>
                  <w:bCs w:val="false"/>
                  <w:color w:val="0B5CAD"/>
                  <w:sz w:val="17"/>
                  <w:szCs w:val="17"/>
                  <w:u w:val="single"/>
                </w:rPr>
                <w:t xml:space="preserve">Community Club / PAssion WaVe Outlet</w:t>
              </w:r>
            </w:hyperlink>
            <w:r>
              <w:rPr>
                <w:b w:val="false"/>
                <w:bCs w:val="false"/>
                <w:sz w:val="17"/>
                <w:szCs w:val="17"/>
              </w:rPr>
              <w:t xml:space="preserve"> · data.gov.sg (PA), updated Aug 2026</w:t>
            </w:r>
          </w:p>
        </w:tc>
        <w:tc>
          <w:tcPr>
            <w:tcW w:type="dxa" w:w="27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NAME</w:t>
            </w:r>
            <w:r>
              <w:rPr>
                <w:b w:val="false"/>
                <w:bCs w:val="false"/>
                <w:sz w:val="17"/>
                <w:szCs w:val="17"/>
              </w:rPr>
              <w:t xml:space="preserve">, </w:t>
            </w:r>
            <w:r>
              <w:rPr>
                <w:rFonts w:ascii="Consolas" w:cs="Consolas" w:eastAsia="Consolas" w:hAnsi="Consolas"/>
                <w:sz w:val="15"/>
                <w:szCs w:val="15"/>
                <w:shd w:fill="EEF0F3" w:color="auto" w:val="clear"/>
              </w:rPr>
              <w:t xml:space="preserve">DESCRIPTION</w:t>
            </w:r>
            <w:r>
              <w:rPr>
                <w:b w:val="false"/>
                <w:bCs w:val="false"/>
                <w:sz w:val="17"/>
                <w:szCs w:val="17"/>
              </w:rPr>
              <w:t xml:space="preserve">, </w:t>
            </w:r>
            <w:r>
              <w:rPr>
                <w:rFonts w:ascii="Consolas" w:cs="Consolas" w:eastAsia="Consolas" w:hAnsi="Consolas"/>
                <w:sz w:val="15"/>
                <w:szCs w:val="15"/>
                <w:shd w:fill="EEF0F3" w:color="auto" w:val="clear"/>
              </w:rPr>
              <w:t xml:space="preserve">ADDRESSPOSTALCODE</w:t>
            </w:r>
            <w:r>
              <w:rPr>
                <w:b w:val="false"/>
                <w:bCs w:val="false"/>
                <w:sz w:val="17"/>
                <w:szCs w:val="17"/>
              </w:rPr>
              <w:t xml:space="preserve">, </w:t>
            </w:r>
            <w:r>
              <w:rPr>
                <w:rFonts w:ascii="Consolas" w:cs="Consolas" w:eastAsia="Consolas" w:hAnsi="Consolas"/>
                <w:sz w:val="15"/>
                <w:szCs w:val="15"/>
                <w:shd w:fill="EEF0F3" w:color="auto" w:val="clear"/>
              </w:rPr>
              <w:t xml:space="preserve">ADDRESSSTREETNAME</w:t>
            </w:r>
            <w:r>
              <w:rPr>
                <w:b w:val="false"/>
                <w:bCs w:val="false"/>
                <w:sz w:val="17"/>
                <w:szCs w:val="17"/>
              </w:rPr>
              <w:t xml:space="preserve">, point coordinates</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Community-facility candidates. The file also lists PAssion WaVe outlets, so filter on </w:t>
            </w:r>
            <w:r>
              <w:rPr>
                <w:rFonts w:ascii="Consolas" w:cs="Consolas" w:eastAsia="Consolas" w:hAnsi="Consolas"/>
                <w:sz w:val="15"/>
                <w:szCs w:val="15"/>
                <w:shd w:fill="EEF0F3" w:color="auto" w:val="clear"/>
              </w:rPr>
              <w:t xml:space="preserve">DESCRIPTION</w:t>
            </w:r>
            <w:r>
              <w:rPr>
                <w:b w:val="false"/>
                <w:bCs w:val="false"/>
                <w:sz w:val="17"/>
                <w:szCs w:val="17"/>
              </w:rPr>
              <w:t xml:space="preserve">.</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New; replaces OneMap</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10</w:t>
            </w:r>
          </w:p>
        </w:tc>
        <w:tc>
          <w:tcPr>
            <w:tcW w:type="dxa" w:w="2250"/>
            <w:tcMar>
              <w:top w:type="dxa" w:w="60"/>
              <w:left w:type="dxa" w:w="100"/>
              <w:bottom w:type="dxa" w:w="60"/>
              <w:right w:type="dxa" w:w="100"/>
            </w:tcMar>
          </w:tcPr>
          <w:p>
            <w:pPr>
              <w:spacing w:after="0" w:line="252"/>
              <w:jc w:val="left"/>
            </w:pPr>
            <w:hyperlink w:history="1" r:id="rIduodiq04cp3b1kx6ynocrq">
              <w:r>
                <w:rPr>
                  <w:b w:val="false"/>
                  <w:bCs w:val="false"/>
                  <w:color w:val="0B5CAD"/>
                  <w:sz w:val="17"/>
                  <w:szCs w:val="17"/>
                  <w:u w:val="single"/>
                </w:rPr>
                <w:t xml:space="preserve">Licensed premises for petroleum products</w:t>
              </w:r>
            </w:hyperlink>
            <w:r>
              <w:rPr>
                <w:b w:val="false"/>
                <w:bCs w:val="false"/>
                <w:sz w:val="17"/>
                <w:szCs w:val="17"/>
              </w:rPr>
              <w:t xml:space="preserve"> · data.gov.sg (Singapore Customs)</w:t>
            </w:r>
          </w:p>
        </w:tc>
        <w:tc>
          <w:tcPr>
            <w:tcW w:type="dxa" w:w="27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Name</w:t>
            </w:r>
            <w:r>
              <w:rPr>
                <w:b w:val="false"/>
                <w:bCs w:val="false"/>
                <w:sz w:val="17"/>
                <w:szCs w:val="17"/>
              </w:rPr>
              <w:t xml:space="preserve">, </w:t>
            </w:r>
            <w:r>
              <w:rPr>
                <w:rFonts w:ascii="Consolas" w:cs="Consolas" w:eastAsia="Consolas" w:hAnsi="Consolas"/>
                <w:sz w:val="15"/>
                <w:szCs w:val="15"/>
                <w:shd w:fill="EEF0F3" w:color="auto" w:val="clear"/>
              </w:rPr>
              <w:t xml:space="preserve">Description</w:t>
            </w:r>
            <w:r>
              <w:rPr>
                <w:b w:val="false"/>
                <w:bCs w:val="false"/>
                <w:sz w:val="17"/>
                <w:szCs w:val="17"/>
              </w:rPr>
              <w:t xml:space="preserve">, point coordinates</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Petrol-station candidates. It is a licence list, not a clean station list, so filter to service stations by name. If that is too noisy, drop petrol stations and say so.</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New; replaces OneMap</w:t>
            </w:r>
          </w:p>
        </w:tc>
      </w:tr>
      <w:tr>
        <w:trPr>
          <w:cantSplit/>
        </w:trPr>
        <w:tc>
          <w:tcPr>
            <w:tcW w:type="dxa" w:w="9746"/>
            <w:gridSpan w:val="5"/>
            <w:shd w:fill="E4ECF7" w:color="auto" w:val="clear"/>
            <w:tcMar>
              <w:top w:type="dxa" w:w="50"/>
              <w:left w:type="dxa" w:w="100"/>
              <w:bottom w:type="dxa" w:w="50"/>
              <w:right w:type="dxa" w:w="100"/>
            </w:tcMar>
          </w:tcPr>
          <w:p>
            <w:pPr>
              <w:spacing w:after="0"/>
            </w:pPr>
            <w:r>
              <w:rPr>
                <w:b/>
                <w:bCs/>
                <w:sz w:val="17"/>
                <w:szCs w:val="17"/>
              </w:rPr>
              <w:t xml:space="preserve">E. Context for estimating demand</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11</w:t>
            </w:r>
          </w:p>
        </w:tc>
        <w:tc>
          <w:tcPr>
            <w:tcW w:type="dxa" w:w="2250"/>
            <w:tcMar>
              <w:top w:type="dxa" w:w="60"/>
              <w:left w:type="dxa" w:w="100"/>
              <w:bottom w:type="dxa" w:w="60"/>
              <w:right w:type="dxa" w:w="100"/>
            </w:tcMar>
          </w:tcPr>
          <w:p>
            <w:pPr>
              <w:spacing w:after="0" w:line="252"/>
              <w:jc w:val="left"/>
            </w:pPr>
            <w:hyperlink w:history="1" r:id="rIdbieximwwxfpmq4gvdobdl">
              <w:r>
                <w:rPr>
                  <w:b w:val="false"/>
                  <w:bCs w:val="false"/>
                  <w:color w:val="0B5CAD"/>
                  <w:sz w:val="17"/>
                  <w:szCs w:val="17"/>
                  <w:u w:val="single"/>
                </w:rPr>
                <w:t xml:space="preserve">Resident population by planning area and type of dwelling</w:t>
              </w:r>
            </w:hyperlink>
            <w:r>
              <w:rPr>
                <w:b w:val="false"/>
                <w:bCs w:val="false"/>
                <w:sz w:val="17"/>
                <w:szCs w:val="17"/>
              </w:rPr>
              <w:t xml:space="preserve"> · SingStat, yearly</w:t>
            </w:r>
          </w:p>
        </w:tc>
        <w:tc>
          <w:tcPr>
            <w:tcW w:type="dxa" w:w="2700"/>
            <w:tcMar>
              <w:top w:type="dxa" w:w="60"/>
              <w:left w:type="dxa" w:w="100"/>
              <w:bottom w:type="dxa" w:w="60"/>
              <w:right w:type="dxa" w:w="100"/>
            </w:tcMar>
          </w:tcPr>
          <w:p>
            <w:pPr>
              <w:spacing w:after="0" w:line="252"/>
              <w:jc w:val="left"/>
            </w:pPr>
            <w:r>
              <w:rPr>
                <w:b w:val="false"/>
                <w:bCs w:val="false"/>
                <w:sz w:val="17"/>
                <w:szCs w:val="17"/>
              </w:rPr>
              <w:t xml:space="preserve">Planning area, dwelling type, residents</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Context for sites with no chargers (demand borrowed from comparable locations) and for coverage requirements.</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Kept; switched to planning-area table; add to references</w:t>
            </w:r>
          </w:p>
        </w:tc>
      </w:tr>
      <w:tr>
        <w:trPr>
          <w:cantSplit/>
        </w:trPr>
        <w:tc>
          <w:tcPr>
            <w:tcW w:type="dxa" w:w="9746"/>
            <w:gridSpan w:val="5"/>
            <w:shd w:fill="E4ECF7" w:color="auto" w:val="clear"/>
            <w:tcMar>
              <w:top w:type="dxa" w:w="50"/>
              <w:left w:type="dxa" w:w="100"/>
              <w:bottom w:type="dxa" w:w="50"/>
              <w:right w:type="dxa" w:w="100"/>
            </w:tcMar>
          </w:tcPr>
          <w:p>
            <w:pPr>
              <w:spacing w:after="0"/>
            </w:pPr>
            <w:r>
              <w:rPr>
                <w:b/>
                <w:bCs/>
                <w:sz w:val="17"/>
                <w:szCs w:val="17"/>
              </w:rPr>
              <w:t xml:space="preserve">F. Growth and calibration (feeds Stage 3 scenarios)</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12</w:t>
            </w:r>
          </w:p>
        </w:tc>
        <w:tc>
          <w:tcPr>
            <w:tcW w:type="dxa" w:w="2250"/>
            <w:tcMar>
              <w:top w:type="dxa" w:w="60"/>
              <w:left w:type="dxa" w:w="100"/>
              <w:bottom w:type="dxa" w:w="60"/>
              <w:right w:type="dxa" w:w="100"/>
            </w:tcMar>
          </w:tcPr>
          <w:p>
            <w:pPr>
              <w:spacing w:after="0" w:line="252"/>
              <w:jc w:val="left"/>
            </w:pPr>
            <w:hyperlink w:history="1" r:id="rIdbskipzxyojela7_jcwivi">
              <w:r>
                <w:rPr>
                  <w:b w:val="false"/>
                  <w:bCs w:val="false"/>
                  <w:color w:val="0B5CAD"/>
                  <w:sz w:val="17"/>
                  <w:szCs w:val="17"/>
                  <w:u w:val="single"/>
                </w:rPr>
                <w:t xml:space="preserve">New Registration of Cars by Make</w:t>
              </w:r>
            </w:hyperlink>
            <w:r>
              <w:rPr>
                <w:b w:val="false"/>
                <w:bCs w:val="false"/>
                <w:sz w:val="17"/>
                <w:szCs w:val="17"/>
              </w:rPr>
              <w:t xml:space="preserve"> · data.gov.sg, monthly</w:t>
            </w:r>
          </w:p>
        </w:tc>
        <w:tc>
          <w:tcPr>
            <w:tcW w:type="dxa" w:w="2700"/>
            <w:tcMar>
              <w:top w:type="dxa" w:w="60"/>
              <w:left w:type="dxa" w:w="100"/>
              <w:bottom w:type="dxa" w:w="60"/>
              <w:right w:type="dxa" w:w="100"/>
            </w:tcMar>
          </w:tcPr>
          <w:p>
            <w:pPr>
              <w:spacing w:after="0" w:line="252"/>
              <w:jc w:val="left"/>
            </w:pPr>
            <w:r>
              <w:rPr>
                <w:b w:val="false"/>
                <w:bCs w:val="false"/>
                <w:sz w:val="17"/>
                <w:szCs w:val="17"/>
              </w:rPr>
              <w:t xml:space="preserve">Month, Fuel Type, Number</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EV growth rate for the declared growth assumptions. The data.gov.sg copy ends at May 2025, so take later months from LTA DataMall's monthly vehicle statistics.</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Kept; add to references</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13</w:t>
            </w:r>
          </w:p>
        </w:tc>
        <w:tc>
          <w:tcPr>
            <w:tcW w:type="dxa" w:w="2250"/>
            <w:tcMar>
              <w:top w:type="dxa" w:w="60"/>
              <w:left w:type="dxa" w:w="100"/>
              <w:bottom w:type="dxa" w:w="60"/>
              <w:right w:type="dxa" w:w="100"/>
            </w:tcMar>
          </w:tcPr>
          <w:p>
            <w:pPr>
              <w:spacing w:after="0" w:line="252"/>
              <w:jc w:val="left"/>
            </w:pPr>
            <w:hyperlink w:history="1" r:id="rIdoeqr3deleisoflbn9ix-s">
              <w:r>
                <w:rPr>
                  <w:b w:val="false"/>
                  <w:bCs w:val="false"/>
                  <w:color w:val="0B5CAD"/>
                  <w:sz w:val="17"/>
                  <w:szCs w:val="17"/>
                  <w:u w:val="single"/>
                </w:rPr>
                <w:t xml:space="preserve">EV and Charging Points Dashboard</w:t>
              </w:r>
            </w:hyperlink>
            <w:r>
              <w:rPr>
                <w:b w:val="false"/>
                <w:bCs w:val="false"/>
                <w:sz w:val="17"/>
                <w:szCs w:val="17"/>
              </w:rPr>
              <w:t xml:space="preserve"> · LTA PDF, monthly</w:t>
            </w:r>
          </w:p>
        </w:tc>
        <w:tc>
          <w:tcPr>
            <w:tcW w:type="dxa" w:w="2700"/>
            <w:tcMar>
              <w:top w:type="dxa" w:w="60"/>
              <w:left w:type="dxa" w:w="100"/>
              <w:bottom w:type="dxa" w:w="60"/>
              <w:right w:type="dxa" w:w="100"/>
            </w:tcMar>
          </w:tcPr>
          <w:p>
            <w:pPr>
              <w:spacing w:after="0" w:line="252"/>
              <w:jc w:val="left"/>
            </w:pPr>
            <w:r>
              <w:rPr>
                <w:b w:val="false"/>
                <w:bCs w:val="false"/>
                <w:sz w:val="17"/>
                <w:szCs w:val="17"/>
              </w:rPr>
              <w:t xml:space="preserve">Total EVs, public and private charger counts (copied by hand)</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National totals that calibrate the scenarios and size the remaining gap to 40,000.</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Kept; add to references</w:t>
            </w:r>
          </w:p>
        </w:tc>
      </w:tr>
      <w:tr>
        <w:trPr>
          <w:cantSplit/>
        </w:trPr>
        <w:tc>
          <w:tcPr>
            <w:tcW w:type="dxa" w:w="9746"/>
            <w:gridSpan w:val="5"/>
            <w:shd w:fill="E4ECF7" w:color="auto" w:val="clear"/>
            <w:tcMar>
              <w:top w:type="dxa" w:w="50"/>
              <w:left w:type="dxa" w:w="100"/>
              <w:bottom w:type="dxa" w:w="50"/>
              <w:right w:type="dxa" w:w="100"/>
            </w:tcMar>
          </w:tcPr>
          <w:p>
            <w:pPr>
              <w:spacing w:after="0"/>
            </w:pPr>
            <w:r>
              <w:rPr>
                <w:b/>
                <w:bCs/>
                <w:sz w:val="17"/>
                <w:szCs w:val="17"/>
              </w:rPr>
              <w:t xml:space="preserve">G. Optional and assumed inputs</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14</w:t>
            </w:r>
          </w:p>
        </w:tc>
        <w:tc>
          <w:tcPr>
            <w:tcW w:type="dxa" w:w="2250"/>
            <w:tcMar>
              <w:top w:type="dxa" w:w="60"/>
              <w:left w:type="dxa" w:w="100"/>
              <w:bottom w:type="dxa" w:w="60"/>
              <w:right w:type="dxa" w:w="100"/>
            </w:tcMar>
          </w:tcPr>
          <w:p>
            <w:pPr>
              <w:spacing w:after="0" w:line="252"/>
              <w:jc w:val="left"/>
            </w:pPr>
            <w:hyperlink w:history="1" r:id="rIdl0cfdputsgng5zgfirex6">
              <w:r>
                <w:rPr>
                  <w:b w:val="false"/>
                  <w:bCs w:val="false"/>
                  <w:color w:val="0B5CAD"/>
                  <w:sz w:val="17"/>
                  <w:szCs w:val="17"/>
                  <w:u w:val="single"/>
                </w:rPr>
                <w:t xml:space="preserve">EV Charging Points (CSV)</w:t>
              </w:r>
            </w:hyperlink>
            <w:r>
              <w:rPr>
                <w:b w:val="false"/>
                <w:bCs w:val="false"/>
                <w:sz w:val="17"/>
                <w:szCs w:val="17"/>
              </w:rPr>
              <w:t xml:space="preserve"> · LTA file, quarterly</w:t>
            </w:r>
          </w:p>
        </w:tc>
        <w:tc>
          <w:tcPr>
            <w:tcW w:type="dxa" w:w="2700"/>
            <w:tcMar>
              <w:top w:type="dxa" w:w="60"/>
              <w:left w:type="dxa" w:w="100"/>
              <w:bottom w:type="dxa" w:w="60"/>
              <w:right w:type="dxa" w:w="100"/>
            </w:tcMar>
          </w:tcPr>
          <w:p>
            <w:pPr>
              <w:spacing w:after="0" w:line="252"/>
              <w:jc w:val="left"/>
            </w:pPr>
            <w:r>
              <w:rPr>
                <w:b w:val="false"/>
                <w:bCs w:val="false"/>
                <w:sz w:val="17"/>
                <w:szCs w:val="17"/>
              </w:rPr>
              <w:t xml:space="preserve">Not checked yet: open the file and note the headers</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Cross-check of charger counts. Older quarterly copies, if available, allow a back-test (section 7).</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Now optional</w:t>
            </w:r>
          </w:p>
        </w:tc>
      </w:tr>
      <w:tr>
        <w:trPr>
          <w:cantSplit/>
        </w:trPr>
        <w:tc>
          <w:tcPr>
            <w:tcW w:type="dxa" w:w="420"/>
            <w:tcMar>
              <w:top w:type="dxa" w:w="60"/>
              <w:left w:type="dxa" w:w="100"/>
              <w:bottom w:type="dxa" w:w="60"/>
              <w:right w:type="dxa" w:w="100"/>
            </w:tcMar>
          </w:tcPr>
          <w:p>
            <w:pPr>
              <w:spacing w:after="0" w:line="252"/>
              <w:jc w:val="left"/>
            </w:pPr>
            <w:r>
              <w:rPr>
                <w:b w:val="false"/>
                <w:bCs w:val="false"/>
                <w:sz w:val="17"/>
                <w:szCs w:val="17"/>
              </w:rPr>
              <w:t xml:space="preserve">—</w:t>
            </w:r>
          </w:p>
        </w:tc>
        <w:tc>
          <w:tcPr>
            <w:tcW w:type="dxa" w:w="2250"/>
            <w:tcMar>
              <w:top w:type="dxa" w:w="60"/>
              <w:left w:type="dxa" w:w="100"/>
              <w:bottom w:type="dxa" w:w="60"/>
              <w:right w:type="dxa" w:w="100"/>
            </w:tcMar>
          </w:tcPr>
          <w:p>
            <w:pPr>
              <w:spacing w:after="0" w:line="252"/>
              <w:jc w:val="left"/>
            </w:pPr>
            <w:r>
              <w:rPr>
                <w:b w:val="false"/>
                <w:bCs w:val="false"/>
                <w:sz w:val="17"/>
                <w:szCs w:val="17"/>
              </w:rPr>
              <w:t xml:space="preserve">Cost per charging point (AC and DC) and budget · no public dataset</w:t>
            </w:r>
          </w:p>
        </w:tc>
        <w:tc>
          <w:tcPr>
            <w:tcW w:type="dxa" w:w="2700"/>
            <w:tcMar>
              <w:top w:type="dxa" w:w="60"/>
              <w:left w:type="dxa" w:w="100"/>
              <w:bottom w:type="dxa" w:w="60"/>
              <w:right w:type="dxa" w:w="100"/>
            </w:tcMar>
          </w:tcPr>
          <w:p>
            <w:pPr>
              <w:spacing w:after="0" w:line="252"/>
              <w:jc w:val="left"/>
            </w:pPr>
            <w:r>
              <w:rPr>
                <w:b w:val="false"/>
                <w:bCs w:val="false"/>
                <w:sz w:val="17"/>
                <w:szCs w:val="17"/>
              </w:rPr>
              <w:t xml:space="preserve">Declared values with a cited source</w:t>
            </w:r>
          </w:p>
        </w:tc>
        <w:tc>
          <w:tcPr>
            <w:tcW w:type="dxa" w:w="3176"/>
            <w:tcMar>
              <w:top w:type="dxa" w:w="60"/>
              <w:left w:type="dxa" w:w="100"/>
              <w:bottom w:type="dxa" w:w="60"/>
              <w:right w:type="dxa" w:w="100"/>
            </w:tcMar>
          </w:tcPr>
          <w:p>
            <w:pPr>
              <w:spacing w:after="0" w:line="252"/>
              <w:jc w:val="left"/>
            </w:pPr>
            <w:r>
              <w:rPr>
                <w:b w:val="false"/>
                <w:bCs w:val="false"/>
                <w:sz w:val="17"/>
                <w:szCs w:val="17"/>
              </w:rPr>
              <w:t xml:space="preserve">Needed for the optimiser's budget constraint. Varied in sensitivity tests.</w:t>
            </w:r>
          </w:p>
        </w:tc>
        <w:tc>
          <w:tcPr>
            <w:tcW w:type="dxa" w:w="1200"/>
            <w:tcMar>
              <w:top w:type="dxa" w:w="60"/>
              <w:left w:type="dxa" w:w="100"/>
              <w:bottom w:type="dxa" w:w="60"/>
              <w:right w:type="dxa" w:w="100"/>
            </w:tcMar>
          </w:tcPr>
          <w:p>
            <w:pPr>
              <w:spacing w:after="0" w:line="252"/>
              <w:jc w:val="left"/>
            </w:pPr>
            <w:r>
              <w:rPr>
                <w:b w:val="false"/>
                <w:bCs w:val="false"/>
                <w:sz w:val="17"/>
                <w:szCs w:val="17"/>
              </w:rPr>
              <w:t xml:space="preserve">New (assumption)</w:t>
            </w:r>
          </w:p>
        </w:tc>
      </w:tr>
    </w:tbl>
    <w:p>
      <w:pPr>
        <w:spacing w:after="60"/>
      </w:pPr>
    </w:p>
    <w:p>
      <w:pPr>
        <w:pStyle w:val="Heading2"/>
      </w:pPr>
      <w:r>
        <w:t xml:space="preserve">3. Which stage uses which dataset</w:t>
      </w:r>
    </w:p>
    <w:p>
      <w:pPr>
        <w:keepNext/>
        <w:spacing w:after="140" w:line="276"/>
      </w:pPr>
      <w:r>
        <w:rPr>
          <w:b w:val="false"/>
          <w:bCs w:val="false"/>
          <w:sz w:val="21"/>
          <w:szCs w:val="21"/>
        </w:rPr>
        <w:t xml:space="preserve">Read across a row to see where a dataset is used. S1 = data foundation, S2 = measurement and inference, S3 = scenario generation, S4 = reasoning and optimisation. Stage 5 (explanation and interface) uses all of them: the knowledge graph links every site to the records behind it.</w:t>
      </w:r>
    </w:p>
    <w:tbl>
      <w:tblPr>
        <w:tblW w:type="dxa" w:w="9746"/>
        <w:tblBorders>
          <w:top w:val="single" w:color="C9CED6" w:sz="4"/>
          <w:left w:val="single" w:color="C9CED6" w:sz="4"/>
          <w:bottom w:val="single" w:color="C9CED6" w:sz="4"/>
          <w:right w:val="single" w:color="C9CED6" w:sz="4"/>
          <w:insideH w:val="single" w:color="C9CED6" w:sz="4"/>
          <w:insideV w:val="single" w:color="C9CED6" w:sz="4"/>
        </w:tblBorders>
      </w:tblPr>
      <w:tblGrid>
        <w:gridCol w:w="2700"/>
        <w:gridCol w:w="860"/>
        <w:gridCol w:w="860"/>
        <w:gridCol w:w="860"/>
        <w:gridCol w:w="860"/>
        <w:gridCol w:w="3606"/>
      </w:tblGrid>
      <w:tr>
        <w:trPr>
          <w:cantSplit/>
          <w:tblHeader/>
        </w:trPr>
        <w:tc>
          <w:tcPr>
            <w:tcW w:type="dxa" w:w="2700"/>
            <w:shd w:fill="F2F4F7" w:color="auto" w:val="clear"/>
            <w:tcMar>
              <w:top w:type="dxa" w:w="60"/>
              <w:left w:type="dxa" w:w="100"/>
              <w:bottom w:type="dxa" w:w="60"/>
              <w:right w:type="dxa" w:w="100"/>
            </w:tcMar>
          </w:tcPr>
          <w:p>
            <w:pPr>
              <w:spacing w:after="0" w:line="252"/>
              <w:jc w:val="left"/>
            </w:pPr>
            <w:r>
              <w:rPr>
                <w:b/>
                <w:bCs/>
                <w:sz w:val="17"/>
                <w:szCs w:val="17"/>
              </w:rPr>
              <w:t xml:space="preserve">Dataset</w:t>
            </w:r>
          </w:p>
        </w:tc>
        <w:tc>
          <w:tcPr>
            <w:tcW w:type="dxa" w:w="860"/>
            <w:shd w:fill="F2F4F7" w:color="auto" w:val="clear"/>
            <w:tcMar>
              <w:top w:type="dxa" w:w="60"/>
              <w:left w:type="dxa" w:w="100"/>
              <w:bottom w:type="dxa" w:w="60"/>
              <w:right w:type="dxa" w:w="100"/>
            </w:tcMar>
          </w:tcPr>
          <w:p>
            <w:pPr>
              <w:spacing w:after="0" w:line="252"/>
              <w:jc w:val="left"/>
            </w:pPr>
            <w:r>
              <w:rPr>
                <w:b/>
                <w:bCs/>
                <w:sz w:val="17"/>
                <w:szCs w:val="17"/>
              </w:rPr>
              <w:t xml:space="preserve">S1</w:t>
            </w:r>
          </w:p>
        </w:tc>
        <w:tc>
          <w:tcPr>
            <w:tcW w:type="dxa" w:w="860"/>
            <w:shd w:fill="F2F4F7" w:color="auto" w:val="clear"/>
            <w:tcMar>
              <w:top w:type="dxa" w:w="60"/>
              <w:left w:type="dxa" w:w="100"/>
              <w:bottom w:type="dxa" w:w="60"/>
              <w:right w:type="dxa" w:w="100"/>
            </w:tcMar>
          </w:tcPr>
          <w:p>
            <w:pPr>
              <w:spacing w:after="0" w:line="252"/>
              <w:jc w:val="left"/>
            </w:pPr>
            <w:r>
              <w:rPr>
                <w:b/>
                <w:bCs/>
                <w:sz w:val="17"/>
                <w:szCs w:val="17"/>
              </w:rPr>
              <w:t xml:space="preserve">S2</w:t>
            </w:r>
          </w:p>
        </w:tc>
        <w:tc>
          <w:tcPr>
            <w:tcW w:type="dxa" w:w="860"/>
            <w:shd w:fill="F2F4F7" w:color="auto" w:val="clear"/>
            <w:tcMar>
              <w:top w:type="dxa" w:w="60"/>
              <w:left w:type="dxa" w:w="100"/>
              <w:bottom w:type="dxa" w:w="60"/>
              <w:right w:type="dxa" w:w="100"/>
            </w:tcMar>
          </w:tcPr>
          <w:p>
            <w:pPr>
              <w:spacing w:after="0" w:line="252"/>
              <w:jc w:val="left"/>
            </w:pPr>
            <w:r>
              <w:rPr>
                <w:b/>
                <w:bCs/>
                <w:sz w:val="17"/>
                <w:szCs w:val="17"/>
              </w:rPr>
              <w:t xml:space="preserve">S3</w:t>
            </w:r>
          </w:p>
        </w:tc>
        <w:tc>
          <w:tcPr>
            <w:tcW w:type="dxa" w:w="860"/>
            <w:shd w:fill="F2F4F7" w:color="auto" w:val="clear"/>
            <w:tcMar>
              <w:top w:type="dxa" w:w="60"/>
              <w:left w:type="dxa" w:w="100"/>
              <w:bottom w:type="dxa" w:w="60"/>
              <w:right w:type="dxa" w:w="100"/>
            </w:tcMar>
          </w:tcPr>
          <w:p>
            <w:pPr>
              <w:spacing w:after="0" w:line="252"/>
              <w:jc w:val="left"/>
            </w:pPr>
            <w:r>
              <w:rPr>
                <w:b/>
                <w:bCs/>
                <w:sz w:val="17"/>
                <w:szCs w:val="17"/>
              </w:rPr>
              <w:t xml:space="preserve">S4</w:t>
            </w:r>
          </w:p>
        </w:tc>
        <w:tc>
          <w:tcPr>
            <w:tcW w:type="dxa" w:w="3606"/>
            <w:shd w:fill="F2F4F7" w:color="auto" w:val="clear"/>
            <w:tcMar>
              <w:top w:type="dxa" w:w="60"/>
              <w:left w:type="dxa" w:w="100"/>
              <w:bottom w:type="dxa" w:w="60"/>
              <w:right w:type="dxa" w:w="100"/>
            </w:tcMar>
          </w:tcPr>
          <w:p>
            <w:pPr>
              <w:spacing w:after="0" w:line="252"/>
              <w:jc w:val="left"/>
            </w:pPr>
            <w:r>
              <w:rPr>
                <w:b/>
                <w:bCs/>
                <w:sz w:val="17"/>
                <w:szCs w:val="17"/>
              </w:rPr>
              <w:t xml:space="preserve">Main use</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1 EV Charging Points Batch</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Existing supply, utilisation, saturation, room to grow</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2 LTA Carpark Availability</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Parking pressure; mall carpark candidates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3 HDB Carpark Availability</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Parking pressure; site capacity (total lots)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4 HDB Carpark Information</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Site characteristics for eligibility rules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5 URA Parking Capacity</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Site capacity for URA carparks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6 MP2025 Planning Areas</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Aggregation unit; coverage constraints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7 MP2025 Land Use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Eligibility; expected length of stay</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8 Hawker Centres</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Candidates; context for demand estimates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9 Community Clubs</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Candidates; context for demand estimates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10 Petroleum premises</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Petrol-station candidates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11 Residents by planning area</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Demand at sites with no chargers; coverage</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12 Car registrations</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Growth rate for scenarios</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13 EV Dashboard</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Calibration; size of the gap to 40,000</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14 Charger CSV (optional)</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Cross-check; back-test</w:t>
            </w:r>
          </w:p>
        </w:tc>
      </w:tr>
      <w:tr>
        <w:trPr>
          <w:cantSplit/>
        </w:trPr>
        <w:tc>
          <w:tcPr>
            <w:tcW w:type="dxa" w:w="2700"/>
            <w:tcMar>
              <w:top w:type="dxa" w:w="60"/>
              <w:left w:type="dxa" w:w="100"/>
              <w:bottom w:type="dxa" w:w="60"/>
              <w:right w:type="dxa" w:w="100"/>
            </w:tcMar>
          </w:tcPr>
          <w:p>
            <w:pPr>
              <w:spacing w:after="0" w:line="252"/>
              <w:jc w:val="left"/>
            </w:pPr>
            <w:r>
              <w:rPr>
                <w:b w:val="false"/>
                <w:bCs w:val="false"/>
                <w:sz w:val="17"/>
                <w:szCs w:val="17"/>
              </w:rPr>
              <w:t xml:space="preserve">Cost assumption</w:t>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
            </w:r>
          </w:p>
        </w:tc>
        <w:tc>
          <w:tcPr>
            <w:tcW w:type="dxa" w:w="860"/>
            <w:tcMar>
              <w:top w:type="dxa" w:w="60"/>
              <w:left w:type="dxa" w:w="100"/>
              <w:bottom w:type="dxa" w:w="60"/>
              <w:right w:type="dxa" w:w="100"/>
            </w:tcMar>
          </w:tcPr>
          <w:p>
            <w:pPr>
              <w:spacing w:after="0" w:line="252"/>
              <w:jc w:val="center"/>
            </w:pPr>
            <w:r>
              <w:rPr>
                <w:b w:val="false"/>
                <w:bCs w:val="false"/>
                <w:sz w:val="17"/>
                <w:szCs w:val="17"/>
              </w:rPr>
              <w:t xml:space="preserve">●</w:t>
            </w:r>
          </w:p>
        </w:tc>
        <w:tc>
          <w:tcPr>
            <w:tcW w:type="dxa" w:w="3606"/>
            <w:tcMar>
              <w:top w:type="dxa" w:w="60"/>
              <w:left w:type="dxa" w:w="100"/>
              <w:bottom w:type="dxa" w:w="60"/>
              <w:right w:type="dxa" w:w="100"/>
            </w:tcMar>
          </w:tcPr>
          <w:p>
            <w:pPr>
              <w:spacing w:after="0" w:line="252"/>
              <w:jc w:val="left"/>
            </w:pPr>
            <w:r>
              <w:rPr>
                <w:b w:val="false"/>
                <w:bCs w:val="false"/>
                <w:sz w:val="17"/>
                <w:szCs w:val="17"/>
              </w:rPr>
              <w:t xml:space="preserve">Budget constraint</w:t>
            </w:r>
          </w:p>
        </w:tc>
      </w:tr>
    </w:tbl>
    <w:p>
      <w:pPr>
        <w:spacing w:after="60"/>
      </w:pPr>
    </w:p>
    <w:p>
      <w:pPr>
        <w:pStyle w:val="Heading2"/>
      </w:pPr>
      <w:r>
        <w:t xml:space="preserve">4. How the datasets connect</w:t>
      </w:r>
    </w:p>
    <w:p>
      <w:pPr>
        <w:spacing w:after="140" w:line="276"/>
      </w:pPr>
      <w:r>
        <w:rPr>
          <w:b w:val="false"/>
          <w:bCs w:val="false"/>
          <w:sz w:val="21"/>
          <w:szCs w:val="21"/>
        </w:rPr>
        <w:t xml:space="preserve">All sources end up in </w:t>
      </w:r>
      <w:r>
        <w:rPr>
          <w:b/>
          <w:bCs/>
          <w:sz w:val="21"/>
          <w:szCs w:val="21"/>
        </w:rPr>
        <w:t xml:space="preserve">one candidate site table</w:t>
      </w:r>
      <w:r>
        <w:rPr>
          <w:b w:val="false"/>
          <w:bCs w:val="false"/>
          <w:sz w:val="21"/>
          <w:szCs w:val="21"/>
        </w:rPr>
        <w:t xml:space="preserve">, with every site tagged to a planning area. Only the HDB datasets share an ID; everything else is matched by location. The proposal asks us to report match coverage rather than assume it, so each step says what to report.</w:t>
      </w:r>
    </w:p>
    <w:tbl>
      <w:tblPr>
        <w:tblW w:type="dxa" w:w="9746"/>
        <w:tblBorders>
          <w:top w:val="single" w:color="C9CED6" w:sz="4"/>
          <w:left w:val="single" w:color="C9CED6" w:sz="4"/>
          <w:bottom w:val="single" w:color="C9CED6" w:sz="4"/>
          <w:right w:val="single" w:color="C9CED6" w:sz="4"/>
          <w:insideH w:val="single" w:color="C9CED6" w:sz="4"/>
          <w:insideV w:val="single" w:color="C9CED6" w:sz="4"/>
        </w:tblBorders>
      </w:tblPr>
      <w:tblGrid>
        <w:gridCol w:w="2200"/>
        <w:gridCol w:w="2600"/>
        <w:gridCol w:w="3046"/>
        <w:gridCol w:w="1900"/>
      </w:tblGrid>
      <w:tr>
        <w:trPr>
          <w:cantSplit/>
          <w:tblHeader/>
        </w:trPr>
        <w:tc>
          <w:tcPr>
            <w:tcW w:type="dxa" w:w="2200"/>
            <w:shd w:fill="F2F4F7" w:color="auto" w:val="clear"/>
            <w:tcMar>
              <w:top w:type="dxa" w:w="60"/>
              <w:left w:type="dxa" w:w="100"/>
              <w:bottom w:type="dxa" w:w="60"/>
              <w:right w:type="dxa" w:w="100"/>
            </w:tcMar>
          </w:tcPr>
          <w:p>
            <w:pPr>
              <w:spacing w:after="0" w:line="252"/>
              <w:jc w:val="left"/>
            </w:pPr>
            <w:r>
              <w:rPr>
                <w:b/>
                <w:bCs/>
                <w:sz w:val="17"/>
                <w:szCs w:val="17"/>
              </w:rPr>
              <w:t xml:space="preserve">Step · what we link</w:t>
            </w:r>
          </w:p>
        </w:tc>
        <w:tc>
          <w:tcPr>
            <w:tcW w:type="dxa" w:w="2600"/>
            <w:shd w:fill="F2F4F7" w:color="auto" w:val="clear"/>
            <w:tcMar>
              <w:top w:type="dxa" w:w="60"/>
              <w:left w:type="dxa" w:w="100"/>
              <w:bottom w:type="dxa" w:w="60"/>
              <w:right w:type="dxa" w:w="100"/>
            </w:tcMar>
          </w:tcPr>
          <w:p>
            <w:pPr>
              <w:spacing w:after="0" w:line="252"/>
              <w:jc w:val="left"/>
            </w:pPr>
            <w:r>
              <w:rPr>
                <w:b/>
                <w:bCs/>
                <w:sz w:val="17"/>
                <w:szCs w:val="17"/>
              </w:rPr>
              <w:t xml:space="preserve">How we match</w:t>
            </w:r>
          </w:p>
        </w:tc>
        <w:tc>
          <w:tcPr>
            <w:tcW w:type="dxa" w:w="3046"/>
            <w:shd w:fill="F2F4F7" w:color="auto" w:val="clear"/>
            <w:tcMar>
              <w:top w:type="dxa" w:w="60"/>
              <w:left w:type="dxa" w:w="100"/>
              <w:bottom w:type="dxa" w:w="60"/>
              <w:right w:type="dxa" w:w="100"/>
            </w:tcMar>
          </w:tcPr>
          <w:p>
            <w:pPr>
              <w:spacing w:after="0" w:line="252"/>
              <w:jc w:val="left"/>
            </w:pPr>
            <w:r>
              <w:rPr>
                <w:b/>
                <w:bCs/>
                <w:sz w:val="17"/>
                <w:szCs w:val="17"/>
              </w:rPr>
              <w:t xml:space="preserve">Rule and watch-outs</w:t>
            </w:r>
          </w:p>
        </w:tc>
        <w:tc>
          <w:tcPr>
            <w:tcW w:type="dxa" w:w="1900"/>
            <w:shd w:fill="F2F4F7" w:color="auto" w:val="clear"/>
            <w:tcMar>
              <w:top w:type="dxa" w:w="60"/>
              <w:left w:type="dxa" w:w="100"/>
              <w:bottom w:type="dxa" w:w="60"/>
              <w:right w:type="dxa" w:w="100"/>
            </w:tcMar>
          </w:tcPr>
          <w:p>
            <w:pPr>
              <w:spacing w:after="0" w:line="252"/>
              <w:jc w:val="left"/>
            </w:pPr>
            <w:r>
              <w:rPr>
                <w:b/>
                <w:bCs/>
                <w:sz w:val="17"/>
                <w:szCs w:val="17"/>
              </w:rPr>
              <w:t xml:space="preserve">Report</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1 · All coordinates into one system</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Convert SVY21 (</w:t>
            </w:r>
            <w:r>
              <w:rPr>
                <w:rFonts w:ascii="Consolas" w:cs="Consolas" w:eastAsia="Consolas" w:hAnsi="Consolas"/>
                <w:sz w:val="15"/>
                <w:szCs w:val="15"/>
                <w:shd w:fill="EEF0F3" w:color="auto" w:val="clear"/>
              </w:rPr>
              <w:t xml:space="preserve">x_coord</w:t>
            </w:r>
            <w:r>
              <w:rPr>
                <w:b w:val="false"/>
                <w:bCs w:val="false"/>
                <w:sz w:val="17"/>
                <w:szCs w:val="17"/>
              </w:rPr>
              <w:t xml:space="preserve">/</w:t>
            </w:r>
            <w:r>
              <w:rPr>
                <w:rFonts w:ascii="Consolas" w:cs="Consolas" w:eastAsia="Consolas" w:hAnsi="Consolas"/>
                <w:sz w:val="15"/>
                <w:szCs w:val="15"/>
                <w:shd w:fill="EEF0F3" w:color="auto" w:val="clear"/>
              </w:rPr>
              <w:t xml:space="preserve">y_coord</w:t>
            </w:r>
            <w:r>
              <w:rPr>
                <w:b w:val="false"/>
                <w:bCs w:val="false"/>
                <w:sz w:val="17"/>
                <w:szCs w:val="17"/>
              </w:rPr>
              <w:t xml:space="preserve">) to lat/long with pyproj, EPSG:3414 to EPSG:4326</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Check each file's coordinate system. Split the LTA </w:t>
            </w:r>
            <w:r>
              <w:rPr>
                <w:rFonts w:ascii="Consolas" w:cs="Consolas" w:eastAsia="Consolas" w:hAnsi="Consolas"/>
                <w:sz w:val="15"/>
                <w:szCs w:val="15"/>
                <w:shd w:fill="EEF0F3" w:color="auto" w:val="clear"/>
              </w:rPr>
              <w:t xml:space="preserve">Location</w:t>
            </w:r>
            <w:r>
              <w:rPr>
                <w:b w:val="false"/>
                <w:bCs w:val="false"/>
                <w:sz w:val="17"/>
                <w:szCs w:val="17"/>
              </w:rPr>
              <w:t xml:space="preserve"> text into two numbers.</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 of records with valid coordinates</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2 · HDB availability ↔ HDB carpark info</w:t>
            </w:r>
          </w:p>
        </w:tc>
        <w:tc>
          <w:tcPr>
            <w:tcW w:type="dxa" w:w="26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carpark_number</w:t>
            </w:r>
            <w:r>
              <w:rPr>
                <w:b w:val="false"/>
                <w:bCs w:val="false"/>
                <w:sz w:val="17"/>
                <w:szCs w:val="17"/>
              </w:rPr>
              <w:t xml:space="preserve"> = </w:t>
            </w:r>
            <w:r>
              <w:rPr>
                <w:rFonts w:ascii="Consolas" w:cs="Consolas" w:eastAsia="Consolas" w:hAnsi="Consolas"/>
                <w:sz w:val="15"/>
                <w:szCs w:val="15"/>
                <w:shd w:fill="EEF0F3" w:color="auto" w:val="clear"/>
              </w:rPr>
              <w:t xml:space="preserve">car_park_no</w:t>
            </w:r>
            <w:r>
              <w:rPr>
                <w:b w:val="false"/>
                <w:bCs w:val="false"/>
                <w:sz w:val="17"/>
                <w:szCs w:val="17"/>
              </w:rPr>
              <w:t xml:space="preserve"> (same codes, e.g. HE12)</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Exact match.</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 of HDB carparks matched</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3 · LTA feed (URA rows) ↔ URA capacity</w:t>
            </w:r>
          </w:p>
        </w:tc>
        <w:tc>
          <w:tcPr>
            <w:tcW w:type="dxa" w:w="26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CarParkID</w:t>
            </w:r>
            <w:r>
              <w:rPr>
                <w:b w:val="false"/>
                <w:bCs w:val="false"/>
                <w:sz w:val="17"/>
                <w:szCs w:val="17"/>
              </w:rPr>
              <w:t xml:space="preserve"> = </w:t>
            </w:r>
            <w:r>
              <w:rPr>
                <w:rFonts w:ascii="Consolas" w:cs="Consolas" w:eastAsia="Consolas" w:hAnsi="Consolas"/>
                <w:sz w:val="15"/>
                <w:szCs w:val="15"/>
                <w:shd w:fill="EEF0F3" w:color="auto" w:val="clear"/>
              </w:rPr>
              <w:t xml:space="preserve">PP_CODE</w:t>
            </w:r>
            <w:r>
              <w:rPr>
                <w:b w:val="false"/>
                <w:bCs w:val="false"/>
                <w:sz w:val="17"/>
                <w:szCs w:val="17"/>
              </w:rPr>
              <w:t xml:space="preserve">; if no match, nearest URA carpark within 100 m</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Check a handful of matches by eye before trusting them.</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 matched by code and by distance</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4 · LTA feed (mall rows, </w:t>
            </w:r>
            <w:r>
              <w:rPr>
                <w:rFonts w:ascii="Consolas" w:cs="Consolas" w:eastAsia="Consolas" w:hAnsi="Consolas"/>
                <w:sz w:val="15"/>
                <w:szCs w:val="15"/>
                <w:shd w:fill="EEF0F3" w:color="auto" w:val="clear"/>
              </w:rPr>
              <w:t xml:space="preserve">Agency</w:t>
            </w:r>
            <w:r>
              <w:rPr>
                <w:b w:val="false"/>
                <w:bCs w:val="false"/>
                <w:sz w:val="17"/>
                <w:szCs w:val="17"/>
              </w:rPr>
              <w:t xml:space="preserve"> = LTA)</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No capacity file exists</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Use the highest </w:t>
            </w:r>
            <w:r>
              <w:rPr>
                <w:rFonts w:ascii="Consolas" w:cs="Consolas" w:eastAsia="Consolas" w:hAnsi="Consolas"/>
                <w:sz w:val="15"/>
                <w:szCs w:val="15"/>
                <w:shd w:fill="EEF0F3" w:color="auto" w:val="clear"/>
              </w:rPr>
              <w:t xml:space="preserve">AvailableLots</w:t>
            </w:r>
            <w:r>
              <w:rPr>
                <w:b w:val="false"/>
                <w:bCs w:val="false"/>
                <w:sz w:val="17"/>
                <w:szCs w:val="17"/>
              </w:rPr>
              <w:t xml:space="preserve"> ever seen as a rough capacity. It is a lower bound.</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Number of mall carparks with estimated capacity</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5 · Charging point ↔ site</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Nearest site at 50 m, 100 m and 200 m (the proposal asks for several thresholds)</w:t>
            </w:r>
          </w:p>
        </w:tc>
        <w:tc>
          <w:tcPr>
            <w:tcW w:type="dxa" w:w="3046"/>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status</w:t>
            </w:r>
            <w:r>
              <w:rPr>
                <w:b w:val="false"/>
                <w:bCs w:val="false"/>
                <w:sz w:val="17"/>
                <w:szCs w:val="17"/>
              </w:rPr>
              <w:t xml:space="preserve"> 0 = occupied, 1 = available, blank = out of service. Filter out-of-service points before counting capacity. Points sit inside </w:t>
            </w:r>
            <w:r>
              <w:rPr>
                <w:rFonts w:ascii="Consolas" w:cs="Consolas" w:eastAsia="Consolas" w:hAnsi="Consolas"/>
                <w:sz w:val="15"/>
                <w:szCs w:val="15"/>
                <w:shd w:fill="EEF0F3" w:color="auto" w:val="clear"/>
              </w:rPr>
              <w:t xml:space="preserve">chargingPoints</w:t>
            </w:r>
            <w:r>
              <w:rPr>
                <w:b w:val="false"/>
                <w:bCs w:val="false"/>
                <w:sz w:val="17"/>
                <w:szCs w:val="17"/>
              </w:rPr>
              <w:t xml:space="preserve"> → </w:t>
            </w:r>
            <w:r>
              <w:rPr>
                <w:rFonts w:ascii="Consolas" w:cs="Consolas" w:eastAsia="Consolas" w:hAnsi="Consolas"/>
                <w:sz w:val="15"/>
                <w:szCs w:val="15"/>
                <w:shd w:fill="EEF0F3" w:color="auto" w:val="clear"/>
              </w:rPr>
              <w:t xml:space="preserve">plugTypes</w:t>
            </w:r>
            <w:r>
              <w:rPr>
                <w:b w:val="false"/>
                <w:bCs w:val="false"/>
                <w:sz w:val="17"/>
                <w:szCs w:val="17"/>
              </w:rPr>
              <w:t xml:space="preserve"> → </w:t>
            </w:r>
            <w:r>
              <w:rPr>
                <w:rFonts w:ascii="Consolas" w:cs="Consolas" w:eastAsia="Consolas" w:hAnsi="Consolas"/>
                <w:sz w:val="15"/>
                <w:szCs w:val="15"/>
                <w:shd w:fill="EEF0F3" w:color="auto" w:val="clear"/>
              </w:rPr>
              <w:t xml:space="preserve">evIds</w:t>
            </w:r>
            <w:r>
              <w:rPr>
                <w:b w:val="false"/>
                <w:bCs w:val="false"/>
                <w:sz w:val="17"/>
                <w:szCs w:val="17"/>
              </w:rPr>
              <w:t xml:space="preserve">.</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 of points matched at each threshold</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6 · Amenity (hawker, CC, petrol) ↔ carpark</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Nearest carpark within 150 m; the amenity borrows its capacity and occupancy</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No carpark within 150 m: the amenity is a standalone candidate with unknown capacity, which the rules can defer.</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 of amenities with a linked carpark</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7 · Site ↔ planning area</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Point-in-polygon on the MP2025 boundary</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Every site must land in exactly one area.</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 of sites assigned (target 100%)</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8 · Site ↔ land-use type</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Point-in-polygon on the MP2025 land-use layer</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Carparks may sit on plots zoned for the building they serve; that is expected.</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 of sites with a land-use type</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9 · Planning area ↔ residents</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Planning area name</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Uppercase both names; check spelling differences between SingStat and URA.</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Areas matched (target 55 of 55)</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10 · Charger snapshots ↔ carpark snapshots</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Time</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Round both to the same 15-minute slot.</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 of slots where both feeds are present</w:t>
            </w:r>
          </w:p>
        </w:tc>
      </w:tr>
      <w:tr>
        <w:trPr>
          <w:cantSplit/>
        </w:trPr>
        <w:tc>
          <w:tcPr>
            <w:tcW w:type="dxa" w:w="2200"/>
            <w:tcMar>
              <w:top w:type="dxa" w:w="60"/>
              <w:left w:type="dxa" w:w="100"/>
              <w:bottom w:type="dxa" w:w="60"/>
              <w:right w:type="dxa" w:w="100"/>
            </w:tcMar>
          </w:tcPr>
          <w:p>
            <w:pPr>
              <w:spacing w:after="0" w:line="252"/>
              <w:jc w:val="left"/>
            </w:pPr>
            <w:r>
              <w:rPr>
                <w:b w:val="false"/>
                <w:bCs w:val="false"/>
                <w:sz w:val="17"/>
                <w:szCs w:val="17"/>
              </w:rPr>
              <w:t xml:space="preserve">11 · National EV numbers</w:t>
            </w:r>
          </w:p>
        </w:tc>
        <w:tc>
          <w:tcPr>
            <w:tcW w:type="dxa" w:w="2600"/>
            <w:tcMar>
              <w:top w:type="dxa" w:w="60"/>
              <w:left w:type="dxa" w:w="100"/>
              <w:bottom w:type="dxa" w:w="60"/>
              <w:right w:type="dxa" w:w="100"/>
            </w:tcMar>
          </w:tcPr>
          <w:p>
            <w:pPr>
              <w:spacing w:after="0" w:line="252"/>
              <w:jc w:val="left"/>
            </w:pPr>
            <w:r>
              <w:rPr>
                <w:b w:val="false"/>
                <w:bCs w:val="false"/>
                <w:sz w:val="17"/>
                <w:szCs w:val="17"/>
              </w:rPr>
              <w:t xml:space="preserve">No join: national totals only</w:t>
            </w:r>
          </w:p>
        </w:tc>
        <w:tc>
          <w:tcPr>
            <w:tcW w:type="dxa" w:w="3046"/>
            <w:tcMar>
              <w:top w:type="dxa" w:w="60"/>
              <w:left w:type="dxa" w:w="100"/>
              <w:bottom w:type="dxa" w:w="60"/>
              <w:right w:type="dxa" w:w="100"/>
            </w:tcMar>
          </w:tcPr>
          <w:p>
            <w:pPr>
              <w:spacing w:after="0" w:line="252"/>
              <w:jc w:val="left"/>
            </w:pPr>
            <w:r>
              <w:rPr>
                <w:b w:val="false"/>
                <w:bCs w:val="false"/>
                <w:sz w:val="17"/>
                <w:szCs w:val="17"/>
              </w:rPr>
              <w:t xml:space="preserve">Used only for Stage 3 growth and the target gap; never to pick a site.</w:t>
            </w:r>
          </w:p>
        </w:tc>
        <w:tc>
          <w:tcPr>
            <w:tcW w:type="dxa" w:w="1900"/>
            <w:tcMar>
              <w:top w:type="dxa" w:w="60"/>
              <w:left w:type="dxa" w:w="100"/>
              <w:bottom w:type="dxa" w:w="60"/>
              <w:right w:type="dxa" w:w="100"/>
            </w:tcMar>
          </w:tcPr>
          <w:p>
            <w:pPr>
              <w:spacing w:after="0" w:line="252"/>
              <w:jc w:val="left"/>
            </w:pPr>
            <w:r>
              <w:rPr>
                <w:b w:val="false"/>
                <w:bCs w:val="false"/>
                <w:sz w:val="17"/>
                <w:szCs w:val="17"/>
              </w:rPr>
              <w:t xml:space="preserve">—</w:t>
            </w:r>
          </w:p>
        </w:tc>
      </w:tr>
    </w:tbl>
    <w:p>
      <w:pPr>
        <w:spacing w:after="60"/>
      </w:pPr>
    </w:p>
    <w:p>
      <w:pPr>
        <w:pStyle w:val="Heading3"/>
      </w:pPr>
      <w:r>
        <w:t xml:space="preserve">The candidate site table after mapping</w:t>
      </w:r>
    </w:p>
    <w:p>
      <w:pPr>
        <w:spacing w:after="140" w:line="276"/>
      </w:pPr>
      <w:r>
        <w:rPr>
          <w:b w:val="false"/>
          <w:bCs w:val="false"/>
          <w:sz w:val="21"/>
          <w:szCs w:val="21"/>
        </w:rPr>
        <w:t xml:space="preserve">This is the table of structured facts that the Stage 4 rules and the optimiser read. One row per candidate site:</w:t>
      </w:r>
    </w:p>
    <w:tbl>
      <w:tblPr>
        <w:tblW w:type="dxa" w:w="9746"/>
        <w:tblBorders>
          <w:top w:val="single" w:color="C9CED6" w:sz="4"/>
          <w:left w:val="single" w:color="C9CED6" w:sz="4"/>
          <w:bottom w:val="single" w:color="C9CED6" w:sz="4"/>
          <w:right w:val="single" w:color="C9CED6" w:sz="4"/>
          <w:insideH w:val="single" w:color="C9CED6" w:sz="4"/>
          <w:insideV w:val="single" w:color="C9CED6" w:sz="4"/>
        </w:tblBorders>
      </w:tblPr>
      <w:tblGrid>
        <w:gridCol w:w="3000"/>
        <w:gridCol w:w="6746"/>
      </w:tblGrid>
      <w:tr>
        <w:trPr>
          <w:cantSplit/>
          <w:tblHeader/>
        </w:trPr>
        <w:tc>
          <w:tcPr>
            <w:tcW w:type="dxa" w:w="3000"/>
            <w:shd w:fill="F2F4F7" w:color="auto" w:val="clear"/>
            <w:tcMar>
              <w:top w:type="dxa" w:w="60"/>
              <w:left w:type="dxa" w:w="100"/>
              <w:bottom w:type="dxa" w:w="60"/>
              <w:right w:type="dxa" w:w="100"/>
            </w:tcMar>
          </w:tcPr>
          <w:p>
            <w:pPr>
              <w:spacing w:after="0" w:line="252"/>
              <w:jc w:val="left"/>
            </w:pPr>
            <w:r>
              <w:rPr>
                <w:b/>
                <w:bCs/>
                <w:sz w:val="17"/>
                <w:szCs w:val="17"/>
              </w:rPr>
              <w:t xml:space="preserve">Column</w:t>
            </w:r>
          </w:p>
        </w:tc>
        <w:tc>
          <w:tcPr>
            <w:tcW w:type="dxa" w:w="6746"/>
            <w:shd w:fill="F2F4F7" w:color="auto" w:val="clear"/>
            <w:tcMar>
              <w:top w:type="dxa" w:w="60"/>
              <w:left w:type="dxa" w:w="100"/>
              <w:bottom w:type="dxa" w:w="60"/>
              <w:right w:type="dxa" w:w="100"/>
            </w:tcMar>
          </w:tcPr>
          <w:p>
            <w:pPr>
              <w:spacing w:after="0" w:line="252"/>
              <w:jc w:val="left"/>
            </w:pPr>
            <w:r>
              <w:rPr>
                <w:b/>
                <w:bCs/>
                <w:sz w:val="17"/>
                <w:szCs w:val="17"/>
              </w:rPr>
              <w:t xml:space="preserve">Comes from</w:t>
            </w:r>
          </w:p>
        </w:tc>
      </w:tr>
      <w:tr>
        <w:trPr>
          <w:cantSplit/>
        </w:trPr>
        <w:tc>
          <w:tcPr>
            <w:tcW w:type="dxa" w:w="30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site_id</w:t>
            </w:r>
            <w:r>
              <w:rPr>
                <w:b w:val="false"/>
                <w:bCs w:val="false"/>
                <w:sz w:val="17"/>
                <w:szCs w:val="17"/>
              </w:rPr>
              <w:t xml:space="preserve">, </w:t>
            </w:r>
            <w:r>
              <w:rPr>
                <w:rFonts w:ascii="Consolas" w:cs="Consolas" w:eastAsia="Consolas" w:hAnsi="Consolas"/>
                <w:sz w:val="15"/>
                <w:szCs w:val="15"/>
                <w:shd w:fill="EEF0F3" w:color="auto" w:val="clear"/>
              </w:rPr>
              <w:t xml:space="preserve">site_type</w:t>
            </w:r>
          </w:p>
        </w:tc>
        <w:tc>
          <w:tcPr>
            <w:tcW w:type="dxa" w:w="6746"/>
            <w:tcMar>
              <w:top w:type="dxa" w:w="60"/>
              <w:left w:type="dxa" w:w="100"/>
              <w:bottom w:type="dxa" w:w="60"/>
              <w:right w:type="dxa" w:w="100"/>
            </w:tcMar>
          </w:tcPr>
          <w:p>
            <w:pPr>
              <w:spacing w:after="0" w:line="252"/>
              <w:jc w:val="left"/>
            </w:pPr>
            <w:r>
              <w:rPr>
                <w:b w:val="false"/>
                <w:bCs w:val="false"/>
                <w:sz w:val="17"/>
                <w:szCs w:val="17"/>
              </w:rPr>
              <w:t xml:space="preserve">HDB, URA or mall carpark (feeds 2–5); hawker centre, community club or petrol station (8–10)</w:t>
            </w:r>
          </w:p>
        </w:tc>
      </w:tr>
      <w:tr>
        <w:trPr>
          <w:cantSplit/>
        </w:trPr>
        <w:tc>
          <w:tcPr>
            <w:tcW w:type="dxa" w:w="30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lat</w:t>
            </w:r>
            <w:r>
              <w:rPr>
                <w:b w:val="false"/>
                <w:bCs w:val="false"/>
                <w:sz w:val="17"/>
                <w:szCs w:val="17"/>
              </w:rPr>
              <w:t xml:space="preserve">, </w:t>
            </w:r>
            <w:r>
              <w:rPr>
                <w:rFonts w:ascii="Consolas" w:cs="Consolas" w:eastAsia="Consolas" w:hAnsi="Consolas"/>
                <w:sz w:val="15"/>
                <w:szCs w:val="15"/>
                <w:shd w:fill="EEF0F3" w:color="auto" w:val="clear"/>
              </w:rPr>
              <w:t xml:space="preserve">lon</w:t>
            </w:r>
            <w:r>
              <w:rPr>
                <w:b w:val="false"/>
                <w:bCs w:val="false"/>
                <w:sz w:val="17"/>
                <w:szCs w:val="17"/>
              </w:rPr>
              <w:t xml:space="preserve">, </w:t>
            </w:r>
            <w:r>
              <w:rPr>
                <w:rFonts w:ascii="Consolas" w:cs="Consolas" w:eastAsia="Consolas" w:hAnsi="Consolas"/>
                <w:sz w:val="15"/>
                <w:szCs w:val="15"/>
                <w:shd w:fill="EEF0F3" w:color="auto" w:val="clear"/>
              </w:rPr>
              <w:t xml:space="preserve">planning_area</w:t>
            </w:r>
            <w:r>
              <w:rPr>
                <w:b w:val="false"/>
                <w:bCs w:val="false"/>
                <w:sz w:val="17"/>
                <w:szCs w:val="17"/>
              </w:rPr>
              <w:t xml:space="preserve">, </w:t>
            </w:r>
            <w:r>
              <w:rPr>
                <w:rFonts w:ascii="Consolas" w:cs="Consolas" w:eastAsia="Consolas" w:hAnsi="Consolas"/>
                <w:sz w:val="15"/>
                <w:szCs w:val="15"/>
                <w:shd w:fill="EEF0F3" w:color="auto" w:val="clear"/>
              </w:rPr>
              <w:t xml:space="preserve">land_use</w:t>
            </w:r>
          </w:p>
        </w:tc>
        <w:tc>
          <w:tcPr>
            <w:tcW w:type="dxa" w:w="6746"/>
            <w:tcMar>
              <w:top w:type="dxa" w:w="60"/>
              <w:left w:type="dxa" w:w="100"/>
              <w:bottom w:type="dxa" w:w="60"/>
              <w:right w:type="dxa" w:w="100"/>
            </w:tcMar>
          </w:tcPr>
          <w:p>
            <w:pPr>
              <w:spacing w:after="0" w:line="252"/>
              <w:jc w:val="left"/>
            </w:pPr>
            <w:r>
              <w:rPr>
                <w:b w:val="false"/>
                <w:bCs w:val="false"/>
                <w:sz w:val="17"/>
                <w:szCs w:val="17"/>
              </w:rPr>
              <w:t xml:space="preserve">Mapping steps 1, 7 and 8 (datasets 6 and 7)</w:t>
            </w:r>
          </w:p>
        </w:tc>
      </w:tr>
      <w:tr>
        <w:trPr>
          <w:cantSplit/>
        </w:trPr>
        <w:tc>
          <w:tcPr>
            <w:tcW w:type="dxa" w:w="30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capacity_lots</w:t>
            </w:r>
            <w:r>
              <w:rPr>
                <w:b w:val="false"/>
                <w:bCs w:val="false"/>
                <w:sz w:val="17"/>
                <w:szCs w:val="17"/>
              </w:rPr>
              <w:t xml:space="preserve">, </w:t>
            </w:r>
            <w:r>
              <w:rPr>
                <w:rFonts w:ascii="Consolas" w:cs="Consolas" w:eastAsia="Consolas" w:hAnsi="Consolas"/>
                <w:sz w:val="15"/>
                <w:szCs w:val="15"/>
                <w:shd w:fill="EEF0F3" w:color="auto" w:val="clear"/>
              </w:rPr>
              <w:t xml:space="preserve">capacity_source</w:t>
            </w:r>
          </w:p>
        </w:tc>
        <w:tc>
          <w:tcPr>
            <w:tcW w:type="dxa" w:w="6746"/>
            <w:tcMar>
              <w:top w:type="dxa" w:w="60"/>
              <w:left w:type="dxa" w:w="100"/>
              <w:bottom w:type="dxa" w:w="60"/>
              <w:right w:type="dxa" w:w="100"/>
            </w:tcMar>
          </w:tcPr>
          <w:p>
            <w:pPr>
              <w:spacing w:after="0" w:line="252"/>
              <w:jc w:val="left"/>
            </w:pPr>
            <w:r>
              <w:rPr>
                <w:b w:val="false"/>
                <w:bCs w:val="false"/>
                <w:sz w:val="17"/>
                <w:szCs w:val="17"/>
              </w:rPr>
              <w:t xml:space="preserve">Total lots from 3 or 5, estimated for malls (step 4), or "unknown"</w:t>
            </w:r>
          </w:p>
        </w:tc>
      </w:tr>
      <w:tr>
        <w:trPr>
          <w:cantSplit/>
        </w:trPr>
        <w:tc>
          <w:tcPr>
            <w:tcW w:type="dxa" w:w="30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points_ac</w:t>
            </w:r>
            <w:r>
              <w:rPr>
                <w:b w:val="false"/>
                <w:bCs w:val="false"/>
                <w:sz w:val="17"/>
                <w:szCs w:val="17"/>
              </w:rPr>
              <w:t xml:space="preserve">, </w:t>
            </w:r>
            <w:r>
              <w:rPr>
                <w:rFonts w:ascii="Consolas" w:cs="Consolas" w:eastAsia="Consolas" w:hAnsi="Consolas"/>
                <w:sz w:val="15"/>
                <w:szCs w:val="15"/>
                <w:shd w:fill="EEF0F3" w:color="auto" w:val="clear"/>
              </w:rPr>
              <w:t xml:space="preserve">points_dc</w:t>
            </w:r>
            <w:r>
              <w:rPr>
                <w:b w:val="false"/>
                <w:bCs w:val="false"/>
                <w:sz w:val="17"/>
                <w:szCs w:val="17"/>
              </w:rPr>
              <w:t xml:space="preserve">, </w:t>
            </w:r>
            <w:r>
              <w:rPr>
                <w:rFonts w:ascii="Consolas" w:cs="Consolas" w:eastAsia="Consolas" w:hAnsi="Consolas"/>
                <w:sz w:val="15"/>
                <w:szCs w:val="15"/>
                <w:shd w:fill="EEF0F3" w:color="auto" w:val="clear"/>
              </w:rPr>
              <w:t xml:space="preserve">kw_total</w:t>
            </w:r>
          </w:p>
        </w:tc>
        <w:tc>
          <w:tcPr>
            <w:tcW w:type="dxa" w:w="6746"/>
            <w:tcMar>
              <w:top w:type="dxa" w:w="60"/>
              <w:left w:type="dxa" w:w="100"/>
              <w:bottom w:type="dxa" w:w="60"/>
              <w:right w:type="dxa" w:w="100"/>
            </w:tcMar>
          </w:tcPr>
          <w:p>
            <w:pPr>
              <w:spacing w:after="0" w:line="252"/>
              <w:jc w:val="left"/>
            </w:pPr>
            <w:r>
              <w:rPr>
                <w:b w:val="false"/>
                <w:bCs w:val="false"/>
                <w:sz w:val="17"/>
                <w:szCs w:val="17"/>
              </w:rPr>
              <w:t xml:space="preserve">Charging points matched to the site (step 5, dataset 1)</w:t>
            </w:r>
          </w:p>
        </w:tc>
      </w:tr>
      <w:tr>
        <w:trPr>
          <w:cantSplit/>
        </w:trPr>
        <w:tc>
          <w:tcPr>
            <w:tcW w:type="dxa" w:w="30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utilisation</w:t>
            </w:r>
            <w:r>
              <w:rPr>
                <w:b w:val="false"/>
                <w:bCs w:val="false"/>
                <w:sz w:val="17"/>
                <w:szCs w:val="17"/>
              </w:rPr>
              <w:t xml:space="preserve">, </w:t>
            </w:r>
            <w:r>
              <w:rPr>
                <w:rFonts w:ascii="Consolas" w:cs="Consolas" w:eastAsia="Consolas" w:hAnsi="Consolas"/>
                <w:sz w:val="15"/>
                <w:szCs w:val="15"/>
                <w:shd w:fill="EEF0F3" w:color="auto" w:val="clear"/>
              </w:rPr>
              <w:t xml:space="preserve">saturated_share</w:t>
            </w:r>
            <w:r>
              <w:rPr>
                <w:b w:val="false"/>
                <w:bCs w:val="false"/>
                <w:sz w:val="17"/>
                <w:szCs w:val="17"/>
              </w:rPr>
              <w:t xml:space="preserve">, </w:t>
            </w:r>
            <w:r>
              <w:rPr>
                <w:rFonts w:ascii="Consolas" w:cs="Consolas" w:eastAsia="Consolas" w:hAnsi="Consolas"/>
                <w:sz w:val="15"/>
                <w:szCs w:val="15"/>
                <w:shd w:fill="EEF0F3" w:color="auto" w:val="clear"/>
              </w:rPr>
              <w:t xml:space="preserve">parking_occupancy</w:t>
            </w:r>
          </w:p>
        </w:tc>
        <w:tc>
          <w:tcPr>
            <w:tcW w:type="dxa" w:w="6746"/>
            <w:tcMar>
              <w:top w:type="dxa" w:w="60"/>
              <w:left w:type="dxa" w:w="100"/>
              <w:bottom w:type="dxa" w:w="60"/>
              <w:right w:type="dxa" w:w="100"/>
            </w:tcMar>
          </w:tcPr>
          <w:p>
            <w:pPr>
              <w:spacing w:after="0" w:line="252"/>
              <w:jc w:val="left"/>
            </w:pPr>
            <w:r>
              <w:rPr>
                <w:b w:val="false"/>
                <w:bCs w:val="false"/>
                <w:sz w:val="17"/>
                <w:szCs w:val="17"/>
              </w:rPr>
              <w:t xml:space="preserve">Stage 2 indicators from the saved snapshots (1, 2, 3)</w:t>
            </w:r>
          </w:p>
        </w:tc>
      </w:tr>
      <w:tr>
        <w:trPr>
          <w:cantSplit/>
        </w:trPr>
        <w:tc>
          <w:tcPr>
            <w:tcW w:type="dxa" w:w="30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residents_in_area</w:t>
            </w:r>
            <w:r>
              <w:rPr>
                <w:b w:val="false"/>
                <w:bCs w:val="false"/>
                <w:sz w:val="17"/>
                <w:szCs w:val="17"/>
              </w:rPr>
              <w:t xml:space="preserve">, </w:t>
            </w:r>
            <w:r>
              <w:rPr>
                <w:rFonts w:ascii="Consolas" w:cs="Consolas" w:eastAsia="Consolas" w:hAnsi="Consolas"/>
                <w:sz w:val="15"/>
                <w:szCs w:val="15"/>
                <w:shd w:fill="EEF0F3" w:color="auto" w:val="clear"/>
              </w:rPr>
              <w:t xml:space="preserve">amenities_nearby</w:t>
            </w:r>
          </w:p>
        </w:tc>
        <w:tc>
          <w:tcPr>
            <w:tcW w:type="dxa" w:w="6746"/>
            <w:tcMar>
              <w:top w:type="dxa" w:w="60"/>
              <w:left w:type="dxa" w:w="100"/>
              <w:bottom w:type="dxa" w:w="60"/>
              <w:right w:type="dxa" w:w="100"/>
            </w:tcMar>
          </w:tcPr>
          <w:p>
            <w:pPr>
              <w:spacing w:after="0" w:line="252"/>
              <w:jc w:val="left"/>
            </w:pPr>
            <w:r>
              <w:rPr>
                <w:b w:val="false"/>
                <w:bCs w:val="false"/>
                <w:sz w:val="17"/>
                <w:szCs w:val="17"/>
              </w:rPr>
              <w:t xml:space="preserve">Datasets 8–11</w:t>
            </w:r>
          </w:p>
        </w:tc>
      </w:tr>
      <w:tr>
        <w:trPr>
          <w:cantSplit/>
        </w:trPr>
        <w:tc>
          <w:tcPr>
            <w:tcW w:type="dxa" w:w="30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site_features</w:t>
            </w:r>
          </w:p>
        </w:tc>
        <w:tc>
          <w:tcPr>
            <w:tcW w:type="dxa" w:w="6746"/>
            <w:tcMar>
              <w:top w:type="dxa" w:w="60"/>
              <w:left w:type="dxa" w:w="100"/>
              <w:bottom w:type="dxa" w:w="60"/>
              <w:right w:type="dxa" w:w="100"/>
            </w:tcMar>
          </w:tcPr>
          <w:p>
            <w:pPr>
              <w:spacing w:after="0" w:line="252"/>
              <w:jc w:val="left"/>
            </w:pPr>
            <w:r>
              <w:rPr>
                <w:b w:val="false"/>
                <w:bCs w:val="false"/>
                <w:sz w:val="17"/>
                <w:szCs w:val="17"/>
              </w:rPr>
              <w:t xml:space="preserve">Carpark type, night parking, gantry height, basement (dataset 4)</w:t>
            </w:r>
          </w:p>
        </w:tc>
      </w:tr>
      <w:tr>
        <w:trPr>
          <w:cantSplit/>
        </w:trPr>
        <w:tc>
          <w:tcPr>
            <w:tcW w:type="dxa" w:w="3000"/>
            <w:tcMar>
              <w:top w:type="dxa" w:w="60"/>
              <w:left w:type="dxa" w:w="100"/>
              <w:bottom w:type="dxa" w:w="60"/>
              <w:right w:type="dxa" w:w="100"/>
            </w:tcMar>
          </w:tcPr>
          <w:p>
            <w:pPr>
              <w:spacing w:after="0" w:line="252"/>
              <w:jc w:val="left"/>
            </w:pPr>
            <w:r>
              <w:rPr>
                <w:rFonts w:ascii="Consolas" w:cs="Consolas" w:eastAsia="Consolas" w:hAnsi="Consolas"/>
                <w:sz w:val="15"/>
                <w:szCs w:val="15"/>
                <w:shd w:fill="EEF0F3" w:color="auto" w:val="clear"/>
              </w:rPr>
              <w:t xml:space="preserve">layer</w:t>
            </w:r>
          </w:p>
        </w:tc>
        <w:tc>
          <w:tcPr>
            <w:tcW w:type="dxa" w:w="6746"/>
            <w:tcMar>
              <w:top w:type="dxa" w:w="60"/>
              <w:left w:type="dxa" w:w="100"/>
              <w:bottom w:type="dxa" w:w="60"/>
              <w:right w:type="dxa" w:w="100"/>
            </w:tcMar>
          </w:tcPr>
          <w:p>
            <w:pPr>
              <w:spacing w:after="0" w:line="252"/>
              <w:jc w:val="left"/>
            </w:pPr>
            <w:r>
              <w:rPr>
                <w:b w:val="false"/>
                <w:bCs w:val="false"/>
                <w:sz w:val="17"/>
                <w:szCs w:val="17"/>
              </w:rPr>
              <w:t xml:space="preserve">Observed, simulated or planned; never mixed in one calculation</w:t>
            </w:r>
          </w:p>
        </w:tc>
      </w:tr>
    </w:tbl>
    <w:p>
      <w:pPr>
        <w:spacing w:after="60"/>
      </w:pPr>
    </w:p>
    <w:p>
      <w:pPr>
        <w:pStyle w:val="Heading2"/>
      </w:pPr>
      <w:r>
        <w:t xml:space="preserve">5. What no dataset gives us</w:t>
      </w:r>
    </w:p>
    <w:p>
      <w:pPr>
        <w:spacing w:after="140" w:line="276"/>
      </w:pPr>
      <w:r>
        <w:rPr>
          <w:b w:val="false"/>
          <w:bCs w:val="false"/>
          <w:sz w:val="21"/>
          <w:szCs w:val="21"/>
        </w:rPr>
        <w:t xml:space="preserve">No public source has these, so we use a stand-in, declare an assumption, or state the limit, as the proposal does.</w:t>
      </w:r>
    </w:p>
    <w:tbl>
      <w:tblPr>
        <w:tblW w:type="dxa" w:w="9746"/>
        <w:tblBorders>
          <w:top w:val="single" w:color="C9CED6" w:sz="4"/>
          <w:left w:val="single" w:color="C9CED6" w:sz="4"/>
          <w:bottom w:val="single" w:color="C9CED6" w:sz="4"/>
          <w:right w:val="single" w:color="C9CED6" w:sz="4"/>
          <w:insideH w:val="single" w:color="C9CED6" w:sz="4"/>
          <w:insideV w:val="single" w:color="C9CED6" w:sz="4"/>
        </w:tblBorders>
      </w:tblPr>
      <w:tblGrid>
        <w:gridCol w:w="3000"/>
        <w:gridCol w:w="3000"/>
        <w:gridCol w:w="3746"/>
      </w:tblGrid>
      <w:tr>
        <w:trPr>
          <w:cantSplit/>
          <w:tblHeader/>
        </w:trPr>
        <w:tc>
          <w:tcPr>
            <w:tcW w:type="dxa" w:w="3000"/>
            <w:shd w:fill="F2F4F7" w:color="auto" w:val="clear"/>
            <w:tcMar>
              <w:top w:type="dxa" w:w="60"/>
              <w:left w:type="dxa" w:w="100"/>
              <w:bottom w:type="dxa" w:w="60"/>
              <w:right w:type="dxa" w:w="100"/>
            </w:tcMar>
          </w:tcPr>
          <w:p>
            <w:pPr>
              <w:spacing w:after="0" w:line="252"/>
              <w:jc w:val="left"/>
            </w:pPr>
            <w:r>
              <w:rPr>
                <w:b/>
                <w:bCs/>
                <w:sz w:val="17"/>
                <w:szCs w:val="17"/>
              </w:rPr>
              <w:t xml:space="preserve">Missing</w:t>
            </w:r>
          </w:p>
        </w:tc>
        <w:tc>
          <w:tcPr>
            <w:tcW w:type="dxa" w:w="3000"/>
            <w:shd w:fill="F2F4F7" w:color="auto" w:val="clear"/>
            <w:tcMar>
              <w:top w:type="dxa" w:w="60"/>
              <w:left w:type="dxa" w:w="100"/>
              <w:bottom w:type="dxa" w:w="60"/>
              <w:right w:type="dxa" w:w="100"/>
            </w:tcMar>
          </w:tcPr>
          <w:p>
            <w:pPr>
              <w:spacing w:after="0" w:line="252"/>
              <w:jc w:val="left"/>
            </w:pPr>
            <w:r>
              <w:rPr>
                <w:b/>
                <w:bCs/>
                <w:sz w:val="17"/>
                <w:szCs w:val="17"/>
              </w:rPr>
              <w:t xml:space="preserve">Why it matters</w:t>
            </w:r>
          </w:p>
        </w:tc>
        <w:tc>
          <w:tcPr>
            <w:tcW w:type="dxa" w:w="3746"/>
            <w:shd w:fill="F2F4F7" w:color="auto" w:val="clear"/>
            <w:tcMar>
              <w:top w:type="dxa" w:w="60"/>
              <w:left w:type="dxa" w:w="100"/>
              <w:bottom w:type="dxa" w:w="60"/>
              <w:right w:type="dxa" w:w="100"/>
            </w:tcMar>
          </w:tcPr>
          <w:p>
            <w:pPr>
              <w:spacing w:after="0" w:line="252"/>
              <w:jc w:val="left"/>
            </w:pPr>
            <w:r>
              <w:rPr>
                <w:b/>
                <w:bCs/>
                <w:sz w:val="17"/>
                <w:szCs w:val="17"/>
              </w:rPr>
              <w:t xml:space="preserve">What we do instead</w:t>
            </w:r>
          </w:p>
        </w:tc>
      </w:tr>
      <w:tr>
        <w:trPr>
          <w:cantSplit/>
        </w:trPr>
        <w:tc>
          <w:tcPr>
            <w:tcW w:type="dxa" w:w="3000"/>
            <w:tcMar>
              <w:top w:type="dxa" w:w="60"/>
              <w:left w:type="dxa" w:w="100"/>
              <w:bottom w:type="dxa" w:w="60"/>
              <w:right w:type="dxa" w:w="100"/>
            </w:tcMar>
          </w:tcPr>
          <w:p>
            <w:pPr>
              <w:spacing w:after="0" w:line="252"/>
              <w:jc w:val="left"/>
            </w:pPr>
            <w:r>
              <w:rPr>
                <w:b w:val="false"/>
                <w:bCs w:val="false"/>
                <w:sz w:val="17"/>
                <w:szCs w:val="17"/>
              </w:rPr>
              <w:t xml:space="preserve">Charging sessions (energy used, time plugged in)</w:t>
            </w:r>
          </w:p>
        </w:tc>
        <w:tc>
          <w:tcPr>
            <w:tcW w:type="dxa" w:w="3000"/>
            <w:tcMar>
              <w:top w:type="dxa" w:w="60"/>
              <w:left w:type="dxa" w:w="100"/>
              <w:bottom w:type="dxa" w:w="60"/>
              <w:right w:type="dxa" w:w="100"/>
            </w:tcMar>
          </w:tcPr>
          <w:p>
            <w:pPr>
              <w:spacing w:after="0" w:line="252"/>
              <w:jc w:val="left"/>
            </w:pPr>
            <w:r>
              <w:rPr>
                <w:b w:val="false"/>
                <w:bCs w:val="false"/>
                <w:sz w:val="17"/>
                <w:szCs w:val="17"/>
              </w:rPr>
              <w:t xml:space="preserve">The truest measure of demand</w:t>
            </w:r>
          </w:p>
        </w:tc>
        <w:tc>
          <w:tcPr>
            <w:tcW w:type="dxa" w:w="3746"/>
            <w:tcMar>
              <w:top w:type="dxa" w:w="60"/>
              <w:left w:type="dxa" w:w="100"/>
              <w:bottom w:type="dxa" w:w="60"/>
              <w:right w:type="dxa" w:w="100"/>
            </w:tcMar>
          </w:tcPr>
          <w:p>
            <w:pPr>
              <w:spacing w:after="0" w:line="252"/>
              <w:jc w:val="left"/>
            </w:pPr>
            <w:r>
              <w:rPr>
                <w:b w:val="false"/>
                <w:bCs w:val="false"/>
                <w:sz w:val="17"/>
                <w:szCs w:val="17"/>
              </w:rPr>
              <w:t xml:space="preserve">Share of time each point shows "occupied". A site that is always full gives a lower bound on demand, not the true value.</w:t>
            </w:r>
          </w:p>
        </w:tc>
      </w:tr>
      <w:tr>
        <w:trPr>
          <w:cantSplit/>
        </w:trPr>
        <w:tc>
          <w:tcPr>
            <w:tcW w:type="dxa" w:w="3000"/>
            <w:tcMar>
              <w:top w:type="dxa" w:w="60"/>
              <w:left w:type="dxa" w:w="100"/>
              <w:bottom w:type="dxa" w:w="60"/>
              <w:right w:type="dxa" w:w="100"/>
            </w:tcMar>
          </w:tcPr>
          <w:p>
            <w:pPr>
              <w:spacing w:after="0" w:line="252"/>
              <w:jc w:val="left"/>
            </w:pPr>
            <w:r>
              <w:rPr>
                <w:b w:val="false"/>
                <w:bCs w:val="false"/>
                <w:sz w:val="17"/>
                <w:szCs w:val="17"/>
              </w:rPr>
              <w:t xml:space="preserve">Demand at sites with no chargers</w:t>
            </w:r>
          </w:p>
        </w:tc>
        <w:tc>
          <w:tcPr>
            <w:tcW w:type="dxa" w:w="3000"/>
            <w:tcMar>
              <w:top w:type="dxa" w:w="60"/>
              <w:left w:type="dxa" w:w="100"/>
              <w:bottom w:type="dxa" w:w="60"/>
              <w:right w:type="dxa" w:w="100"/>
            </w:tcMar>
          </w:tcPr>
          <w:p>
            <w:pPr>
              <w:spacing w:after="0" w:line="252"/>
              <w:jc w:val="left"/>
            </w:pPr>
            <w:r>
              <w:rPr>
                <w:b w:val="false"/>
                <w:bCs w:val="false"/>
                <w:sz w:val="17"/>
                <w:szCs w:val="17"/>
              </w:rPr>
              <w:t xml:space="preserve">These sites produce no occupancy signal at all</w:t>
            </w:r>
          </w:p>
        </w:tc>
        <w:tc>
          <w:tcPr>
            <w:tcW w:type="dxa" w:w="3746"/>
            <w:tcMar>
              <w:top w:type="dxa" w:w="60"/>
              <w:left w:type="dxa" w:w="100"/>
              <w:bottom w:type="dxa" w:w="60"/>
              <w:right w:type="dxa" w:w="100"/>
            </w:tcMar>
          </w:tcPr>
          <w:p>
            <w:pPr>
              <w:spacing w:after="0" w:line="252"/>
              <w:jc w:val="left"/>
            </w:pPr>
            <w:r>
              <w:rPr>
                <w:b w:val="false"/>
                <w:bCs w:val="false"/>
                <w:sz w:val="17"/>
                <w:szCs w:val="17"/>
              </w:rPr>
              <w:t xml:space="preserve">Estimated from comparable sites plus context (residents, amenities, land use), reported with its reliability.</w:t>
            </w:r>
          </w:p>
        </w:tc>
      </w:tr>
      <w:tr>
        <w:trPr>
          <w:cantSplit/>
        </w:trPr>
        <w:tc>
          <w:tcPr>
            <w:tcW w:type="dxa" w:w="3000"/>
            <w:tcMar>
              <w:top w:type="dxa" w:w="60"/>
              <w:left w:type="dxa" w:w="100"/>
              <w:bottom w:type="dxa" w:w="60"/>
              <w:right w:type="dxa" w:w="100"/>
            </w:tcMar>
          </w:tcPr>
          <w:p>
            <w:pPr>
              <w:spacing w:after="0" w:line="252"/>
              <w:jc w:val="left"/>
            </w:pPr>
            <w:r>
              <w:rPr>
                <w:b w:val="false"/>
                <w:bCs w:val="false"/>
                <w:sz w:val="17"/>
                <w:szCs w:val="17"/>
              </w:rPr>
              <w:t xml:space="preserve">Where EV owners live</w:t>
            </w:r>
          </w:p>
        </w:tc>
        <w:tc>
          <w:tcPr>
            <w:tcW w:type="dxa" w:w="3000"/>
            <w:tcMar>
              <w:top w:type="dxa" w:w="60"/>
              <w:left w:type="dxa" w:w="100"/>
              <w:bottom w:type="dxa" w:w="60"/>
              <w:right w:type="dxa" w:w="100"/>
            </w:tcMar>
          </w:tcPr>
          <w:p>
            <w:pPr>
              <w:spacing w:after="0" w:line="252"/>
              <w:jc w:val="left"/>
            </w:pPr>
            <w:r>
              <w:rPr>
                <w:b w:val="false"/>
                <w:bCs w:val="false"/>
                <w:sz w:val="17"/>
                <w:szCs w:val="17"/>
              </w:rPr>
              <w:t xml:space="preserve">Tells us who needs charging near home</w:t>
            </w:r>
          </w:p>
        </w:tc>
        <w:tc>
          <w:tcPr>
            <w:tcW w:type="dxa" w:w="3746"/>
            <w:tcMar>
              <w:top w:type="dxa" w:w="60"/>
              <w:left w:type="dxa" w:w="100"/>
              <w:bottom w:type="dxa" w:w="60"/>
              <w:right w:type="dxa" w:w="100"/>
            </w:tcMar>
          </w:tcPr>
          <w:p>
            <w:pPr>
              <w:spacing w:after="0" w:line="252"/>
              <w:jc w:val="left"/>
            </w:pPr>
            <w:r>
              <w:rPr>
                <w:b w:val="false"/>
                <w:bCs w:val="false"/>
                <w:sz w:val="17"/>
                <w:szCs w:val="17"/>
              </w:rPr>
              <w:t xml:space="preserve">Vehicle-owner records are not public and are out of scope. Residents per planning area are used instead.</w:t>
            </w:r>
          </w:p>
        </w:tc>
      </w:tr>
      <w:tr>
        <w:trPr>
          <w:cantSplit/>
        </w:trPr>
        <w:tc>
          <w:tcPr>
            <w:tcW w:type="dxa" w:w="3000"/>
            <w:tcMar>
              <w:top w:type="dxa" w:w="60"/>
              <w:left w:type="dxa" w:w="100"/>
              <w:bottom w:type="dxa" w:w="60"/>
              <w:right w:type="dxa" w:w="100"/>
            </w:tcMar>
          </w:tcPr>
          <w:p>
            <w:pPr>
              <w:spacing w:after="0" w:line="252"/>
              <w:jc w:val="left"/>
            </w:pPr>
            <w:r>
              <w:rPr>
                <w:b w:val="false"/>
                <w:bCs w:val="false"/>
                <w:sz w:val="17"/>
                <w:szCs w:val="17"/>
              </w:rPr>
              <w:t xml:space="preserve">Future demand</w:t>
            </w:r>
          </w:p>
        </w:tc>
        <w:tc>
          <w:tcPr>
            <w:tcW w:type="dxa" w:w="3000"/>
            <w:tcMar>
              <w:top w:type="dxa" w:w="60"/>
              <w:left w:type="dxa" w:w="100"/>
              <w:bottom w:type="dxa" w:w="60"/>
              <w:right w:type="dxa" w:w="100"/>
            </w:tcMar>
          </w:tcPr>
          <w:p>
            <w:pPr>
              <w:spacing w:after="0" w:line="252"/>
              <w:jc w:val="left"/>
            </w:pPr>
            <w:r>
              <w:rPr>
                <w:b w:val="false"/>
                <w:bCs w:val="false"/>
                <w:sz w:val="17"/>
                <w:szCs w:val="17"/>
              </w:rPr>
              <w:t xml:space="preserve">The plan targets 2030, not today</w:t>
            </w:r>
          </w:p>
        </w:tc>
        <w:tc>
          <w:tcPr>
            <w:tcW w:type="dxa" w:w="3746"/>
            <w:tcMar>
              <w:top w:type="dxa" w:w="60"/>
              <w:left w:type="dxa" w:w="100"/>
              <w:bottom w:type="dxa" w:w="60"/>
              <w:right w:type="dxa" w:w="100"/>
            </w:tcMar>
          </w:tcPr>
          <w:p>
            <w:pPr>
              <w:spacing w:after="0" w:line="252"/>
              <w:jc w:val="left"/>
            </w:pPr>
            <w:r>
              <w:rPr>
                <w:b w:val="false"/>
                <w:bCs w:val="false"/>
                <w:sz w:val="17"/>
                <w:szCs w:val="17"/>
              </w:rPr>
              <w:t xml:space="preserve">Stage 3 generates it under declared growth assumptions, labelled as simulated and never merged with observed data.</w:t>
            </w:r>
          </w:p>
        </w:tc>
      </w:tr>
      <w:tr>
        <w:trPr>
          <w:cantSplit/>
        </w:trPr>
        <w:tc>
          <w:tcPr>
            <w:tcW w:type="dxa" w:w="3000"/>
            <w:tcMar>
              <w:top w:type="dxa" w:w="60"/>
              <w:left w:type="dxa" w:w="100"/>
              <w:bottom w:type="dxa" w:w="60"/>
              <w:right w:type="dxa" w:w="100"/>
            </w:tcMar>
          </w:tcPr>
          <w:p>
            <w:pPr>
              <w:spacing w:after="0" w:line="252"/>
              <w:jc w:val="left"/>
            </w:pPr>
            <w:r>
              <w:rPr>
                <w:b w:val="false"/>
                <w:bCs w:val="false"/>
                <w:sz w:val="17"/>
                <w:szCs w:val="17"/>
              </w:rPr>
              <w:t xml:space="preserve">Cost per charging point and budget</w:t>
            </w:r>
          </w:p>
        </w:tc>
        <w:tc>
          <w:tcPr>
            <w:tcW w:type="dxa" w:w="3000"/>
            <w:tcMar>
              <w:top w:type="dxa" w:w="60"/>
              <w:left w:type="dxa" w:w="100"/>
              <w:bottom w:type="dxa" w:w="60"/>
              <w:right w:type="dxa" w:w="100"/>
            </w:tcMar>
          </w:tcPr>
          <w:p>
            <w:pPr>
              <w:spacing w:after="0" w:line="252"/>
              <w:jc w:val="left"/>
            </w:pPr>
            <w:r>
              <w:rPr>
                <w:b w:val="false"/>
                <w:bCs w:val="false"/>
                <w:sz w:val="17"/>
                <w:szCs w:val="17"/>
              </w:rPr>
              <w:t xml:space="preserve">The optimiser needs a budget limit</w:t>
            </w:r>
          </w:p>
        </w:tc>
        <w:tc>
          <w:tcPr>
            <w:tcW w:type="dxa" w:w="3746"/>
            <w:tcMar>
              <w:top w:type="dxa" w:w="60"/>
              <w:left w:type="dxa" w:w="100"/>
              <w:bottom w:type="dxa" w:w="60"/>
              <w:right w:type="dxa" w:w="100"/>
            </w:tcMar>
          </w:tcPr>
          <w:p>
            <w:pPr>
              <w:spacing w:after="0" w:line="252"/>
              <w:jc w:val="left"/>
            </w:pPr>
            <w:r>
              <w:rPr>
                <w:b w:val="false"/>
                <w:bCs w:val="false"/>
                <w:sz w:val="17"/>
                <w:szCs w:val="17"/>
              </w:rPr>
              <w:t xml:space="preserve">A declared assumption with a cited source, varied in sensitivity tests.</w:t>
            </w:r>
          </w:p>
        </w:tc>
      </w:tr>
      <w:tr>
        <w:trPr>
          <w:cantSplit/>
        </w:trPr>
        <w:tc>
          <w:tcPr>
            <w:tcW w:type="dxa" w:w="3000"/>
            <w:tcMar>
              <w:top w:type="dxa" w:w="60"/>
              <w:left w:type="dxa" w:w="100"/>
              <w:bottom w:type="dxa" w:w="60"/>
              <w:right w:type="dxa" w:w="100"/>
            </w:tcMar>
          </w:tcPr>
          <w:p>
            <w:pPr>
              <w:spacing w:after="0" w:line="252"/>
              <w:jc w:val="left"/>
            </w:pPr>
            <w:r>
              <w:rPr>
                <w:b w:val="false"/>
                <w:bCs w:val="false"/>
                <w:sz w:val="17"/>
                <w:szCs w:val="17"/>
              </w:rPr>
              <w:t xml:space="preserve">Electrical capacity and land access</w:t>
            </w:r>
          </w:p>
        </w:tc>
        <w:tc>
          <w:tcPr>
            <w:tcW w:type="dxa" w:w="3000"/>
            <w:tcMar>
              <w:top w:type="dxa" w:w="60"/>
              <w:left w:type="dxa" w:w="100"/>
              <w:bottom w:type="dxa" w:w="60"/>
              <w:right w:type="dxa" w:w="100"/>
            </w:tcMar>
          </w:tcPr>
          <w:p>
            <w:pPr>
              <w:spacing w:after="0" w:line="252"/>
              <w:jc w:val="left"/>
            </w:pPr>
            <w:r>
              <w:rPr>
                <w:b w:val="false"/>
                <w:bCs w:val="false"/>
                <w:sz w:val="17"/>
                <w:szCs w:val="17"/>
              </w:rPr>
              <w:t xml:space="preserve">Decide whether a site can actually be built</w:t>
            </w:r>
          </w:p>
        </w:tc>
        <w:tc>
          <w:tcPr>
            <w:tcW w:type="dxa" w:w="3746"/>
            <w:tcMar>
              <w:top w:type="dxa" w:w="60"/>
              <w:left w:type="dxa" w:w="100"/>
              <w:bottom w:type="dxa" w:w="60"/>
              <w:right w:type="dxa" w:w="100"/>
            </w:tcMar>
          </w:tcPr>
          <w:p>
            <w:pPr>
              <w:spacing w:after="0" w:line="252"/>
              <w:jc w:val="left"/>
            </w:pPr>
            <w:r>
              <w:rPr>
                <w:b w:val="false"/>
                <w:bCs w:val="false"/>
                <w:sz w:val="17"/>
                <w:szCs w:val="17"/>
              </w:rPr>
              <w:t xml:space="preserve">Out of scope. Recommended sites are planning candidates that need separate verification.</w:t>
            </w:r>
          </w:p>
        </w:tc>
      </w:tr>
      <w:tr>
        <w:trPr>
          <w:cantSplit/>
        </w:trPr>
        <w:tc>
          <w:tcPr>
            <w:tcW w:type="dxa" w:w="3000"/>
            <w:tcMar>
              <w:top w:type="dxa" w:w="60"/>
              <w:left w:type="dxa" w:w="100"/>
              <w:bottom w:type="dxa" w:w="60"/>
              <w:right w:type="dxa" w:w="100"/>
            </w:tcMar>
          </w:tcPr>
          <w:p>
            <w:pPr>
              <w:spacing w:after="0" w:line="252"/>
              <w:jc w:val="left"/>
            </w:pPr>
            <w:r>
              <w:rPr>
                <w:b w:val="false"/>
                <w:bCs w:val="false"/>
                <w:sz w:val="17"/>
                <w:szCs w:val="17"/>
              </w:rPr>
              <w:t xml:space="preserve">Capacity of mall carparks</w:t>
            </w:r>
          </w:p>
        </w:tc>
        <w:tc>
          <w:tcPr>
            <w:tcW w:type="dxa" w:w="3000"/>
            <w:tcMar>
              <w:top w:type="dxa" w:w="60"/>
              <w:left w:type="dxa" w:w="100"/>
              <w:bottom w:type="dxa" w:w="60"/>
              <w:right w:type="dxa" w:w="100"/>
            </w:tcMar>
          </w:tcPr>
          <w:p>
            <w:pPr>
              <w:spacing w:after="0" w:line="252"/>
              <w:jc w:val="left"/>
            </w:pPr>
            <w:r>
              <w:rPr>
                <w:b w:val="false"/>
                <w:bCs w:val="false"/>
                <w:sz w:val="17"/>
                <w:szCs w:val="17"/>
              </w:rPr>
              <w:t xml:space="preserve">Needed for the site-capacity limit</w:t>
            </w:r>
          </w:p>
        </w:tc>
        <w:tc>
          <w:tcPr>
            <w:tcW w:type="dxa" w:w="3746"/>
            <w:tcMar>
              <w:top w:type="dxa" w:w="60"/>
              <w:left w:type="dxa" w:w="100"/>
              <w:bottom w:type="dxa" w:w="60"/>
              <w:right w:type="dxa" w:w="100"/>
            </w:tcMar>
          </w:tcPr>
          <w:p>
            <w:pPr>
              <w:spacing w:after="0" w:line="252"/>
              <w:jc w:val="left"/>
            </w:pPr>
            <w:r>
              <w:rPr>
                <w:b w:val="false"/>
                <w:bCs w:val="false"/>
                <w:sz w:val="17"/>
                <w:szCs w:val="17"/>
              </w:rPr>
              <w:t xml:space="preserve">Highest number of free lots ever observed, used as a lower bound.</w:t>
            </w:r>
          </w:p>
        </w:tc>
      </w:tr>
      <w:tr>
        <w:trPr>
          <w:cantSplit/>
        </w:trPr>
        <w:tc>
          <w:tcPr>
            <w:tcW w:type="dxa" w:w="3000"/>
            <w:tcMar>
              <w:top w:type="dxa" w:w="60"/>
              <w:left w:type="dxa" w:w="100"/>
              <w:bottom w:type="dxa" w:w="60"/>
              <w:right w:type="dxa" w:w="100"/>
            </w:tcMar>
          </w:tcPr>
          <w:p>
            <w:pPr>
              <w:spacing w:after="0" w:line="252"/>
              <w:jc w:val="left"/>
            </w:pPr>
            <w:r>
              <w:rPr>
                <w:b w:val="false"/>
                <w:bCs w:val="false"/>
                <w:sz w:val="17"/>
                <w:szCs w:val="17"/>
              </w:rPr>
              <w:t xml:space="preserve">Condo and other private carparks</w:t>
            </w:r>
          </w:p>
        </w:tc>
        <w:tc>
          <w:tcPr>
            <w:tcW w:type="dxa" w:w="3000"/>
            <w:tcMar>
              <w:top w:type="dxa" w:w="60"/>
              <w:left w:type="dxa" w:w="100"/>
              <w:bottom w:type="dxa" w:w="60"/>
              <w:right w:type="dxa" w:w="100"/>
            </w:tcMar>
          </w:tcPr>
          <w:p>
            <w:pPr>
              <w:spacing w:after="0" w:line="252"/>
              <w:jc w:val="left"/>
            </w:pPr>
            <w:r>
              <w:rPr>
                <w:b w:val="false"/>
                <w:bCs w:val="false"/>
                <w:sz w:val="17"/>
                <w:szCs w:val="17"/>
              </w:rPr>
              <w:t xml:space="preserve">They hold the 20,000 private-charger share</w:t>
            </w:r>
          </w:p>
        </w:tc>
        <w:tc>
          <w:tcPr>
            <w:tcW w:type="dxa" w:w="3746"/>
            <w:tcMar>
              <w:top w:type="dxa" w:w="60"/>
              <w:left w:type="dxa" w:w="100"/>
              <w:bottom w:type="dxa" w:w="60"/>
              <w:right w:type="dxa" w:w="100"/>
            </w:tcMar>
          </w:tcPr>
          <w:p>
            <w:pPr>
              <w:spacing w:after="0" w:line="252"/>
              <w:jc w:val="left"/>
            </w:pPr>
            <w:r>
              <w:rPr>
                <w:b w:val="false"/>
                <w:bCs w:val="false"/>
                <w:sz w:val="17"/>
                <w:szCs w:val="17"/>
              </w:rPr>
              <w:t xml:space="preserve">Out of scope: we plan public sites only.</w:t>
            </w:r>
          </w:p>
        </w:tc>
      </w:tr>
    </w:tbl>
    <w:p>
      <w:pPr>
        <w:spacing w:after="60"/>
      </w:pPr>
    </w:p>
    <w:p>
      <w:pPr>
        <w:pStyle w:val="Heading2"/>
      </w:pPr>
      <w:r>
        <w:t xml:space="preserve">6. Datasets we checked but don't use</w:t>
      </w:r>
    </w:p>
    <w:p>
      <w:pPr>
        <w:spacing w:after="140" w:line="276"/>
      </w:pPr>
      <w:r>
        <w:rPr>
          <w:b w:val="false"/>
          <w:bCs w:val="false"/>
          <w:sz w:val="21"/>
          <w:szCs w:val="21"/>
        </w:rPr>
        <w:t xml:space="preserve">Each one repeats data we already have, is too old, or does not fit the proposal.</w:t>
      </w:r>
    </w:p>
    <w:tbl>
      <w:tblPr>
        <w:tblW w:type="dxa" w:w="9746"/>
        <w:tblBorders>
          <w:top w:val="single" w:color="C9CED6" w:sz="4"/>
          <w:left w:val="single" w:color="C9CED6" w:sz="4"/>
          <w:bottom w:val="single" w:color="C9CED6" w:sz="4"/>
          <w:right w:val="single" w:color="C9CED6" w:sz="4"/>
          <w:insideH w:val="single" w:color="C9CED6" w:sz="4"/>
          <w:insideV w:val="single" w:color="C9CED6" w:sz="4"/>
        </w:tblBorders>
      </w:tblPr>
      <w:tblGrid>
        <w:gridCol w:w="3600"/>
        <w:gridCol w:w="6146"/>
      </w:tblGrid>
      <w:tr>
        <w:trPr>
          <w:cantSplit/>
          <w:tblHeader/>
        </w:trPr>
        <w:tc>
          <w:tcPr>
            <w:tcW w:type="dxa" w:w="3600"/>
            <w:shd w:fill="F2F4F7" w:color="auto" w:val="clear"/>
            <w:tcMar>
              <w:top w:type="dxa" w:w="60"/>
              <w:left w:type="dxa" w:w="100"/>
              <w:bottom w:type="dxa" w:w="60"/>
              <w:right w:type="dxa" w:w="100"/>
            </w:tcMar>
          </w:tcPr>
          <w:p>
            <w:pPr>
              <w:spacing w:after="0" w:line="252"/>
              <w:jc w:val="left"/>
            </w:pPr>
            <w:r>
              <w:rPr>
                <w:b/>
                <w:bCs/>
                <w:sz w:val="17"/>
                <w:szCs w:val="17"/>
              </w:rPr>
              <w:t xml:space="preserve">Dataset</w:t>
            </w:r>
          </w:p>
        </w:tc>
        <w:tc>
          <w:tcPr>
            <w:tcW w:type="dxa" w:w="6146"/>
            <w:shd w:fill="F2F4F7" w:color="auto" w:val="clear"/>
            <w:tcMar>
              <w:top w:type="dxa" w:w="60"/>
              <w:left w:type="dxa" w:w="100"/>
              <w:bottom w:type="dxa" w:w="60"/>
              <w:right w:type="dxa" w:w="100"/>
            </w:tcMar>
          </w:tcPr>
          <w:p>
            <w:pPr>
              <w:spacing w:after="0" w:line="252"/>
              <w:jc w:val="left"/>
            </w:pPr>
            <w:r>
              <w:rPr>
                <w:b/>
                <w:bCs/>
                <w:sz w:val="17"/>
                <w:szCs w:val="17"/>
              </w:rPr>
              <w:t xml:space="preserve">Why we skip it</w:t>
            </w:r>
          </w:p>
        </w:tc>
      </w:tr>
      <w:tr>
        <w:trPr>
          <w:cantSplit/>
        </w:trPr>
        <w:tc>
          <w:tcPr>
            <w:tcW w:type="dxa" w:w="3600"/>
            <w:tcMar>
              <w:top w:type="dxa" w:w="60"/>
              <w:left w:type="dxa" w:w="100"/>
              <w:bottom w:type="dxa" w:w="60"/>
              <w:right w:type="dxa" w:w="100"/>
            </w:tcMar>
          </w:tcPr>
          <w:p>
            <w:pPr>
              <w:spacing w:after="0" w:line="252"/>
              <w:jc w:val="left"/>
            </w:pPr>
            <w:hyperlink w:history="1" r:id="rIdg8y8p0p8m1_z02x6xnvvm">
              <w:r>
                <w:rPr>
                  <w:b w:val="false"/>
                  <w:bCs w:val="false"/>
                  <w:color w:val="0B5CAD"/>
                  <w:sz w:val="17"/>
                  <w:szCs w:val="17"/>
                  <w:u w:val="single"/>
                </w:rPr>
                <w:t xml:space="preserve">EV Charging Points (by postal code)</w:t>
              </w:r>
            </w:hyperlink>
            <w:r>
              <w:rPr>
                <w:b w:val="false"/>
                <w:bCs w:val="false"/>
                <w:sz w:val="17"/>
                <w:szCs w:val="17"/>
              </w:rPr>
              <w:t xml:space="preserve"> · LTA API</w:t>
            </w:r>
          </w:p>
        </w:tc>
        <w:tc>
          <w:tcPr>
            <w:tcW w:type="dxa" w:w="6146"/>
            <w:tcMar>
              <w:top w:type="dxa" w:w="60"/>
              <w:left w:type="dxa" w:w="100"/>
              <w:bottom w:type="dxa" w:w="60"/>
              <w:right w:type="dxa" w:w="100"/>
            </w:tcMar>
          </w:tcPr>
          <w:p>
            <w:pPr>
              <w:spacing w:after="0" w:line="252"/>
              <w:jc w:val="left"/>
            </w:pPr>
            <w:r>
              <w:rPr>
                <w:b w:val="false"/>
                <w:bCs w:val="false"/>
                <w:sz w:val="17"/>
                <w:szCs w:val="17"/>
              </w:rPr>
              <w:t xml:space="preserve">Same data as the Batch feed, one postal code per call. Only useful for a consumer-facing app, which is out of scope.</w:t>
            </w:r>
          </w:p>
        </w:tc>
      </w:tr>
      <w:tr>
        <w:trPr>
          <w:cantSplit/>
        </w:trPr>
        <w:tc>
          <w:tcPr>
            <w:tcW w:type="dxa" w:w="3600"/>
            <w:tcMar>
              <w:top w:type="dxa" w:w="60"/>
              <w:left w:type="dxa" w:w="100"/>
              <w:bottom w:type="dxa" w:w="60"/>
              <w:right w:type="dxa" w:w="100"/>
            </w:tcMar>
          </w:tcPr>
          <w:p>
            <w:pPr>
              <w:spacing w:after="0" w:line="252"/>
              <w:jc w:val="left"/>
            </w:pPr>
            <w:r>
              <w:rPr>
                <w:b w:val="false"/>
                <w:bCs w:val="false"/>
                <w:sz w:val="17"/>
                <w:szCs w:val="17"/>
              </w:rPr>
              <w:t xml:space="preserve">HDB rows in LTA's Carpark Availability</w:t>
            </w:r>
          </w:p>
        </w:tc>
        <w:tc>
          <w:tcPr>
            <w:tcW w:type="dxa" w:w="6146"/>
            <w:tcMar>
              <w:top w:type="dxa" w:w="60"/>
              <w:left w:type="dxa" w:w="100"/>
              <w:bottom w:type="dxa" w:w="60"/>
              <w:right w:type="dxa" w:w="100"/>
            </w:tcMar>
          </w:tcPr>
          <w:p>
            <w:pPr>
              <w:spacing w:after="0" w:line="252"/>
              <w:jc w:val="left"/>
            </w:pPr>
            <w:r>
              <w:rPr>
                <w:b w:val="false"/>
                <w:bCs w:val="false"/>
                <w:sz w:val="17"/>
                <w:szCs w:val="17"/>
              </w:rPr>
              <w:t xml:space="preserve">Same numbers as the data.gov.sg HDB feed, which also has total lots and history. Using both would count HDB carparks twice.</w:t>
            </w:r>
          </w:p>
        </w:tc>
      </w:tr>
      <w:tr>
        <w:trPr>
          <w:cantSplit/>
        </w:trPr>
        <w:tc>
          <w:tcPr>
            <w:tcW w:type="dxa" w:w="3600"/>
            <w:tcMar>
              <w:top w:type="dxa" w:w="60"/>
              <w:left w:type="dxa" w:w="100"/>
              <w:bottom w:type="dxa" w:w="60"/>
              <w:right w:type="dxa" w:w="100"/>
            </w:tcMar>
          </w:tcPr>
          <w:p>
            <w:pPr>
              <w:spacing w:after="0" w:line="252"/>
              <w:jc w:val="left"/>
            </w:pPr>
            <w:hyperlink w:history="1" r:id="rIdlynep_lmn11qip9vl_4dl">
              <w:r>
                <w:rPr>
                  <w:b w:val="false"/>
                  <w:bCs w:val="false"/>
                  <w:color w:val="0B5CAD"/>
                  <w:sz w:val="17"/>
                  <w:szCs w:val="17"/>
                  <w:u w:val="single"/>
                </w:rPr>
                <w:t xml:space="preserve">Master Plan 2019 Subzone Boundary</w:t>
              </w:r>
            </w:hyperlink>
          </w:p>
        </w:tc>
        <w:tc>
          <w:tcPr>
            <w:tcW w:type="dxa" w:w="6146"/>
            <w:tcMar>
              <w:top w:type="dxa" w:w="60"/>
              <w:left w:type="dxa" w:w="100"/>
              <w:bottom w:type="dxa" w:w="60"/>
              <w:right w:type="dxa" w:w="100"/>
            </w:tcMar>
          </w:tcPr>
          <w:p>
            <w:pPr>
              <w:spacing w:after="0" w:line="252"/>
              <w:jc w:val="left"/>
            </w:pPr>
            <w:r>
              <w:rPr>
                <w:b w:val="false"/>
                <w:bCs w:val="false"/>
                <w:sz w:val="17"/>
                <w:szCs w:val="17"/>
              </w:rPr>
              <w:t xml:space="preserve">Replaced by the Master Plan 2025 planning areas the proposal uses. Mixing plan years misaligns boundaries.</w:t>
            </w:r>
          </w:p>
        </w:tc>
      </w:tr>
      <w:tr>
        <w:trPr>
          <w:cantSplit/>
        </w:trPr>
        <w:tc>
          <w:tcPr>
            <w:tcW w:type="dxa" w:w="3600"/>
            <w:tcMar>
              <w:top w:type="dxa" w:w="60"/>
              <w:left w:type="dxa" w:w="100"/>
              <w:bottom w:type="dxa" w:w="60"/>
              <w:right w:type="dxa" w:w="100"/>
            </w:tcMar>
          </w:tcPr>
          <w:p>
            <w:pPr>
              <w:spacing w:after="0" w:line="252"/>
              <w:jc w:val="left"/>
            </w:pPr>
            <w:hyperlink w:history="1" r:id="rIdt8brgwh299e5dqfwy1rxs">
              <w:r>
                <w:rPr>
                  <w:b w:val="false"/>
                  <w:bCs w:val="false"/>
                  <w:color w:val="0B5CAD"/>
                  <w:sz w:val="17"/>
                  <w:szCs w:val="17"/>
                  <w:u w:val="single"/>
                </w:rPr>
                <w:t xml:space="preserve">OneMap Themes API</w:t>
              </w:r>
            </w:hyperlink>
          </w:p>
        </w:tc>
        <w:tc>
          <w:tcPr>
            <w:tcW w:type="dxa" w:w="6146"/>
            <w:tcMar>
              <w:top w:type="dxa" w:w="60"/>
              <w:left w:type="dxa" w:w="100"/>
              <w:bottom w:type="dxa" w:w="60"/>
              <w:right w:type="dxa" w:w="100"/>
            </w:tcMar>
          </w:tcPr>
          <w:p>
            <w:pPr>
              <w:spacing w:after="0" w:line="252"/>
              <w:jc w:val="left"/>
            </w:pPr>
            <w:r>
              <w:rPr>
                <w:b w:val="false"/>
                <w:bCs w:val="false"/>
                <w:sz w:val="17"/>
                <w:szCs w:val="17"/>
              </w:rPr>
              <w:t xml:space="preserve">Replaced by the NEA, PA and Customs layers, which are official agency datasets for the exact candidate types in the proposal and need no token.</w:t>
            </w:r>
          </w:p>
        </w:tc>
      </w:tr>
      <w:tr>
        <w:trPr>
          <w:cantSplit/>
        </w:trPr>
        <w:tc>
          <w:tcPr>
            <w:tcW w:type="dxa" w:w="3600"/>
            <w:tcMar>
              <w:top w:type="dxa" w:w="60"/>
              <w:left w:type="dxa" w:w="100"/>
              <w:bottom w:type="dxa" w:w="60"/>
              <w:right w:type="dxa" w:w="100"/>
            </w:tcMar>
          </w:tcPr>
          <w:p>
            <w:pPr>
              <w:spacing w:after="0" w:line="252"/>
              <w:jc w:val="left"/>
            </w:pPr>
            <w:hyperlink w:history="1" r:id="rIdntv4fgerrkbfgdtp5dyia">
              <w:r>
                <w:rPr>
                  <w:b w:val="false"/>
                  <w:bCs w:val="false"/>
                  <w:color w:val="0B5CAD"/>
                  <w:sz w:val="17"/>
                  <w:szCs w:val="17"/>
                  <w:u w:val="single"/>
                </w:rPr>
                <w:t xml:space="preserve">URA Parking Lot (GeoJSON)</w:t>
              </w:r>
            </w:hyperlink>
            <w:r>
              <w:rPr>
                <w:b w:val="false"/>
                <w:bCs w:val="false"/>
                <w:sz w:val="17"/>
                <w:szCs w:val="17"/>
              </w:rPr>
              <w:t xml:space="preserve"> · data.gov.sg</w:t>
            </w:r>
          </w:p>
        </w:tc>
        <w:tc>
          <w:tcPr>
            <w:tcW w:type="dxa" w:w="6146"/>
            <w:tcMar>
              <w:top w:type="dxa" w:w="60"/>
              <w:left w:type="dxa" w:w="100"/>
              <w:bottom w:type="dxa" w:w="60"/>
              <w:right w:type="dxa" w:w="100"/>
            </w:tcMar>
          </w:tcPr>
          <w:p>
            <w:pPr>
              <w:spacing w:after="0" w:line="252"/>
              <w:jc w:val="left"/>
            </w:pPr>
            <w:r>
              <w:rPr>
                <w:b w:val="false"/>
                <w:bCs w:val="false"/>
                <w:sz w:val="17"/>
                <w:szCs w:val="17"/>
              </w:rPr>
              <w:t xml:space="preserve">Draws every single parking bay. We only need the total per carpark, which URA Capacity already gives.</w:t>
            </w:r>
          </w:p>
        </w:tc>
      </w:tr>
      <w:tr>
        <w:trPr>
          <w:cantSplit/>
        </w:trPr>
        <w:tc>
          <w:tcPr>
            <w:tcW w:type="dxa" w:w="3600"/>
            <w:tcMar>
              <w:top w:type="dxa" w:w="60"/>
              <w:left w:type="dxa" w:w="100"/>
              <w:bottom w:type="dxa" w:w="60"/>
              <w:right w:type="dxa" w:w="100"/>
            </w:tcMar>
          </w:tcPr>
          <w:p>
            <w:pPr>
              <w:spacing w:after="0" w:line="252"/>
              <w:jc w:val="left"/>
            </w:pPr>
            <w:hyperlink w:history="1" r:id="rId0aop7idf_rrpp8hlqihcf">
              <w:r>
                <w:rPr>
                  <w:b w:val="false"/>
                  <w:bCs w:val="false"/>
                  <w:color w:val="0B5CAD"/>
                  <w:sz w:val="17"/>
                  <w:szCs w:val="17"/>
                  <w:u w:val="single"/>
                </w:rPr>
                <w:t xml:space="preserve">URA Car Park Availability API</w:t>
              </w:r>
            </w:hyperlink>
            <w:r>
              <w:rPr>
                <w:b w:val="false"/>
                <w:bCs w:val="false"/>
                <w:sz w:val="17"/>
                <w:szCs w:val="17"/>
              </w:rPr>
              <w:t xml:space="preserve"> · URA</w:t>
            </w:r>
          </w:p>
        </w:tc>
        <w:tc>
          <w:tcPr>
            <w:tcW w:type="dxa" w:w="6146"/>
            <w:tcMar>
              <w:top w:type="dxa" w:w="60"/>
              <w:left w:type="dxa" w:w="100"/>
              <w:bottom w:type="dxa" w:w="60"/>
              <w:right w:type="dxa" w:w="100"/>
            </w:tcMar>
          </w:tcPr>
          <w:p>
            <w:pPr>
              <w:spacing w:after="0" w:line="252"/>
              <w:jc w:val="left"/>
            </w:pPr>
            <w:r>
              <w:rPr>
                <w:b w:val="false"/>
                <w:bCs w:val="false"/>
                <w:sz w:val="17"/>
                <w:szCs w:val="17"/>
              </w:rPr>
              <w:t xml:space="preserve">URA carparks are already in LTA's carpark feed. This one also needs an access key plus a new token every day.</w:t>
            </w:r>
          </w:p>
        </w:tc>
      </w:tr>
      <w:tr>
        <w:trPr>
          <w:cantSplit/>
        </w:trPr>
        <w:tc>
          <w:tcPr>
            <w:tcW w:type="dxa" w:w="3600"/>
            <w:tcMar>
              <w:top w:type="dxa" w:w="60"/>
              <w:left w:type="dxa" w:w="100"/>
              <w:bottom w:type="dxa" w:w="60"/>
              <w:right w:type="dxa" w:w="100"/>
            </w:tcMar>
          </w:tcPr>
          <w:p>
            <w:pPr>
              <w:spacing w:after="0" w:line="252"/>
              <w:jc w:val="left"/>
            </w:pPr>
            <w:hyperlink w:history="1" r:id="rIdnnukhawk8ecjfwawiscop">
              <w:r>
                <w:rPr>
                  <w:b w:val="false"/>
                  <w:bCs w:val="false"/>
                  <w:color w:val="0B5CAD"/>
                  <w:sz w:val="17"/>
                  <w:szCs w:val="17"/>
                  <w:u w:val="single"/>
                </w:rPr>
                <w:t xml:space="preserve">URA Carpark Information by Type of Lot</w:t>
              </w:r>
            </w:hyperlink>
            <w:r>
              <w:rPr>
                <w:b w:val="false"/>
                <w:bCs w:val="false"/>
                <w:sz w:val="17"/>
                <w:szCs w:val="17"/>
              </w:rPr>
              <w:t xml:space="preserve">, </w:t>
            </w:r>
            <w:hyperlink w:history="1" r:id="rIda4p7qwxornrmqktvyimt7">
              <w:r>
                <w:rPr>
                  <w:b w:val="false"/>
                  <w:bCs w:val="false"/>
                  <w:color w:val="0B5CAD"/>
                  <w:sz w:val="17"/>
                  <w:szCs w:val="17"/>
                  <w:u w:val="single"/>
                </w:rPr>
                <w:t xml:space="preserve">URA Season Parking</w:t>
              </w:r>
            </w:hyperlink>
            <w:r>
              <w:rPr>
                <w:b w:val="false"/>
                <w:bCs w:val="false"/>
                <w:sz w:val="17"/>
                <w:szCs w:val="17"/>
              </w:rPr>
              <w:t xml:space="preserve"> · data.gov.sg</w:t>
            </w:r>
          </w:p>
        </w:tc>
        <w:tc>
          <w:tcPr>
            <w:tcW w:type="dxa" w:w="6146"/>
            <w:tcMar>
              <w:top w:type="dxa" w:w="60"/>
              <w:left w:type="dxa" w:w="100"/>
              <w:bottom w:type="dxa" w:w="60"/>
              <w:right w:type="dxa" w:w="100"/>
            </w:tcMar>
          </w:tcPr>
          <w:p>
            <w:pPr>
              <w:spacing w:after="0" w:line="252"/>
              <w:jc w:val="left"/>
            </w:pPr>
            <w:r>
              <w:rPr>
                <w:b w:val="false"/>
                <w:bCs w:val="false"/>
                <w:sz w:val="17"/>
                <w:szCs w:val="17"/>
              </w:rPr>
              <w:t xml:space="preserve">Not updated since 2016 to 2017, and season-parking prices say nothing about demand.</w:t>
            </w:r>
          </w:p>
        </w:tc>
      </w:tr>
      <w:tr>
        <w:trPr>
          <w:cantSplit/>
        </w:trPr>
        <w:tc>
          <w:tcPr>
            <w:tcW w:type="dxa" w:w="3600"/>
            <w:tcMar>
              <w:top w:type="dxa" w:w="60"/>
              <w:left w:type="dxa" w:w="100"/>
              <w:bottom w:type="dxa" w:w="60"/>
              <w:right w:type="dxa" w:w="100"/>
            </w:tcMar>
          </w:tcPr>
          <w:p>
            <w:pPr>
              <w:spacing w:after="0" w:line="252"/>
              <w:jc w:val="left"/>
            </w:pPr>
            <w:hyperlink w:history="1" r:id="rIdad_yp6xg2x-uamf1sjw5_">
              <w:r>
                <w:rPr>
                  <w:b w:val="false"/>
                  <w:bCs w:val="false"/>
                  <w:color w:val="0B5CAD"/>
                  <w:sz w:val="17"/>
                  <w:szCs w:val="17"/>
                  <w:u w:val="single"/>
                </w:rPr>
                <w:t xml:space="preserve">Motor Vehicle Population by Type of Fuel Used</w:t>
              </w:r>
            </w:hyperlink>
            <w:r>
              <w:rPr>
                <w:b w:val="false"/>
                <w:bCs w:val="false"/>
                <w:sz w:val="17"/>
                <w:szCs w:val="17"/>
              </w:rPr>
              <w:t xml:space="preserve"> · data.gov.sg</w:t>
            </w:r>
          </w:p>
        </w:tc>
        <w:tc>
          <w:tcPr>
            <w:tcW w:type="dxa" w:w="6146"/>
            <w:tcMar>
              <w:top w:type="dxa" w:w="60"/>
              <w:left w:type="dxa" w:w="100"/>
              <w:bottom w:type="dxa" w:w="60"/>
              <w:right w:type="dxa" w:w="100"/>
            </w:tcMar>
          </w:tcPr>
          <w:p>
            <w:pPr>
              <w:spacing w:after="0" w:line="252"/>
              <w:jc w:val="left"/>
            </w:pPr>
            <w:r>
              <w:rPr>
                <w:b w:val="false"/>
                <w:bCs w:val="false"/>
                <w:sz w:val="17"/>
                <w:szCs w:val="17"/>
              </w:rPr>
              <w:t xml:space="preserve">Stops at January 2020.</w:t>
            </w:r>
          </w:p>
        </w:tc>
      </w:tr>
      <w:tr>
        <w:trPr>
          <w:cantSplit/>
        </w:trPr>
        <w:tc>
          <w:tcPr>
            <w:tcW w:type="dxa" w:w="3600"/>
            <w:tcMar>
              <w:top w:type="dxa" w:w="60"/>
              <w:left w:type="dxa" w:w="100"/>
              <w:bottom w:type="dxa" w:w="60"/>
              <w:right w:type="dxa" w:w="100"/>
            </w:tcMar>
          </w:tcPr>
          <w:p>
            <w:pPr>
              <w:spacing w:after="0" w:line="252"/>
              <w:jc w:val="left"/>
            </w:pPr>
            <w:hyperlink w:history="1" r:id="rIdcxo1onagkefxacj4fsls9">
              <w:r>
                <w:rPr>
                  <w:b w:val="false"/>
                  <w:bCs w:val="false"/>
                  <w:color w:val="0B5CAD"/>
                  <w:sz w:val="17"/>
                  <w:szCs w:val="17"/>
                  <w:u w:val="single"/>
                </w:rPr>
                <w:t xml:space="preserve">Annual Car Population by Make</w:t>
              </w:r>
            </w:hyperlink>
            <w:r>
              <w:rPr>
                <w:b w:val="false"/>
                <w:bCs w:val="false"/>
                <w:sz w:val="17"/>
                <w:szCs w:val="17"/>
              </w:rPr>
              <w:t xml:space="preserve"> · data.gov.sg</w:t>
            </w:r>
          </w:p>
        </w:tc>
        <w:tc>
          <w:tcPr>
            <w:tcW w:type="dxa" w:w="6146"/>
            <w:tcMar>
              <w:top w:type="dxa" w:w="60"/>
              <w:left w:type="dxa" w:w="100"/>
              <w:bottom w:type="dxa" w:w="60"/>
              <w:right w:type="dxa" w:w="100"/>
            </w:tcMar>
          </w:tcPr>
          <w:p>
            <w:pPr>
              <w:spacing w:after="0" w:line="252"/>
              <w:jc w:val="left"/>
            </w:pPr>
            <w:r>
              <w:rPr>
                <w:b w:val="false"/>
                <w:bCs w:val="false"/>
                <w:sz w:val="17"/>
                <w:szCs w:val="17"/>
              </w:rPr>
              <w:t xml:space="preserve">Ends at 2024. Monthly registrations and the EV dashboard already give the trend and today's total.</w:t>
            </w:r>
          </w:p>
        </w:tc>
      </w:tr>
    </w:tbl>
    <w:p>
      <w:pPr>
        <w:spacing w:after="60"/>
      </w:pPr>
    </w:p>
    <w:p>
      <w:pPr>
        <w:pStyle w:val="Heading2"/>
      </w:pPr>
      <w:r>
        <w:t xml:space="preserve">7. Evaluation metrics</w:t>
      </w:r>
    </w:p>
    <w:p>
      <w:pPr>
        <w:pStyle w:val="Heading3"/>
      </w:pPr>
      <w:r>
        <w:t xml:space="preserve">Why we can set metrics before the model exists</w:t>
      </w:r>
    </w:p>
    <w:p>
      <w:pPr>
        <w:spacing w:after="140" w:line="276"/>
      </w:pPr>
      <w:r>
        <w:rPr>
          <w:b w:val="false"/>
          <w:bCs w:val="false"/>
          <w:sz w:val="21"/>
          <w:szCs w:val="21"/>
        </w:rPr>
        <w:t xml:space="preserve">An evaluation metric is </w:t>
      </w:r>
      <w:r>
        <w:rPr>
          <w:b/>
          <w:bCs/>
          <w:sz w:val="21"/>
          <w:szCs w:val="21"/>
        </w:rPr>
        <w:t xml:space="preserve">the test, not the result</w:t>
      </w:r>
      <w:r>
        <w:rPr>
          <w:b w:val="false"/>
          <w:bCs w:val="false"/>
          <w:sz w:val="21"/>
          <w:szCs w:val="21"/>
        </w:rPr>
        <w:t xml:space="preserve">. It is like writing the exam paper before studying: the presentation shows what we will measure, what we compare against, and what counts as a pass. Nothing has to be built yet. Deciding the test first also stops us from choosing a flattering metric after seeing the results.</w:t>
      </w:r>
    </w:p>
    <w:p>
      <w:pPr>
        <w:spacing w:after="140" w:line="276"/>
      </w:pPr>
      <w:r>
        <w:rPr>
          <w:b w:val="false"/>
          <w:bCs w:val="false"/>
          <w:sz w:val="21"/>
          <w:szCs w:val="21"/>
        </w:rPr>
        <w:t xml:space="preserve">Nobody publishes the "right" charger locations, so we create our own answer keys in four ways:</w:t>
      </w:r>
    </w:p>
    <w:p>
      <w:pPr>
        <w:pStyle w:val="ListParagraph"/>
        <w:numPr>
          <w:ilvl w:val="0"/>
          <w:numId w:val="3"/>
        </w:numPr>
        <w:spacing w:after="60" w:line="276"/>
      </w:pPr>
      <w:r>
        <w:rPr>
          <w:b/>
          <w:bCs/>
          <w:sz w:val="21"/>
          <w:szCs w:val="21"/>
        </w:rPr>
        <w:t xml:space="preserve">Hide part of our own data. </w:t>
      </w:r>
      <w:r>
        <w:rPr>
          <w:b w:val="false"/>
          <w:bCs w:val="false"/>
          <w:sz w:val="21"/>
          <w:szCs w:val="21"/>
        </w:rPr>
        <w:t xml:space="preserve">Fit on most days, then check predictions on the hidden days. Or hide sites that do have chargers and check whether we can predict their usage from similar sites.</w:t>
      </w:r>
    </w:p>
    <w:p>
      <w:pPr>
        <w:pStyle w:val="ListParagraph"/>
        <w:numPr>
          <w:ilvl w:val="0"/>
          <w:numId w:val="3"/>
        </w:numPr>
        <w:spacing w:after="60" w:line="276"/>
      </w:pPr>
      <w:r>
        <w:rPr>
          <w:b/>
          <w:bCs/>
          <w:sz w:val="21"/>
          <w:szCs w:val="21"/>
        </w:rPr>
        <w:t xml:space="preserve">Write the expected answers by hand, before running. </w:t>
      </w:r>
      <w:r>
        <w:rPr>
          <w:b w:val="false"/>
          <w:bCs w:val="false"/>
          <w:sz w:val="21"/>
          <w:szCs w:val="21"/>
        </w:rPr>
        <w:t xml:space="preserve">For example, 30 test sites with the outcome a planner would expect.</w:t>
      </w:r>
    </w:p>
    <w:p>
      <w:pPr>
        <w:pStyle w:val="ListParagraph"/>
        <w:numPr>
          <w:ilvl w:val="0"/>
          <w:numId w:val="3"/>
        </w:numPr>
        <w:spacing w:after="60" w:line="276"/>
      </w:pPr>
      <w:r>
        <w:rPr>
          <w:b/>
          <w:bCs/>
          <w:sz w:val="21"/>
          <w:szCs w:val="21"/>
        </w:rPr>
        <w:t xml:space="preserve">Compare against simple baselines under the same constraints. </w:t>
      </w:r>
      <w:r>
        <w:rPr>
          <w:b w:val="false"/>
          <w:bCs w:val="false"/>
          <w:sz w:val="21"/>
          <w:szCs w:val="21"/>
        </w:rPr>
        <w:t xml:space="preserve">The proposal already plans this for Week 6.</w:t>
      </w:r>
    </w:p>
    <w:p>
      <w:pPr>
        <w:pStyle w:val="ListParagraph"/>
        <w:numPr>
          <w:ilvl w:val="0"/>
          <w:numId w:val="3"/>
        </w:numPr>
        <w:spacing w:after="60" w:line="276"/>
      </w:pPr>
      <w:r>
        <w:rPr>
          <w:b/>
          <w:bCs/>
          <w:sz w:val="21"/>
          <w:szCs w:val="21"/>
        </w:rPr>
        <w:t xml:space="preserve">Check rules that must always hold. </w:t>
      </w:r>
      <w:r>
        <w:rPr>
          <w:b w:val="false"/>
          <w:bCs w:val="false"/>
          <w:sz w:val="21"/>
          <w:szCs w:val="21"/>
        </w:rPr>
        <w:t xml:space="preserve">No broken constraints, and a reason code on every decision.</w:t>
      </w:r>
    </w:p>
    <w:p>
      <w:pPr>
        <w:spacing w:after="140" w:line="276"/>
      </w:pPr>
      <w:r>
        <w:rPr>
          <w:b w:val="false"/>
          <w:bCs w:val="false"/>
          <w:sz w:val="21"/>
          <w:szCs w:val="21"/>
        </w:rPr>
        <w:t xml:space="preserve">One group can be computed </w:t>
      </w:r>
      <w:r>
        <w:rPr>
          <w:b/>
          <w:bCs/>
          <w:sz w:val="21"/>
          <w:szCs w:val="21"/>
        </w:rPr>
        <w:t xml:space="preserve">today</w:t>
      </w:r>
      <w:r>
        <w:rPr>
          <w:b w:val="false"/>
          <w:bCs w:val="false"/>
          <w:sz w:val="21"/>
          <w:szCs w:val="21"/>
        </w:rPr>
        <w:t xml:space="preserve">: the data-quality metrics in row 1, using the week of data already collected. Real numbers on the slide show the collection works.</w:t>
      </w:r>
    </w:p>
    <w:p>
      <w:pPr>
        <w:pStyle w:val="Heading3"/>
      </w:pPr>
      <w:r>
        <w:t xml:space="preserve">Metrics by stage and technique group</w:t>
      </w:r>
    </w:p>
    <w:tbl>
      <w:tblPr>
        <w:tblW w:type="dxa" w:w="9746"/>
        <w:tblBorders>
          <w:top w:val="single" w:color="C9CED6" w:sz="4"/>
          <w:left w:val="single" w:color="C9CED6" w:sz="4"/>
          <w:bottom w:val="single" w:color="C9CED6" w:sz="4"/>
          <w:right w:val="single" w:color="C9CED6" w:sz="4"/>
          <w:insideH w:val="single" w:color="C9CED6" w:sz="4"/>
          <w:insideV w:val="single" w:color="C9CED6" w:sz="4"/>
        </w:tblBorders>
      </w:tblPr>
      <w:tblGrid>
        <w:gridCol w:w="1650"/>
        <w:gridCol w:w="1850"/>
        <w:gridCol w:w="3246"/>
        <w:gridCol w:w="1450"/>
        <w:gridCol w:w="1550"/>
      </w:tblGrid>
      <w:tr>
        <w:trPr>
          <w:cantSplit/>
          <w:tblHeader/>
        </w:trPr>
        <w:tc>
          <w:tcPr>
            <w:tcW w:type="dxa" w:w="1650"/>
            <w:shd w:fill="F2F4F7" w:color="auto" w:val="clear"/>
            <w:tcMar>
              <w:top w:type="dxa" w:w="60"/>
              <w:left w:type="dxa" w:w="100"/>
              <w:bottom w:type="dxa" w:w="60"/>
              <w:right w:type="dxa" w:w="100"/>
            </w:tcMar>
          </w:tcPr>
          <w:p>
            <w:pPr>
              <w:spacing w:after="0" w:line="252"/>
              <w:jc w:val="left"/>
            </w:pPr>
            <w:r>
              <w:rPr>
                <w:b/>
                <w:bCs/>
                <w:sz w:val="17"/>
                <w:szCs w:val="17"/>
              </w:rPr>
              <w:t xml:space="preserve">Stage · technique group</w:t>
            </w:r>
          </w:p>
        </w:tc>
        <w:tc>
          <w:tcPr>
            <w:tcW w:type="dxa" w:w="1850"/>
            <w:shd w:fill="F2F4F7" w:color="auto" w:val="clear"/>
            <w:tcMar>
              <w:top w:type="dxa" w:w="60"/>
              <w:left w:type="dxa" w:w="100"/>
              <w:bottom w:type="dxa" w:w="60"/>
              <w:right w:type="dxa" w:w="100"/>
            </w:tcMar>
          </w:tcPr>
          <w:p>
            <w:pPr>
              <w:spacing w:after="0" w:line="252"/>
              <w:jc w:val="left"/>
            </w:pPr>
            <w:r>
              <w:rPr>
                <w:b/>
                <w:bCs/>
                <w:sz w:val="17"/>
                <w:szCs w:val="17"/>
              </w:rPr>
              <w:t xml:space="preserve">What we check</w:t>
            </w:r>
          </w:p>
        </w:tc>
        <w:tc>
          <w:tcPr>
            <w:tcW w:type="dxa" w:w="3246"/>
            <w:shd w:fill="F2F4F7" w:color="auto" w:val="clear"/>
            <w:tcMar>
              <w:top w:type="dxa" w:w="60"/>
              <w:left w:type="dxa" w:w="100"/>
              <w:bottom w:type="dxa" w:w="60"/>
              <w:right w:type="dxa" w:w="100"/>
            </w:tcMar>
          </w:tcPr>
          <w:p>
            <w:pPr>
              <w:spacing w:after="0" w:line="252"/>
              <w:jc w:val="left"/>
            </w:pPr>
            <w:r>
              <w:rPr>
                <w:b/>
                <w:bCs/>
                <w:sz w:val="17"/>
                <w:szCs w:val="17"/>
              </w:rPr>
              <w:t xml:space="preserve">Metric and where the answer key comes from</w:t>
            </w:r>
          </w:p>
        </w:tc>
        <w:tc>
          <w:tcPr>
            <w:tcW w:type="dxa" w:w="1450"/>
            <w:shd w:fill="F2F4F7" w:color="auto" w:val="clear"/>
            <w:tcMar>
              <w:top w:type="dxa" w:w="60"/>
              <w:left w:type="dxa" w:w="100"/>
              <w:bottom w:type="dxa" w:w="60"/>
              <w:right w:type="dxa" w:w="100"/>
            </w:tcMar>
          </w:tcPr>
          <w:p>
            <w:pPr>
              <w:spacing w:after="0" w:line="252"/>
              <w:jc w:val="left"/>
            </w:pPr>
            <w:r>
              <w:rPr>
                <w:b/>
                <w:bCs/>
                <w:sz w:val="17"/>
                <w:szCs w:val="17"/>
              </w:rPr>
              <w:t xml:space="preserve">When we can compute it</w:t>
            </w:r>
          </w:p>
        </w:tc>
        <w:tc>
          <w:tcPr>
            <w:tcW w:type="dxa" w:w="1550"/>
            <w:shd w:fill="F2F4F7" w:color="auto" w:val="clear"/>
            <w:tcMar>
              <w:top w:type="dxa" w:w="60"/>
              <w:left w:type="dxa" w:w="100"/>
              <w:bottom w:type="dxa" w:w="60"/>
              <w:right w:type="dxa" w:w="100"/>
            </w:tcMar>
          </w:tcPr>
          <w:p>
            <w:pPr>
              <w:spacing w:after="0" w:line="252"/>
              <w:jc w:val="left"/>
            </w:pPr>
            <w:r>
              <w:rPr>
                <w:b/>
                <w:bCs/>
                <w:sz w:val="17"/>
                <w:szCs w:val="17"/>
              </w:rPr>
              <w:t xml:space="preserve">Suggested target</w:t>
            </w:r>
          </w:p>
        </w:tc>
      </w:tr>
      <w:tr>
        <w:trPr>
          <w:cantSplit/>
        </w:trPr>
        <w:tc>
          <w:tcPr>
            <w:tcW w:type="dxa" w:w="1650"/>
            <w:tcMar>
              <w:top w:type="dxa" w:w="60"/>
              <w:left w:type="dxa" w:w="100"/>
              <w:bottom w:type="dxa" w:w="60"/>
              <w:right w:type="dxa" w:w="100"/>
            </w:tcMar>
          </w:tcPr>
          <w:p>
            <w:pPr>
              <w:spacing w:after="0" w:line="252"/>
              <w:jc w:val="left"/>
            </w:pPr>
            <w:r>
              <w:rPr>
                <w:b w:val="false"/>
                <w:bCs w:val="false"/>
                <w:sz w:val="17"/>
                <w:szCs w:val="17"/>
              </w:rPr>
              <w:t xml:space="preserve">1 · Data foundation</w:t>
            </w:r>
          </w:p>
        </w:tc>
        <w:tc>
          <w:tcPr>
            <w:tcW w:type="dxa" w:w="1850"/>
            <w:tcMar>
              <w:top w:type="dxa" w:w="60"/>
              <w:left w:type="dxa" w:w="100"/>
              <w:bottom w:type="dxa" w:w="60"/>
              <w:right w:type="dxa" w:w="100"/>
            </w:tcMar>
          </w:tcPr>
          <w:p>
            <w:pPr>
              <w:spacing w:after="0" w:line="252"/>
              <w:jc w:val="left"/>
            </w:pPr>
            <w:r>
              <w:rPr>
                <w:b w:val="false"/>
                <w:bCs w:val="false"/>
                <w:sz w:val="17"/>
                <w:szCs w:val="17"/>
              </w:rPr>
              <w:t xml:space="preserve">Are the feeds complete, fresh and joined correctly?</w:t>
            </w:r>
          </w:p>
        </w:tc>
        <w:tc>
          <w:tcPr>
            <w:tcW w:type="dxa" w:w="3246"/>
            <w:tcMar>
              <w:top w:type="dxa" w:w="60"/>
              <w:left w:type="dxa" w:w="100"/>
              <w:bottom w:type="dxa" w:w="60"/>
              <w:right w:type="dxa" w:w="100"/>
            </w:tcMar>
          </w:tcPr>
          <w:p>
            <w:pPr>
              <w:spacing w:after="0" w:line="252"/>
              <w:jc w:val="left"/>
            </w:pPr>
            <w:r>
              <w:rPr>
                <w:b w:val="false"/>
                <w:bCs w:val="false"/>
                <w:sz w:val="17"/>
                <w:szCs w:val="17"/>
              </w:rPr>
              <w:t xml:space="preserve">Completeness: % of expected 15-minute snapshots received per feed (96 a day). Freshness: median minutes between a record's update time and our collection. Join coverage: % of charging points matched to a site at 50/100/200 m; % of sites given a planning area.</w:t>
            </w:r>
          </w:p>
        </w:tc>
        <w:tc>
          <w:tcPr>
            <w:tcW w:type="dxa" w:w="1450"/>
            <w:tcMar>
              <w:top w:type="dxa" w:w="60"/>
              <w:left w:type="dxa" w:w="100"/>
              <w:bottom w:type="dxa" w:w="60"/>
              <w:right w:type="dxa" w:w="100"/>
            </w:tcMar>
          </w:tcPr>
          <w:p>
            <w:pPr>
              <w:spacing w:after="0" w:line="252"/>
              <w:jc w:val="left"/>
            </w:pPr>
            <w:r>
              <w:rPr>
                <w:b w:val="false"/>
                <w:bCs w:val="false"/>
                <w:sz w:val="17"/>
                <w:szCs w:val="17"/>
              </w:rPr>
              <w:t xml:space="preserve">Now, from the collected week</w:t>
            </w:r>
          </w:p>
        </w:tc>
        <w:tc>
          <w:tcPr>
            <w:tcW w:type="dxa" w:w="1550"/>
            <w:tcMar>
              <w:top w:type="dxa" w:w="60"/>
              <w:left w:type="dxa" w:w="100"/>
              <w:bottom w:type="dxa" w:w="60"/>
              <w:right w:type="dxa" w:w="100"/>
            </w:tcMar>
          </w:tcPr>
          <w:p>
            <w:pPr>
              <w:spacing w:after="0" w:line="252"/>
              <w:jc w:val="left"/>
            </w:pPr>
            <w:r>
              <w:rPr>
                <w:b w:val="false"/>
                <w:bCs w:val="false"/>
                <w:sz w:val="17"/>
                <w:szCs w:val="17"/>
              </w:rPr>
              <w:t xml:space="preserve">≥ 95% completeness; 100% of sites assigned; coverage reported</w:t>
            </w:r>
          </w:p>
        </w:tc>
      </w:tr>
      <w:tr>
        <w:trPr>
          <w:cantSplit/>
        </w:trPr>
        <w:tc>
          <w:tcPr>
            <w:tcW w:type="dxa" w:w="1650"/>
            <w:tcMar>
              <w:top w:type="dxa" w:w="60"/>
              <w:left w:type="dxa" w:w="100"/>
              <w:bottom w:type="dxa" w:w="60"/>
              <w:right w:type="dxa" w:w="100"/>
            </w:tcMar>
          </w:tcPr>
          <w:p>
            <w:pPr>
              <w:spacing w:after="0" w:line="252"/>
              <w:jc w:val="left"/>
            </w:pPr>
            <w:r>
              <w:rPr>
                <w:b w:val="false"/>
                <w:bCs w:val="false"/>
                <w:sz w:val="17"/>
                <w:szCs w:val="17"/>
              </w:rPr>
              <w:t xml:space="preserve">2 · Measurement and inference (knowledge discovery)</w:t>
            </w:r>
          </w:p>
        </w:tc>
        <w:tc>
          <w:tcPr>
            <w:tcW w:type="dxa" w:w="1850"/>
            <w:tcMar>
              <w:top w:type="dxa" w:w="60"/>
              <w:left w:type="dxa" w:w="100"/>
              <w:bottom w:type="dxa" w:w="60"/>
              <w:right w:type="dxa" w:w="100"/>
            </w:tcMar>
          </w:tcPr>
          <w:p>
            <w:pPr>
              <w:spacing w:after="0" w:line="252"/>
              <w:jc w:val="left"/>
            </w:pPr>
            <w:r>
              <w:rPr>
                <w:b w:val="false"/>
                <w:bCs w:val="false"/>
                <w:sz w:val="17"/>
                <w:szCs w:val="17"/>
              </w:rPr>
              <w:t xml:space="preserve">Does the utilisation estimate match what happens next?</w:t>
            </w:r>
          </w:p>
        </w:tc>
        <w:tc>
          <w:tcPr>
            <w:tcW w:type="dxa" w:w="3246"/>
            <w:tcMar>
              <w:top w:type="dxa" w:w="60"/>
              <w:left w:type="dxa" w:w="100"/>
              <w:bottom w:type="dxa" w:w="60"/>
              <w:right w:type="dxa" w:w="100"/>
            </w:tcMar>
          </w:tcPr>
          <w:p>
            <w:pPr>
              <w:spacing w:after="0" w:line="252"/>
              <w:jc w:val="left"/>
            </w:pPr>
            <w:r>
              <w:rPr>
                <w:b w:val="false"/>
                <w:bCs w:val="false"/>
                <w:sz w:val="17"/>
                <w:szCs w:val="17"/>
              </w:rPr>
              <w:t xml:space="preserve">Mean absolute error (MAE) of hourly utilisation per site on the last 2 days, hidden while fitting. Baseline: "same hour, previous day".</w:t>
            </w:r>
          </w:p>
        </w:tc>
        <w:tc>
          <w:tcPr>
            <w:tcW w:type="dxa" w:w="1450"/>
            <w:tcMar>
              <w:top w:type="dxa" w:w="60"/>
              <w:left w:type="dxa" w:w="100"/>
              <w:bottom w:type="dxa" w:w="60"/>
              <w:right w:type="dxa" w:w="100"/>
            </w:tcMar>
          </w:tcPr>
          <w:p>
            <w:pPr>
              <w:spacing w:after="0" w:line="252"/>
              <w:jc w:val="left"/>
            </w:pPr>
            <w:r>
              <w:rPr>
                <w:b w:val="false"/>
                <w:bCs w:val="false"/>
                <w:sz w:val="17"/>
                <w:szCs w:val="17"/>
              </w:rPr>
              <w:t xml:space="preserve">Once Stage 2 is built; data is ready</w:t>
            </w:r>
          </w:p>
        </w:tc>
        <w:tc>
          <w:tcPr>
            <w:tcW w:type="dxa" w:w="1550"/>
            <w:tcMar>
              <w:top w:type="dxa" w:w="60"/>
              <w:left w:type="dxa" w:w="100"/>
              <w:bottom w:type="dxa" w:w="60"/>
              <w:right w:type="dxa" w:w="100"/>
            </w:tcMar>
          </w:tcPr>
          <w:p>
            <w:pPr>
              <w:spacing w:after="0" w:line="252"/>
              <w:jc w:val="left"/>
            </w:pPr>
            <w:r>
              <w:rPr>
                <w:b w:val="false"/>
                <w:bCs w:val="false"/>
                <w:sz w:val="17"/>
                <w:szCs w:val="17"/>
              </w:rPr>
              <w:t xml:space="preserve">Lower MAE than the baseline</w:t>
            </w:r>
          </w:p>
        </w:tc>
      </w:tr>
      <w:tr>
        <w:trPr>
          <w:cantSplit/>
        </w:trPr>
        <w:tc>
          <w:tcPr>
            <w:tcW w:type="dxa" w:w="1650"/>
            <w:tcMar>
              <w:top w:type="dxa" w:w="60"/>
              <w:left w:type="dxa" w:w="100"/>
              <w:bottom w:type="dxa" w:w="60"/>
              <w:right w:type="dxa" w:w="100"/>
            </w:tcMar>
          </w:tcPr>
          <w:p>
            <w:pPr>
              <w:spacing w:after="0" w:line="252"/>
              <w:jc w:val="left"/>
            </w:pPr>
            <w:r>
              <w:rPr>
                <w:b w:val="false"/>
                <w:bCs w:val="false"/>
                <w:sz w:val="17"/>
                <w:szCs w:val="17"/>
              </w:rPr>
              <w:t xml:space="preserve">2 · Measurement and inference (knowledge discovery)</w:t>
            </w:r>
          </w:p>
        </w:tc>
        <w:tc>
          <w:tcPr>
            <w:tcW w:type="dxa" w:w="1850"/>
            <w:tcMar>
              <w:top w:type="dxa" w:w="60"/>
              <w:left w:type="dxa" w:w="100"/>
              <w:bottom w:type="dxa" w:w="60"/>
              <w:right w:type="dxa" w:w="100"/>
            </w:tcMar>
          </w:tcPr>
          <w:p>
            <w:pPr>
              <w:spacing w:after="0" w:line="252"/>
              <w:jc w:val="left"/>
            </w:pPr>
            <w:r>
              <w:rPr>
                <w:b w:val="false"/>
                <w:bCs w:val="false"/>
                <w:sz w:val="17"/>
                <w:szCs w:val="17"/>
              </w:rPr>
              <w:t xml:space="preserve">Can we estimate demand where no chargers exist?</w:t>
            </w:r>
          </w:p>
        </w:tc>
        <w:tc>
          <w:tcPr>
            <w:tcW w:type="dxa" w:w="3246"/>
            <w:tcMar>
              <w:top w:type="dxa" w:w="60"/>
              <w:left w:type="dxa" w:w="100"/>
              <w:bottom w:type="dxa" w:w="60"/>
              <w:right w:type="dxa" w:w="100"/>
            </w:tcMar>
          </w:tcPr>
          <w:p>
            <w:pPr>
              <w:spacing w:after="0" w:line="252"/>
              <w:jc w:val="left"/>
            </w:pPr>
            <w:r>
              <w:rPr>
                <w:b w:val="false"/>
                <w:bCs w:val="false"/>
                <w:sz w:val="17"/>
                <w:szCs w:val="17"/>
              </w:rPr>
              <w:t xml:space="preserve">Leave-site-out: hide sites that do have chargers, predict their utilisation from comparable sites and context, then compare. Spearman rank correlation between predicted and actual. Baseline: the planning-area average.</w:t>
            </w:r>
          </w:p>
        </w:tc>
        <w:tc>
          <w:tcPr>
            <w:tcW w:type="dxa" w:w="1450"/>
            <w:tcMar>
              <w:top w:type="dxa" w:w="60"/>
              <w:left w:type="dxa" w:w="100"/>
              <w:bottom w:type="dxa" w:w="60"/>
              <w:right w:type="dxa" w:w="100"/>
            </w:tcMar>
          </w:tcPr>
          <w:p>
            <w:pPr>
              <w:spacing w:after="0" w:line="252"/>
              <w:jc w:val="left"/>
            </w:pPr>
            <w:r>
              <w:rPr>
                <w:b w:val="false"/>
                <w:bCs w:val="false"/>
                <w:sz w:val="17"/>
                <w:szCs w:val="17"/>
              </w:rPr>
              <w:t xml:space="preserve">Once Stage 2 is built</w:t>
            </w:r>
          </w:p>
        </w:tc>
        <w:tc>
          <w:tcPr>
            <w:tcW w:type="dxa" w:w="1550"/>
            <w:tcMar>
              <w:top w:type="dxa" w:w="60"/>
              <w:left w:type="dxa" w:w="100"/>
              <w:bottom w:type="dxa" w:w="60"/>
              <w:right w:type="dxa" w:w="100"/>
            </w:tcMar>
          </w:tcPr>
          <w:p>
            <w:pPr>
              <w:spacing w:after="0" w:line="252"/>
              <w:jc w:val="left"/>
            </w:pPr>
            <w:r>
              <w:rPr>
                <w:b w:val="false"/>
                <w:bCs w:val="false"/>
                <w:sz w:val="17"/>
                <w:szCs w:val="17"/>
              </w:rPr>
              <w:t xml:space="preserve">Beats the baseline; for example ρ ≥ 0.5</w:t>
            </w:r>
          </w:p>
        </w:tc>
      </w:tr>
      <w:tr>
        <w:trPr>
          <w:cantSplit/>
        </w:trPr>
        <w:tc>
          <w:tcPr>
            <w:tcW w:type="dxa" w:w="1650"/>
            <w:tcMar>
              <w:top w:type="dxa" w:w="60"/>
              <w:left w:type="dxa" w:w="100"/>
              <w:bottom w:type="dxa" w:w="60"/>
              <w:right w:type="dxa" w:w="100"/>
            </w:tcMar>
          </w:tcPr>
          <w:p>
            <w:pPr>
              <w:spacing w:after="0" w:line="252"/>
              <w:jc w:val="left"/>
            </w:pPr>
            <w:r>
              <w:rPr>
                <w:b w:val="false"/>
                <w:bCs w:val="false"/>
                <w:sz w:val="17"/>
                <w:szCs w:val="17"/>
              </w:rPr>
              <w:t xml:space="preserve">3 · Scenario generation</w:t>
            </w:r>
          </w:p>
        </w:tc>
        <w:tc>
          <w:tcPr>
            <w:tcW w:type="dxa" w:w="1850"/>
            <w:tcMar>
              <w:top w:type="dxa" w:w="60"/>
              <w:left w:type="dxa" w:w="100"/>
              <w:bottom w:type="dxa" w:w="60"/>
              <w:right w:type="dxa" w:w="100"/>
            </w:tcMar>
          </w:tcPr>
          <w:p>
            <w:pPr>
              <w:spacing w:after="0" w:line="252"/>
              <w:jc w:val="left"/>
            </w:pPr>
            <w:r>
              <w:rPr>
                <w:b w:val="false"/>
                <w:bCs w:val="false"/>
                <w:sz w:val="17"/>
                <w:szCs w:val="17"/>
              </w:rPr>
              <w:t xml:space="preserve">Do results depend too much on the growth assumption?</w:t>
            </w:r>
          </w:p>
        </w:tc>
        <w:tc>
          <w:tcPr>
            <w:tcW w:type="dxa" w:w="3246"/>
            <w:tcMar>
              <w:top w:type="dxa" w:w="60"/>
              <w:left w:type="dxa" w:w="100"/>
              <w:bottom w:type="dxa" w:w="60"/>
              <w:right w:type="dxa" w:w="100"/>
            </w:tcMar>
          </w:tcPr>
          <w:p>
            <w:pPr>
              <w:spacing w:after="0" w:line="252"/>
              <w:jc w:val="left"/>
            </w:pPr>
            <w:r>
              <w:rPr>
                <w:b w:val="false"/>
                <w:bCs w:val="false"/>
                <w:sz w:val="17"/>
                <w:szCs w:val="17"/>
              </w:rPr>
              <w:t xml:space="preserve">Re-run with the growth rate 20% lower and 20% higher; count how many of the top-10 sites stay in the top 10. No answer key needed: this measures stability.</w:t>
            </w:r>
          </w:p>
        </w:tc>
        <w:tc>
          <w:tcPr>
            <w:tcW w:type="dxa" w:w="1450"/>
            <w:tcMar>
              <w:top w:type="dxa" w:w="60"/>
              <w:left w:type="dxa" w:w="100"/>
              <w:bottom w:type="dxa" w:w="60"/>
              <w:right w:type="dxa" w:w="100"/>
            </w:tcMar>
          </w:tcPr>
          <w:p>
            <w:pPr>
              <w:spacing w:after="0" w:line="252"/>
              <w:jc w:val="left"/>
            </w:pPr>
            <w:r>
              <w:rPr>
                <w:b w:val="false"/>
                <w:bCs w:val="false"/>
                <w:sz w:val="17"/>
                <w:szCs w:val="17"/>
              </w:rPr>
              <w:t xml:space="preserve">Once Stage 4 is built</w:t>
            </w:r>
          </w:p>
        </w:tc>
        <w:tc>
          <w:tcPr>
            <w:tcW w:type="dxa" w:w="1550"/>
            <w:tcMar>
              <w:top w:type="dxa" w:w="60"/>
              <w:left w:type="dxa" w:w="100"/>
              <w:bottom w:type="dxa" w:w="60"/>
              <w:right w:type="dxa" w:w="100"/>
            </w:tcMar>
          </w:tcPr>
          <w:p>
            <w:pPr>
              <w:spacing w:after="0" w:line="252"/>
              <w:jc w:val="left"/>
            </w:pPr>
            <w:r>
              <w:rPr>
                <w:b w:val="false"/>
                <w:bCs w:val="false"/>
                <w:sz w:val="17"/>
                <w:szCs w:val="17"/>
              </w:rPr>
              <w:t xml:space="preserve">Report it; flag if fewer than 7 of 10 stay</w:t>
            </w:r>
          </w:p>
        </w:tc>
      </w:tr>
      <w:tr>
        <w:trPr>
          <w:cantSplit/>
        </w:trPr>
        <w:tc>
          <w:tcPr>
            <w:tcW w:type="dxa" w:w="1650"/>
            <w:tcMar>
              <w:top w:type="dxa" w:w="60"/>
              <w:left w:type="dxa" w:w="100"/>
              <w:bottom w:type="dxa" w:w="60"/>
              <w:right w:type="dxa" w:w="100"/>
            </w:tcMar>
          </w:tcPr>
          <w:p>
            <w:pPr>
              <w:spacing w:after="0" w:line="252"/>
              <w:jc w:val="left"/>
            </w:pPr>
            <w:r>
              <w:rPr>
                <w:b w:val="false"/>
                <w:bCs w:val="false"/>
                <w:sz w:val="17"/>
                <w:szCs w:val="17"/>
              </w:rPr>
              <w:t xml:space="preserve">4 · Rules (decision automation)</w:t>
            </w:r>
          </w:p>
        </w:tc>
        <w:tc>
          <w:tcPr>
            <w:tcW w:type="dxa" w:w="1850"/>
            <w:tcMar>
              <w:top w:type="dxa" w:w="60"/>
              <w:left w:type="dxa" w:w="100"/>
              <w:bottom w:type="dxa" w:w="60"/>
              <w:right w:type="dxa" w:w="100"/>
            </w:tcMar>
          </w:tcPr>
          <w:p>
            <w:pPr>
              <w:spacing w:after="0" w:line="252"/>
              <w:jc w:val="left"/>
            </w:pPr>
            <w:r>
              <w:rPr>
                <w:b w:val="false"/>
                <w:bCs w:val="false"/>
                <w:sz w:val="17"/>
                <w:szCs w:val="17"/>
              </w:rPr>
              <w:t xml:space="preserve">Do the rules decide what a planner would?</w:t>
            </w:r>
          </w:p>
        </w:tc>
        <w:tc>
          <w:tcPr>
            <w:tcW w:type="dxa" w:w="3246"/>
            <w:tcMar>
              <w:top w:type="dxa" w:w="60"/>
              <w:left w:type="dxa" w:w="100"/>
              <w:bottom w:type="dxa" w:w="60"/>
              <w:right w:type="dxa" w:w="100"/>
            </w:tcMar>
          </w:tcPr>
          <w:p>
            <w:pPr>
              <w:spacing w:after="0" w:line="252"/>
              <w:jc w:val="left"/>
            </w:pPr>
            <w:r>
              <w:rPr>
                <w:b w:val="false"/>
                <w:bCs w:val="false"/>
                <w:sz w:val="17"/>
                <w:szCs w:val="17"/>
              </w:rPr>
              <w:t xml:space="preserve">About 30 test sites with the expected outcome (accept, reject, defer, conditional) written before the rules run; % the rules get right. Also % of decisions carrying a reason code.</w:t>
            </w:r>
          </w:p>
        </w:tc>
        <w:tc>
          <w:tcPr>
            <w:tcW w:type="dxa" w:w="1450"/>
            <w:tcMar>
              <w:top w:type="dxa" w:w="60"/>
              <w:left w:type="dxa" w:w="100"/>
              <w:bottom w:type="dxa" w:w="60"/>
              <w:right w:type="dxa" w:w="100"/>
            </w:tcMar>
          </w:tcPr>
          <w:p>
            <w:pPr>
              <w:spacing w:after="0" w:line="252"/>
              <w:jc w:val="left"/>
            </w:pPr>
            <w:r>
              <w:rPr>
                <w:b w:val="false"/>
                <w:bCs w:val="false"/>
                <w:sz w:val="17"/>
                <w:szCs w:val="17"/>
              </w:rPr>
              <w:t xml:space="preserve">As soon as the rules exist</w:t>
            </w:r>
          </w:p>
        </w:tc>
        <w:tc>
          <w:tcPr>
            <w:tcW w:type="dxa" w:w="1550"/>
            <w:tcMar>
              <w:top w:type="dxa" w:w="60"/>
              <w:left w:type="dxa" w:w="100"/>
              <w:bottom w:type="dxa" w:w="60"/>
              <w:right w:type="dxa" w:w="100"/>
            </w:tcMar>
          </w:tcPr>
          <w:p>
            <w:pPr>
              <w:spacing w:after="0" w:line="252"/>
              <w:jc w:val="left"/>
            </w:pPr>
            <w:r>
              <w:rPr>
                <w:b w:val="false"/>
                <w:bCs w:val="false"/>
                <w:sz w:val="17"/>
                <w:szCs w:val="17"/>
              </w:rPr>
              <w:t xml:space="preserve">100% on test cases; 100% with reason codes</w:t>
            </w:r>
          </w:p>
        </w:tc>
      </w:tr>
      <w:tr>
        <w:trPr>
          <w:cantSplit/>
        </w:trPr>
        <w:tc>
          <w:tcPr>
            <w:tcW w:type="dxa" w:w="1650"/>
            <w:tcMar>
              <w:top w:type="dxa" w:w="60"/>
              <w:left w:type="dxa" w:w="100"/>
              <w:bottom w:type="dxa" w:w="60"/>
              <w:right w:type="dxa" w:w="100"/>
            </w:tcMar>
          </w:tcPr>
          <w:p>
            <w:pPr>
              <w:spacing w:after="0" w:line="252"/>
              <w:jc w:val="left"/>
            </w:pPr>
            <w:r>
              <w:rPr>
                <w:b w:val="false"/>
                <w:bCs w:val="false"/>
                <w:sz w:val="17"/>
                <w:szCs w:val="17"/>
              </w:rPr>
              <w:t xml:space="preserve">4 · Optimiser (business resource optimisation)</w:t>
            </w:r>
          </w:p>
        </w:tc>
        <w:tc>
          <w:tcPr>
            <w:tcW w:type="dxa" w:w="1850"/>
            <w:tcMar>
              <w:top w:type="dxa" w:w="60"/>
              <w:left w:type="dxa" w:w="100"/>
              <w:bottom w:type="dxa" w:w="60"/>
              <w:right w:type="dxa" w:w="100"/>
            </w:tcMar>
          </w:tcPr>
          <w:p>
            <w:pPr>
              <w:spacing w:after="0" w:line="252"/>
              <w:jc w:val="left"/>
            </w:pPr>
            <w:r>
              <w:rPr>
                <w:b w:val="false"/>
                <w:bCs w:val="false"/>
                <w:sz w:val="17"/>
                <w:szCs w:val="17"/>
              </w:rPr>
              <w:t xml:space="preserve">Is the plan valid, and better than simple approaches?</w:t>
            </w:r>
          </w:p>
        </w:tc>
        <w:tc>
          <w:tcPr>
            <w:tcW w:type="dxa" w:w="3246"/>
            <w:tcMar>
              <w:top w:type="dxa" w:w="60"/>
              <w:left w:type="dxa" w:w="100"/>
              <w:bottom w:type="dxa" w:w="60"/>
              <w:right w:type="dxa" w:w="100"/>
            </w:tcMar>
          </w:tcPr>
          <w:p>
            <w:pPr>
              <w:spacing w:after="0" w:line="252"/>
              <w:jc w:val="left"/>
            </w:pPr>
            <w:r>
              <w:rPr>
                <w:b w:val="false"/>
                <w:bCs w:val="false"/>
                <w:sz w:val="17"/>
                <w:szCs w:val="17"/>
              </w:rPr>
              <w:t xml:space="preserve">Hard-constraint violations found by the independent checker. Under the same budget and quantity, compare with three baselines: highest utilisation first, split by population share, and random (average of 100 runs). Compare estimated unmet demand covered, planning areas left below their coverage requirement, and budget used.</w:t>
            </w:r>
          </w:p>
        </w:tc>
        <w:tc>
          <w:tcPr>
            <w:tcW w:type="dxa" w:w="1450"/>
            <w:tcMar>
              <w:top w:type="dxa" w:w="60"/>
              <w:left w:type="dxa" w:w="100"/>
              <w:bottom w:type="dxa" w:w="60"/>
              <w:right w:type="dxa" w:w="100"/>
            </w:tcMar>
          </w:tcPr>
          <w:p>
            <w:pPr>
              <w:spacing w:after="0" w:line="252"/>
              <w:jc w:val="left"/>
            </w:pPr>
            <w:r>
              <w:rPr>
                <w:b w:val="false"/>
                <w:bCs w:val="false"/>
                <w:sz w:val="17"/>
                <w:szCs w:val="17"/>
              </w:rPr>
              <w:t xml:space="preserve">Week 6, as planned in the proposal</w:t>
            </w:r>
          </w:p>
        </w:tc>
        <w:tc>
          <w:tcPr>
            <w:tcW w:type="dxa" w:w="1550"/>
            <w:tcMar>
              <w:top w:type="dxa" w:w="60"/>
              <w:left w:type="dxa" w:w="100"/>
              <w:bottom w:type="dxa" w:w="60"/>
              <w:right w:type="dxa" w:w="100"/>
            </w:tcMar>
          </w:tcPr>
          <w:p>
            <w:pPr>
              <w:spacing w:after="0" w:line="252"/>
              <w:jc w:val="left"/>
            </w:pPr>
            <w:r>
              <w:rPr>
                <w:b w:val="false"/>
                <w:bCs w:val="false"/>
                <w:sz w:val="17"/>
                <w:szCs w:val="17"/>
              </w:rPr>
              <w:t xml:space="preserve">0 violations; beats all three baselines on demand covered</w:t>
            </w:r>
          </w:p>
        </w:tc>
      </w:tr>
      <w:tr>
        <w:trPr>
          <w:cantSplit/>
        </w:trPr>
        <w:tc>
          <w:tcPr>
            <w:tcW w:type="dxa" w:w="1650"/>
            <w:tcMar>
              <w:top w:type="dxa" w:w="60"/>
              <w:left w:type="dxa" w:w="100"/>
              <w:bottom w:type="dxa" w:w="60"/>
              <w:right w:type="dxa" w:w="100"/>
            </w:tcMar>
          </w:tcPr>
          <w:p>
            <w:pPr>
              <w:spacing w:after="0" w:line="252"/>
              <w:jc w:val="left"/>
            </w:pPr>
            <w:r>
              <w:rPr>
                <w:b w:val="false"/>
                <w:bCs w:val="false"/>
                <w:sz w:val="17"/>
                <w:szCs w:val="17"/>
              </w:rPr>
              <w:t xml:space="preserve">5 · Explanation (cognitive techniques)</w:t>
            </w:r>
          </w:p>
        </w:tc>
        <w:tc>
          <w:tcPr>
            <w:tcW w:type="dxa" w:w="1850"/>
            <w:tcMar>
              <w:top w:type="dxa" w:w="60"/>
              <w:left w:type="dxa" w:w="100"/>
              <w:bottom w:type="dxa" w:w="60"/>
              <w:right w:type="dxa" w:w="100"/>
            </w:tcMar>
          </w:tcPr>
          <w:p>
            <w:pPr>
              <w:spacing w:after="0" w:line="252"/>
              <w:jc w:val="left"/>
            </w:pPr>
            <w:r>
              <w:rPr>
                <w:b w:val="false"/>
                <w:bCs w:val="false"/>
                <w:sz w:val="17"/>
                <w:szCs w:val="17"/>
              </w:rPr>
              <w:t xml:space="preserve">Are answers correct and backed by evidence?</w:t>
            </w:r>
          </w:p>
        </w:tc>
        <w:tc>
          <w:tcPr>
            <w:tcW w:type="dxa" w:w="3246"/>
            <w:tcMar>
              <w:top w:type="dxa" w:w="60"/>
              <w:left w:type="dxa" w:w="100"/>
              <w:bottom w:type="dxa" w:w="60"/>
              <w:right w:type="dxa" w:w="100"/>
            </w:tcMar>
          </w:tcPr>
          <w:p>
            <w:pPr>
              <w:spacing w:after="0" w:line="252"/>
              <w:jc w:val="left"/>
            </w:pPr>
            <w:r>
              <w:rPr>
                <w:b w:val="false"/>
                <w:bCs w:val="false"/>
                <w:sz w:val="17"/>
                <w:szCs w:val="17"/>
              </w:rPr>
              <w:t xml:space="preserve">About 20 planner questions with answers written from the knowledge graph beforehand. Measure % answered correctly, % of answers that cite graph evidence, and claims with no evidence behind them.</w:t>
            </w:r>
          </w:p>
        </w:tc>
        <w:tc>
          <w:tcPr>
            <w:tcW w:type="dxa" w:w="1450"/>
            <w:tcMar>
              <w:top w:type="dxa" w:w="60"/>
              <w:left w:type="dxa" w:w="100"/>
              <w:bottom w:type="dxa" w:w="60"/>
              <w:right w:type="dxa" w:w="100"/>
            </w:tcMar>
          </w:tcPr>
          <w:p>
            <w:pPr>
              <w:spacing w:after="0" w:line="252"/>
              <w:jc w:val="left"/>
            </w:pPr>
            <w:r>
              <w:rPr>
                <w:b w:val="false"/>
                <w:bCs w:val="false"/>
                <w:sz w:val="17"/>
                <w:szCs w:val="17"/>
              </w:rPr>
              <w:t xml:space="preserve">Once Stage 5 is built</w:t>
            </w:r>
          </w:p>
        </w:tc>
        <w:tc>
          <w:tcPr>
            <w:tcW w:type="dxa" w:w="1550"/>
            <w:tcMar>
              <w:top w:type="dxa" w:w="60"/>
              <w:left w:type="dxa" w:w="100"/>
              <w:bottom w:type="dxa" w:w="60"/>
              <w:right w:type="dxa" w:w="100"/>
            </w:tcMar>
          </w:tcPr>
          <w:p>
            <w:pPr>
              <w:spacing w:after="0" w:line="252"/>
              <w:jc w:val="left"/>
            </w:pPr>
            <w:r>
              <w:rPr>
                <w:b w:val="false"/>
                <w:bCs w:val="false"/>
                <w:sz w:val="17"/>
                <w:szCs w:val="17"/>
              </w:rPr>
              <w:t xml:space="preserve">≥ 90% correct; 100% cite evidence; 0 unsupported claims</w:t>
            </w:r>
          </w:p>
        </w:tc>
      </w:tr>
      <w:tr>
        <w:trPr>
          <w:cantSplit/>
        </w:trPr>
        <w:tc>
          <w:tcPr>
            <w:tcW w:type="dxa" w:w="1650"/>
            <w:tcMar>
              <w:top w:type="dxa" w:w="60"/>
              <w:left w:type="dxa" w:w="100"/>
              <w:bottom w:type="dxa" w:w="60"/>
              <w:right w:type="dxa" w:w="100"/>
            </w:tcMar>
          </w:tcPr>
          <w:p>
            <w:pPr>
              <w:spacing w:after="0" w:line="252"/>
              <w:jc w:val="left"/>
            </w:pPr>
            <w:r>
              <w:rPr>
                <w:b w:val="false"/>
                <w:bCs w:val="false"/>
                <w:sz w:val="17"/>
                <w:szCs w:val="17"/>
              </w:rPr>
              <w:t xml:space="preserve">Optional back-test</w:t>
            </w:r>
          </w:p>
        </w:tc>
        <w:tc>
          <w:tcPr>
            <w:tcW w:type="dxa" w:w="1850"/>
            <w:tcMar>
              <w:top w:type="dxa" w:w="60"/>
              <w:left w:type="dxa" w:w="100"/>
              <w:bottom w:type="dxa" w:w="60"/>
              <w:right w:type="dxa" w:w="100"/>
            </w:tcMar>
          </w:tcPr>
          <w:p>
            <w:pPr>
              <w:spacing w:after="0" w:line="252"/>
              <w:jc w:val="left"/>
            </w:pPr>
            <w:r>
              <w:rPr>
                <w:b w:val="false"/>
                <w:bCs w:val="false"/>
                <w:sz w:val="17"/>
                <w:szCs w:val="17"/>
              </w:rPr>
              <w:t xml:space="preserve">Would we have picked the sites LTA actually built?</w:t>
            </w:r>
          </w:p>
        </w:tc>
        <w:tc>
          <w:tcPr>
            <w:tcW w:type="dxa" w:w="3246"/>
            <w:tcMar>
              <w:top w:type="dxa" w:w="60"/>
              <w:left w:type="dxa" w:w="100"/>
              <w:bottom w:type="dxa" w:w="60"/>
              <w:right w:type="dxa" w:w="100"/>
            </w:tcMar>
          </w:tcPr>
          <w:p>
            <w:pPr>
              <w:spacing w:after="0" w:line="252"/>
              <w:jc w:val="left"/>
            </w:pPr>
            <w:r>
              <w:rPr>
                <w:b w:val="false"/>
                <w:bCs w:val="false"/>
                <w:sz w:val="17"/>
                <w:szCs w:val="17"/>
              </w:rPr>
              <w:t xml:space="preserve">If older quarterly charger CSVs are available: recommend from the old snapshot, then check how many top-K sites gained chargers by the next quarter (precision@K).</w:t>
            </w:r>
          </w:p>
        </w:tc>
        <w:tc>
          <w:tcPr>
            <w:tcW w:type="dxa" w:w="1450"/>
            <w:tcMar>
              <w:top w:type="dxa" w:w="60"/>
              <w:left w:type="dxa" w:w="100"/>
              <w:bottom w:type="dxa" w:w="60"/>
              <w:right w:type="dxa" w:w="100"/>
            </w:tcMar>
          </w:tcPr>
          <w:p>
            <w:pPr>
              <w:spacing w:after="0" w:line="252"/>
              <w:jc w:val="left"/>
            </w:pPr>
            <w:r>
              <w:rPr>
                <w:b w:val="false"/>
                <w:bCs w:val="false"/>
                <w:sz w:val="17"/>
                <w:szCs w:val="17"/>
              </w:rPr>
              <w:t xml:space="preserve">Only if old CSVs exist</w:t>
            </w:r>
          </w:p>
        </w:tc>
        <w:tc>
          <w:tcPr>
            <w:tcW w:type="dxa" w:w="1550"/>
            <w:tcMar>
              <w:top w:type="dxa" w:w="60"/>
              <w:left w:type="dxa" w:w="100"/>
              <w:bottom w:type="dxa" w:w="60"/>
              <w:right w:type="dxa" w:w="100"/>
            </w:tcMar>
          </w:tcPr>
          <w:p>
            <w:pPr>
              <w:spacing w:after="0" w:line="252"/>
              <w:jc w:val="left"/>
            </w:pPr>
            <w:r>
              <w:rPr>
                <w:b w:val="false"/>
                <w:bCs w:val="false"/>
                <w:sz w:val="17"/>
                <w:szCs w:val="17"/>
              </w:rPr>
              <w:t xml:space="preserve">Report only</w:t>
            </w:r>
          </w:p>
        </w:tc>
      </w:tr>
    </w:tbl>
    <w:p>
      <w:pPr>
        <w:spacing w:after="140" w:before="120" w:line="276"/>
      </w:pPr>
      <w:r>
        <w:rPr>
          <w:b w:val="false"/>
          <w:bCs w:val="false"/>
          <w:sz w:val="21"/>
          <w:szCs w:val="21"/>
        </w:rPr>
        <w:t xml:space="preserve">The targets are our proposals, not official thresholds. State them as such on the slide and keep them fixed once presented.</w:t>
      </w:r>
    </w:p>
    <w:p>
      <w:pPr>
        <w:pStyle w:val="Heading3"/>
      </w:pPr>
      <w:r>
        <w:t xml:space="preserve">What to put on the evaluation slide</w:t>
      </w:r>
    </w:p>
    <w:p>
      <w:pPr>
        <w:pStyle w:val="ListParagraph"/>
        <w:numPr>
          <w:ilvl w:val="0"/>
          <w:numId w:val="2"/>
        </w:numPr>
        <w:spacing w:after="60" w:line="276"/>
      </w:pPr>
      <w:r>
        <w:rPr>
          <w:b w:val="false"/>
          <w:bCs w:val="false"/>
          <w:sz w:val="21"/>
          <w:szCs w:val="21"/>
        </w:rPr>
        <w:t xml:space="preserve">One line per technique group: what we check, the metric, the baseline and the target (rows 2, 4 and 5 of the table, plus the leave-site-out row).</w:t>
      </w:r>
    </w:p>
    <w:p>
      <w:pPr>
        <w:pStyle w:val="ListParagraph"/>
        <w:numPr>
          <w:ilvl w:val="0"/>
          <w:numId w:val="2"/>
        </w:numPr>
        <w:spacing w:after="60" w:line="276"/>
      </w:pPr>
      <w:r>
        <w:rPr>
          <w:b w:val="false"/>
          <w:bCs w:val="false"/>
          <w:sz w:val="21"/>
          <w:szCs w:val="21"/>
        </w:rPr>
        <w:t xml:space="preserve">The data-quality numbers from the week already collected (row 1), as proof that data collection works.</w:t>
      </w:r>
    </w:p>
    <w:p>
      <w:pPr>
        <w:pStyle w:val="ListParagraph"/>
        <w:numPr>
          <w:ilvl w:val="0"/>
          <w:numId w:val="2"/>
        </w:numPr>
        <w:spacing w:after="60" w:line="276"/>
      </w:pPr>
      <w:r>
        <w:rPr>
          <w:b w:val="false"/>
          <w:bCs w:val="false"/>
          <w:sz w:val="21"/>
          <w:szCs w:val="21"/>
        </w:rPr>
        <w:t xml:space="preserve">One sentence on answer keys: hidden days, hidden sites, hand-written test cases and baselines under equal constraints.</w:t>
      </w:r>
    </w:p>
    <w:p>
      <w:pPr>
        <w:pStyle w:val="Heading2"/>
      </w:pPr>
      <w:r>
        <w:t xml:space="preserve">8. What changed from version 1</w:t>
      </w:r>
    </w:p>
    <w:p>
      <w:pPr>
        <w:spacing w:after="140" w:line="276"/>
      </w:pPr>
      <w:r>
        <w:rPr>
          <w:b w:val="false"/>
          <w:bCs w:val="false"/>
          <w:sz w:val="21"/>
          <w:szCs w:val="21"/>
        </w:rPr>
        <w:t xml:space="preserve">Version 1 answered "which carparks get chargers, AC or DC". The proposal is broader, so this version follows its structure. Every change and its reason:</w:t>
      </w:r>
    </w:p>
    <w:tbl>
      <w:tblPr>
        <w:tblW w:type="dxa" w:w="9746"/>
        <w:tblBorders>
          <w:top w:val="single" w:color="C9CED6" w:sz="4"/>
          <w:left w:val="single" w:color="C9CED6" w:sz="4"/>
          <w:bottom w:val="single" w:color="C9CED6" w:sz="4"/>
          <w:right w:val="single" w:color="C9CED6" w:sz="4"/>
          <w:insideH w:val="single" w:color="C9CED6" w:sz="4"/>
          <w:insideV w:val="single" w:color="C9CED6" w:sz="4"/>
        </w:tblBorders>
      </w:tblPr>
      <w:tblGrid>
        <w:gridCol w:w="2100"/>
        <w:gridCol w:w="4546"/>
        <w:gridCol w:w="3100"/>
      </w:tblGrid>
      <w:tr>
        <w:trPr>
          <w:cantSplit/>
          <w:tblHeader/>
        </w:trPr>
        <w:tc>
          <w:tcPr>
            <w:tcW w:type="dxa" w:w="2100"/>
            <w:shd w:fill="F2F4F7" w:color="auto" w:val="clear"/>
            <w:tcMar>
              <w:top w:type="dxa" w:w="60"/>
              <w:left w:type="dxa" w:w="100"/>
              <w:bottom w:type="dxa" w:w="60"/>
              <w:right w:type="dxa" w:w="100"/>
            </w:tcMar>
          </w:tcPr>
          <w:p>
            <w:pPr>
              <w:spacing w:after="0" w:line="252"/>
              <w:jc w:val="left"/>
            </w:pPr>
            <w:r>
              <w:rPr>
                <w:b/>
                <w:bCs/>
                <w:sz w:val="17"/>
                <w:szCs w:val="17"/>
              </w:rPr>
              <w:t xml:space="preserve">Change</w:t>
            </w:r>
          </w:p>
        </w:tc>
        <w:tc>
          <w:tcPr>
            <w:tcW w:type="dxa" w:w="4546"/>
            <w:shd w:fill="F2F4F7" w:color="auto" w:val="clear"/>
            <w:tcMar>
              <w:top w:type="dxa" w:w="60"/>
              <w:left w:type="dxa" w:w="100"/>
              <w:bottom w:type="dxa" w:w="60"/>
              <w:right w:type="dxa" w:w="100"/>
            </w:tcMar>
          </w:tcPr>
          <w:p>
            <w:pPr>
              <w:spacing w:after="0" w:line="252"/>
              <w:jc w:val="left"/>
            </w:pPr>
            <w:r>
              <w:rPr>
                <w:b/>
                <w:bCs/>
                <w:sz w:val="17"/>
                <w:szCs w:val="17"/>
              </w:rPr>
              <w:t xml:space="preserve">What we did</w:t>
            </w:r>
          </w:p>
        </w:tc>
        <w:tc>
          <w:tcPr>
            <w:tcW w:type="dxa" w:w="3100"/>
            <w:shd w:fill="F2F4F7" w:color="auto" w:val="clear"/>
            <w:tcMar>
              <w:top w:type="dxa" w:w="60"/>
              <w:left w:type="dxa" w:w="100"/>
              <w:bottom w:type="dxa" w:w="60"/>
              <w:right w:type="dxa" w:w="100"/>
            </w:tcMar>
          </w:tcPr>
          <w:p>
            <w:pPr>
              <w:spacing w:after="0" w:line="252"/>
              <w:jc w:val="left"/>
            </w:pPr>
            <w:r>
              <w:rPr>
                <w:b/>
                <w:bCs/>
                <w:sz w:val="17"/>
                <w:szCs w:val="17"/>
              </w:rPr>
              <w:t xml:space="preserve">Why (proposal section)</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Goal and figures</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Replaced the "which carparks, AC or DC" framing with the proposal objective. Updated figures from 30,500 chargers (Mar 2026) to 34,700 (Sep 2026) and added 82,100 EVs.</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Objective; Background</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Structure</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Reorganised sections around the input groups and five stages. The four questions and the version 1 diagram became the stage-by-dataset matrix (section 3).</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System Design</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Boundaries</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Master Plan 2019 Subzone replaced by Master Plan 2025 Planning Area Boundary.</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Scope: 55 planning areas; references cite MP2025</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Land use</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Added the Master Plan 2025 Land Use Layer.</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Stage 4 eligibility rules; already in references</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Amenities</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OneMap Themes replaced by NEA Hawker Centres, PA Community Clubs and Customs petroleum premises.</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Candidate types named in Background; government sources only</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Residents</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Subzone table replaced by the planning-area table.</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Analysis is aggregated per planning area</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HDB registry</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Added </w:t>
            </w:r>
            <w:r>
              <w:rPr>
                <w:rFonts w:ascii="Consolas" w:cs="Consolas" w:eastAsia="Consolas" w:hAnsi="Consolas"/>
                <w:sz w:val="15"/>
                <w:szCs w:val="15"/>
                <w:shd w:fill="EEF0F3" w:color="auto" w:val="clear"/>
              </w:rPr>
              <w:t xml:space="preserve">gantry_height</w:t>
            </w:r>
            <w:r>
              <w:rPr>
                <w:b w:val="false"/>
                <w:bCs w:val="false"/>
                <w:sz w:val="17"/>
                <w:szCs w:val="17"/>
              </w:rPr>
              <w:t xml:space="preserve"> and </w:t>
            </w:r>
            <w:r>
              <w:rPr>
                <w:rFonts w:ascii="Consolas" w:cs="Consolas" w:eastAsia="Consolas" w:hAnsi="Consolas"/>
                <w:sz w:val="15"/>
                <w:szCs w:val="15"/>
                <w:shd w:fill="EEF0F3" w:color="auto" w:val="clear"/>
              </w:rPr>
              <w:t xml:space="preserve">car_park_basement</w:t>
            </w:r>
            <w:r>
              <w:rPr>
                <w:b w:val="false"/>
                <w:bCs w:val="false"/>
                <w:sz w:val="17"/>
                <w:szCs w:val="17"/>
              </w:rPr>
              <w:t xml:space="preserve">.</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Site characteristics for feasibility rules</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Registrations</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Added a note to take 2025–26 months from LTA DataMall.</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Stage 3 growth needs recent months; data.gov.sg copy ends May 2025</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Charger CSV</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Demoted to optional.</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No stage requires it; used for cross-check and back-test only</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Cost</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Added cost per charging point as a declared assumption.</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Optimiser budget constraint</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Mapping</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Added the candidate site table, matching at 50/100/200 m with coverage reported, the amenity-to-carpark link, land-use assignment and the out-of-service filter. Dropped subzone tagging.</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Data foundation; Known limitations</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Limits</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Added lower-bound treatment of saturated sites, demand at sites with no chargers, simulated future demand, and land access.</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Measurement and inference; Scope</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Datasets not used</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Added MP2019 Subzone and OneMap Themes with reasons. Other rows unchanged.</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Follows from the replacements above</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Evaluation</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New section 7.</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Presentation brief asks for evaluation metrics</w:t>
            </w:r>
          </w:p>
        </w:tc>
      </w:tr>
      <w:tr>
        <w:trPr>
          <w:cantSplit/>
        </w:trPr>
        <w:tc>
          <w:tcPr>
            <w:tcW w:type="dxa" w:w="2100"/>
            <w:tcMar>
              <w:top w:type="dxa" w:w="60"/>
              <w:left w:type="dxa" w:w="100"/>
              <w:bottom w:type="dxa" w:w="60"/>
              <w:right w:type="dxa" w:w="100"/>
            </w:tcMar>
          </w:tcPr>
          <w:p>
            <w:pPr>
              <w:spacing w:after="0" w:line="252"/>
              <w:jc w:val="left"/>
            </w:pPr>
            <w:r>
              <w:rPr>
                <w:b w:val="false"/>
                <w:bCs w:val="false"/>
                <w:sz w:val="17"/>
                <w:szCs w:val="17"/>
              </w:rPr>
              <w:t xml:space="preserve">Unchanged</w:t>
            </w:r>
          </w:p>
        </w:tc>
        <w:tc>
          <w:tcPr>
            <w:tcW w:type="dxa" w:w="4546"/>
            <w:tcMar>
              <w:top w:type="dxa" w:w="60"/>
              <w:left w:type="dxa" w:w="100"/>
              <w:bottom w:type="dxa" w:w="60"/>
              <w:right w:type="dxa" w:w="100"/>
            </w:tcMar>
          </w:tcPr>
          <w:p>
            <w:pPr>
              <w:spacing w:after="0" w:line="252"/>
              <w:jc w:val="left"/>
            </w:pPr>
            <w:r>
              <w:rPr>
                <w:b w:val="false"/>
                <w:bCs w:val="false"/>
                <w:sz w:val="17"/>
                <w:szCs w:val="17"/>
              </w:rPr>
              <w:t xml:space="preserve">The rows for datasets 1, 3, 5 and 13 keep their version 1 content.</w:t>
            </w:r>
          </w:p>
        </w:tc>
        <w:tc>
          <w:tcPr>
            <w:tcW w:type="dxa" w:w="3100"/>
            <w:tcMar>
              <w:top w:type="dxa" w:w="60"/>
              <w:left w:type="dxa" w:w="100"/>
              <w:bottom w:type="dxa" w:w="60"/>
              <w:right w:type="dxa" w:w="100"/>
            </w:tcMar>
          </w:tcPr>
          <w:p>
            <w:pPr>
              <w:spacing w:after="0" w:line="252"/>
              <w:jc w:val="left"/>
            </w:pPr>
            <w:r>
              <w:rPr>
                <w:b w:val="false"/>
                <w:bCs w:val="false"/>
                <w:sz w:val="17"/>
                <w:szCs w:val="17"/>
              </w:rPr>
              <w:t xml:space="preserve">—</w:t>
            </w:r>
          </w:p>
        </w:tc>
      </w:tr>
    </w:tbl>
    <w:p>
      <w:pPr>
        <w:spacing w:after="60"/>
      </w:pPr>
    </w:p>
    <w:p>
      <w:pPr>
        <w:pStyle w:val="Heading3"/>
      </w:pPr>
      <w:r>
        <w:t xml:space="preserve">References to add to the proposal</w:t>
      </w:r>
    </w:p>
    <w:p>
      <w:pPr>
        <w:spacing w:after="140" w:line="276"/>
      </w:pPr>
      <w:r>
        <w:rPr>
          <w:b w:val="false"/>
          <w:bCs w:val="false"/>
          <w:sz w:val="21"/>
          <w:szCs w:val="21"/>
        </w:rPr>
        <w:t xml:space="preserve">The proposal lists "a static car park registry" and amenity locations, but some sources we now depend on are missing from its reference list. Add these so the report and the data match:</w:t>
      </w:r>
    </w:p>
    <w:p>
      <w:pPr>
        <w:pStyle w:val="ListParagraph"/>
        <w:numPr>
          <w:ilvl w:val="0"/>
          <w:numId w:val="2"/>
        </w:numPr>
        <w:spacing w:after="60" w:line="276"/>
      </w:pPr>
      <w:hyperlink w:history="1" r:id="rIdob16fwtgmcfvxsptgy_oa">
        <w:r>
          <w:rPr>
            <w:b w:val="false"/>
            <w:bCs w:val="false"/>
            <w:color w:val="0B5CAD"/>
            <w:sz w:val="21"/>
            <w:szCs w:val="21"/>
            <w:u w:val="single"/>
          </w:rPr>
          <w:t xml:space="preserve">Capacity of URA Parking Places</w:t>
        </w:r>
      </w:hyperlink>
      <w:r>
        <w:rPr>
          <w:b w:val="false"/>
          <w:bCs w:val="false"/>
          <w:sz w:val="21"/>
          <w:szCs w:val="21"/>
        </w:rPr>
        <w:t xml:space="preserve"> (data.gov.sg, URA)</w:t>
      </w:r>
    </w:p>
    <w:p>
      <w:pPr>
        <w:pStyle w:val="ListParagraph"/>
        <w:numPr>
          <w:ilvl w:val="0"/>
          <w:numId w:val="2"/>
        </w:numPr>
        <w:spacing w:after="60" w:line="276"/>
      </w:pPr>
      <w:hyperlink w:history="1" r:id="rId72xt45c1drs3wlgvscybv">
        <w:r>
          <w:rPr>
            <w:b w:val="false"/>
            <w:bCs w:val="false"/>
            <w:color w:val="0B5CAD"/>
            <w:sz w:val="21"/>
            <w:szCs w:val="21"/>
            <w:u w:val="single"/>
          </w:rPr>
          <w:t xml:space="preserve">Community Club / PAssion WaVe Outlet</w:t>
        </w:r>
      </w:hyperlink>
      <w:r>
        <w:rPr>
          <w:b w:val="false"/>
          <w:bCs w:val="false"/>
          <w:sz w:val="21"/>
          <w:szCs w:val="21"/>
        </w:rPr>
        <w:t xml:space="preserve"> (data.gov.sg, PA)</w:t>
      </w:r>
    </w:p>
    <w:p>
      <w:pPr>
        <w:pStyle w:val="ListParagraph"/>
        <w:numPr>
          <w:ilvl w:val="0"/>
          <w:numId w:val="2"/>
        </w:numPr>
        <w:spacing w:after="60" w:line="276"/>
      </w:pPr>
      <w:hyperlink w:history="1" r:id="rId-gnrgn-a5vgze8crrkjgl">
        <w:r>
          <w:rPr>
            <w:b w:val="false"/>
            <w:bCs w:val="false"/>
            <w:color w:val="0B5CAD"/>
            <w:sz w:val="21"/>
            <w:szCs w:val="21"/>
            <w:u w:val="single"/>
          </w:rPr>
          <w:t xml:space="preserve">Licensed premises for petroleum products</w:t>
        </w:r>
      </w:hyperlink>
      <w:r>
        <w:rPr>
          <w:b w:val="false"/>
          <w:bCs w:val="false"/>
          <w:sz w:val="21"/>
          <w:szCs w:val="21"/>
        </w:rPr>
        <w:t xml:space="preserve"> (data.gov.sg, Singapore Customs)</w:t>
      </w:r>
    </w:p>
    <w:p>
      <w:pPr>
        <w:pStyle w:val="ListParagraph"/>
        <w:numPr>
          <w:ilvl w:val="0"/>
          <w:numId w:val="2"/>
        </w:numPr>
        <w:spacing w:after="60" w:line="276"/>
      </w:pPr>
      <w:hyperlink w:history="1" r:id="rIdnr9btbiszwdllwhwzb584">
        <w:r>
          <w:rPr>
            <w:b w:val="false"/>
            <w:bCs w:val="false"/>
            <w:color w:val="0B5CAD"/>
            <w:sz w:val="21"/>
            <w:szCs w:val="21"/>
            <w:u w:val="single"/>
          </w:rPr>
          <w:t xml:space="preserve">Resident population by planning area and type of dwelling</w:t>
        </w:r>
      </w:hyperlink>
      <w:r>
        <w:rPr>
          <w:b w:val="false"/>
          <w:bCs w:val="false"/>
          <w:sz w:val="21"/>
          <w:szCs w:val="21"/>
        </w:rPr>
        <w:t xml:space="preserve"> (SingStat)</w:t>
      </w:r>
    </w:p>
    <w:p>
      <w:pPr>
        <w:pStyle w:val="ListParagraph"/>
        <w:numPr>
          <w:ilvl w:val="0"/>
          <w:numId w:val="2"/>
        </w:numPr>
        <w:spacing w:after="60" w:line="276"/>
      </w:pPr>
      <w:hyperlink w:history="1" r:id="rIdqbi8_vdijbme4bjye8wrk">
        <w:r>
          <w:rPr>
            <w:b w:val="false"/>
            <w:bCs w:val="false"/>
            <w:color w:val="0B5CAD"/>
            <w:sz w:val="21"/>
            <w:szCs w:val="21"/>
            <w:u w:val="single"/>
          </w:rPr>
          <w:t xml:space="preserve">New Registration of Cars by Make</w:t>
        </w:r>
      </w:hyperlink>
      <w:r>
        <w:rPr>
          <w:b w:val="false"/>
          <w:bCs w:val="false"/>
          <w:sz w:val="21"/>
          <w:szCs w:val="21"/>
        </w:rPr>
        <w:t xml:space="preserve"> (data.gov.sg, LTA) and LTA DataMall monthly vehicle statistics</w:t>
      </w:r>
    </w:p>
    <w:p>
      <w:pPr>
        <w:pStyle w:val="ListParagraph"/>
        <w:numPr>
          <w:ilvl w:val="0"/>
          <w:numId w:val="2"/>
        </w:numPr>
        <w:spacing w:after="60" w:line="276"/>
      </w:pPr>
      <w:hyperlink w:history="1" r:id="rId_wvd1cksgoocul0etsowm">
        <w:r>
          <w:rPr>
            <w:b w:val="false"/>
            <w:bCs w:val="false"/>
            <w:color w:val="0B5CAD"/>
            <w:sz w:val="21"/>
            <w:szCs w:val="21"/>
            <w:u w:val="single"/>
          </w:rPr>
          <w:t xml:space="preserve">EV and Charging Points Dashboard</w:t>
        </w:r>
      </w:hyperlink>
      <w:r>
        <w:rPr>
          <w:b w:val="false"/>
          <w:bCs w:val="false"/>
          <w:sz w:val="21"/>
          <w:szCs w:val="21"/>
        </w:rPr>
        <w:t xml:space="preserve"> (LTA DataMall)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Calibri" w:cs="Calibri" w:eastAsia="Calibri" w:hAnsi="Calibri"/>
      <w:b/>
      <w:bCs/>
      <w:color w:val="1F2328"/>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1F2328"/>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23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h4m9iuzdn_uhlbxtyza" Type="http://schemas.openxmlformats.org/officeDocument/2006/relationships/hyperlink" Target="https://www.asiaone.com/singapore/electric-vehicle-charging-points-singapore-number-grows" TargetMode="External"/><Relationship Id="rId0nwc-9v4y9_fz1wiq89z8" Type="http://schemas.openxmlformats.org/officeDocument/2006/relationships/hyperlink" Target="https://datamall.lta.gov.sg/content/dam/datamall/datasets/LTA_DataMall_API_User_Guide.pdf" TargetMode="External"/><Relationship Id="rIdekin1cyiheoxvec51z0tt" Type="http://schemas.openxmlformats.org/officeDocument/2006/relationships/hyperlink" Target="https://datamall.lta.gov.sg/content/datamall/en/dynamic-data.html" TargetMode="External"/><Relationship Id="rIduvfpx8yqhbduvc7qmq-fp" Type="http://schemas.openxmlformats.org/officeDocument/2006/relationships/hyperlink" Target="https://datamall.lta.gov.sg/content/datamall/en/dynamic-data.html" TargetMode="External"/><Relationship Id="rId1wzh__avbe8gdzy8pojpr" Type="http://schemas.openxmlformats.org/officeDocument/2006/relationships/hyperlink" Target="https://data.gov.sg/datasets/d_ca933a644e55d34fe21f28b8052fac63/view" TargetMode="External"/><Relationship Id="rId7rf9c3t5yk2pc7kadibx7" Type="http://schemas.openxmlformats.org/officeDocument/2006/relationships/hyperlink" Target="https://data.gov.sg/datasets/d_23f946fa557947f93a8043bbef41dd09/view" TargetMode="External"/><Relationship Id="rIdsf9qtoseqiznmo0wiacx0" Type="http://schemas.openxmlformats.org/officeDocument/2006/relationships/hyperlink" Target="https://data.gov.sg/datasets/d_9bf8620ecfdc8a5f8f77e3f02160af5c/view" TargetMode="External"/><Relationship Id="rIdr1eebc7e9f4vojozgljew" Type="http://schemas.openxmlformats.org/officeDocument/2006/relationships/hyperlink" Target="https://data.gov.sg/datasets/d_2cc750190544007400b2cfd5d7f53209/view" TargetMode="External"/><Relationship Id="rIdlurtwxhsrcpmwayuvqap3" Type="http://schemas.openxmlformats.org/officeDocument/2006/relationships/hyperlink" Target="https://data.gov.sg/datasets/d_a8c3546b26712e35021f3a681d0353ae/view" TargetMode="External"/><Relationship Id="rIdz2qb_rehqsfkjpn2mt2tx" Type="http://schemas.openxmlformats.org/officeDocument/2006/relationships/hyperlink" Target="https://data.gov.sg/datasets/d_4a086da0a5553be1d89383cd90d07ecd/view" TargetMode="External"/><Relationship Id="rIdxnpz-teyewcntydedd_55" Type="http://schemas.openxmlformats.org/officeDocument/2006/relationships/hyperlink" Target="https://data.gov.sg/datasets/d_9de02d3fb33d96da1855f4fbef549a0f/view" TargetMode="External"/><Relationship Id="rIduodiq04cp3b1kx6ynocrq" Type="http://schemas.openxmlformats.org/officeDocument/2006/relationships/hyperlink" Target="https://data.gov.sg/datasets/d_f5db74053e49ce79039f1b13549d1efb/view" TargetMode="External"/><Relationship Id="rIdbieximwwxfpmq4gvdobdl" Type="http://schemas.openxmlformats.org/officeDocument/2006/relationships/hyperlink" Target="https://www.singstat.gov.sg/find-data/search-by-theme/population/geographic-distribution" TargetMode="External"/><Relationship Id="rIdbskipzxyojela7_jcwivi" Type="http://schemas.openxmlformats.org/officeDocument/2006/relationships/hyperlink" Target="https://data.gov.sg/datasets/d_d3f4d708e1d0a37b4365414e2fad3a07/view" TargetMode="External"/><Relationship Id="rIdoeqr3deleisoflbn9ix-s" Type="http://schemas.openxmlformats.org/officeDocument/2006/relationships/hyperlink" Target="https://datamall.lta.gov.sg/content/datamall/en/static-data.html" TargetMode="External"/><Relationship Id="rIdl0cfdputsgng5zgfirex6" Type="http://schemas.openxmlformats.org/officeDocument/2006/relationships/hyperlink" Target="https://datamall.lta.gov.sg/content/datamall/en/static-data.html" TargetMode="External"/><Relationship Id="rIdg8y8p0p8m1_z02x6xnvvm" Type="http://schemas.openxmlformats.org/officeDocument/2006/relationships/hyperlink" Target="https://datamall.lta.gov.sg/content/datamall/en/dynamic-data.html" TargetMode="External"/><Relationship Id="rIdlynep_lmn11qip9vl_4dl" Type="http://schemas.openxmlformats.org/officeDocument/2006/relationships/hyperlink" Target="https://data.gov.sg/datasets/d_8594ae9ff96d0c708bc2af633048edfb/view" TargetMode="External"/><Relationship Id="rIdt8brgwh299e5dqfwy1rxs" Type="http://schemas.openxmlformats.org/officeDocument/2006/relationships/hyperlink" Target="https://www.onemap.gov.sg/apidocs/themes" TargetMode="External"/><Relationship Id="rIdntv4fgerrkbfgdtp5dyia" Type="http://schemas.openxmlformats.org/officeDocument/2006/relationships/hyperlink" Target="https://data.gov.sg/datasets/d_d959102fa76d58f2de276bfbb7e8f68e/view" TargetMode="External"/><Relationship Id="rId0aop7idf_rrpp8hlqihcf" Type="http://schemas.openxmlformats.org/officeDocument/2006/relationships/hyperlink" Target="https://eservice.ura.gov.sg/maps/api/" TargetMode="External"/><Relationship Id="rIdnnukhawk8ecjfwawiscop" Type="http://schemas.openxmlformats.org/officeDocument/2006/relationships/hyperlink" Target="https://data.gov.sg/dataset/ura-carpark-information" TargetMode="External"/><Relationship Id="rIda4p7qwxornrmqktvyimt7" Type="http://schemas.openxmlformats.org/officeDocument/2006/relationships/hyperlink" Target="https://data.gov.sg/dataset/ura-season-parking?resource_id=6d1613d3-85f2-430c-b791-2b29351bbf1d" TargetMode="External"/><Relationship Id="rIdad_yp6xg2x-uamf1sjw5_" Type="http://schemas.openxmlformats.org/officeDocument/2006/relationships/hyperlink" Target="https://data.gov.sg/datasets/d_b876ece1b4a3bb5ebdc33c4394a236a2/view" TargetMode="External"/><Relationship Id="rIdcxo1onagkefxacj4fsls9" Type="http://schemas.openxmlformats.org/officeDocument/2006/relationships/hyperlink" Target="https://data.gov.sg/datasets/d_20d3fc7f08caa581c5586df51a8993c5/view" TargetMode="External"/><Relationship Id="rIdob16fwtgmcfvxsptgy_oa" Type="http://schemas.openxmlformats.org/officeDocument/2006/relationships/hyperlink" Target="https://data.gov.sg/datasets/d_9bf8620ecfdc8a5f8f77e3f02160af5c/view" TargetMode="External"/><Relationship Id="rId72xt45c1drs3wlgvscybv" Type="http://schemas.openxmlformats.org/officeDocument/2006/relationships/hyperlink" Target="https://data.gov.sg/datasets/d_9de02d3fb33d96da1855f4fbef549a0f/view" TargetMode="External"/><Relationship Id="rId-gnrgn-a5vgze8crrkjgl" Type="http://schemas.openxmlformats.org/officeDocument/2006/relationships/hyperlink" Target="https://data.gov.sg/datasets/d_f5db74053e49ce79039f1b13549d1efb/view" TargetMode="External"/><Relationship Id="rIdnr9btbiszwdllwhwzb584" Type="http://schemas.openxmlformats.org/officeDocument/2006/relationships/hyperlink" Target="https://www.singstat.gov.sg/find-data/search-by-theme/population/geographic-distribution" TargetMode="External"/><Relationship Id="rIdqbi8_vdijbme4bjye8wrk" Type="http://schemas.openxmlformats.org/officeDocument/2006/relationships/hyperlink" Target="https://data.gov.sg/datasets/d_d3f4d708e1d0a37b4365414e2fad3a07/view" TargetMode="External"/><Relationship Id="rId_wvd1cksgoocul0etsowm" Type="http://schemas.openxmlformats.org/officeDocument/2006/relationships/hyperlink" Target="https://datamall.lta.gov.sg/content/datamall/en/static-data.html"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OptEV+ Dataset Guide and Evaluation Plan</dc:title>
  <dc:creator>IRS Group 25</dc:creator>
  <cp:lastModifiedBy>Un-named</cp:lastModifiedBy>
  <cp:revision>1</cp:revision>
  <dcterms:created xsi:type="dcterms:W3CDTF">2026-09-28T10:18:59.814Z</dcterms:created>
  <dcterms:modified xsi:type="dcterms:W3CDTF">2026-09-28T10:18:59.814Z</dcterms:modified>
</cp:coreProperties>
</file>

<file path=docProps/custom.xml><?xml version="1.0" encoding="utf-8"?>
<Properties xmlns="http://schemas.openxmlformats.org/officeDocument/2006/custom-properties" xmlns:vt="http://schemas.openxmlformats.org/officeDocument/2006/docPropsVTypes"/>
</file>