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112"/>
        <w:gridCol w:w="5112"/>
      </w:tblGrid>
      <w:tr>
        <w:tc>
          <w:tcPr>
            <w:tcW w:type="dxa" w:w="7632"/>
            <w:shd w:val="clear" w:color="auto" w:fill="0E1C42"/>
            <w:vAlign w:val="center"/>
          </w:tcPr>
          <w:p>
            <w:pPr>
              <w:spacing w:after="0"/>
            </w:pPr>
            <w:r>
              <w:rPr>
                <w:rFonts w:ascii="Segoe UI" w:hAnsi="Segoe UI"/>
                <w:b/>
                <w:color w:val="FFFFFF"/>
                <w:sz w:val="44"/>
              </w:rPr>
              <w:t>English 1 — 9th Grade ELA</w:t>
            </w:r>
          </w:p>
          <w:p>
            <w:pPr>
              <w:spacing w:after="0"/>
            </w:pPr>
            <w:r>
              <w:rPr>
                <w:rFonts w:ascii="Segoe UI" w:hAnsi="Segoe UI"/>
                <w:color w:val="55C8E8"/>
                <w:sz w:val="19"/>
              </w:rPr>
              <w:t>OPTIMA ACADEMY ONLINE  ·  COURSE SYLLABUS  ·  2026–2027</w:t>
            </w:r>
          </w:p>
        </w:tc>
        <w:tc>
          <w:tcPr>
            <w:tcW w:type="dxa" w:w="2448"/>
            <w:shd w:val="clear" w:color="auto" w:fill="0E1C42"/>
            <w:vAlign w:val="center"/>
          </w:tcPr>
          <w:p>
            <w:pPr>
              <w:jc w:val="center"/>
            </w:pPr>
            <w:r>
              <w:rPr>
                <w:rFonts w:ascii="Segoe UI" w:hAnsi="Segoe UI"/>
                <w:b/>
                <w:color w:val="C7922C"/>
                <w:sz w:val="20"/>
              </w:rPr>
              <w:t>Full Year · Grade 9</w:t>
            </w:r>
          </w:p>
        </w:tc>
      </w:tr>
    </w:tbl>
    <w:p>
      <w:pPr>
        <w:spacing w:after="40"/>
      </w:pPr>
    </w:p>
    <w:tbl>
      <w:tblPr>
        <w:tblW w:type="auto" w:w="0"/>
        <w:tblLayout w:type="fixed"/>
        <w:tblLook w:firstColumn="1" w:firstRow="1" w:lastColumn="0" w:lastRow="0" w:noHBand="0" w:noVBand="1" w:val="04A0"/>
      </w:tblPr>
      <w:tblGrid>
        <w:gridCol w:w="5112"/>
        <w:gridCol w:w="5112"/>
      </w:tblGrid>
      <w:tr>
        <w:tc>
          <w:tcPr>
            <w:tcW w:type="dxa" w:w="5040"/>
            <w:shd w:val="clear" w:color="auto" w:fill="EEF1F8"/>
          </w:tcPr>
          <w:p>
            <w:pPr>
              <w:spacing w:after="20"/>
            </w:pPr>
            <w:r>
              <w:rPr>
                <w:rFonts w:ascii="Segoe UI" w:hAnsi="Segoe UI"/>
                <w:b/>
                <w:color w:val="0E1C42"/>
                <w:sz w:val="17"/>
              </w:rPr>
              <w:t>FACILITATOR</w:t>
            </w:r>
          </w:p>
          <w:p>
            <w:pPr>
              <w:spacing w:after="40"/>
            </w:pPr>
            <w:r>
              <w:rPr>
                <w:rFonts w:ascii="Segoe UI" w:hAnsi="Segoe UI"/>
                <w:color w:val="1A2340"/>
                <w:sz w:val="21"/>
              </w:rPr>
              <w:t>[Facilitator Name]</w:t>
            </w:r>
          </w:p>
        </w:tc>
        <w:tc>
          <w:tcPr>
            <w:tcW w:type="dxa" w:w="5040"/>
            <w:shd w:val="clear" w:color="auto" w:fill="EEF1F8"/>
          </w:tcPr>
          <w:p>
            <w:pPr>
              <w:spacing w:after="20"/>
            </w:pPr>
            <w:r>
              <w:rPr>
                <w:rFonts w:ascii="Segoe UI" w:hAnsi="Segoe UI"/>
                <w:b/>
                <w:color w:val="0E1C42"/>
                <w:sz w:val="17"/>
              </w:rPr>
              <w:t>EMAIL &amp; OFFICE</w:t>
            </w:r>
          </w:p>
          <w:p>
            <w:pPr>
              <w:spacing w:after="40"/>
            </w:pPr>
            <w:r>
              <w:rPr>
                <w:rFonts w:ascii="Segoe UI" w:hAnsi="Segoe UI"/>
                <w:color w:val="1A2340"/>
                <w:sz w:val="21"/>
              </w:rPr>
              <w:t>[Facilitator email] · 239.673.2801 (OAO Front Office)</w:t>
            </w:r>
          </w:p>
        </w:tc>
      </w:tr>
      <w:tr>
        <w:tc>
          <w:tcPr>
            <w:tcW w:type="dxa" w:w="5040"/>
            <w:shd w:val="clear" w:color="auto" w:fill="EEF1F8"/>
          </w:tcPr>
          <w:p>
            <w:pPr>
              <w:spacing w:after="20"/>
            </w:pPr>
            <w:r>
              <w:rPr>
                <w:rFonts w:ascii="Segoe UI" w:hAnsi="Segoe UI"/>
                <w:b/>
                <w:color w:val="0E1C42"/>
                <w:sz w:val="17"/>
              </w:rPr>
              <w:t>FLORIDA COURSE</w:t>
            </w:r>
          </w:p>
          <w:p>
            <w:pPr>
              <w:spacing w:after="40"/>
            </w:pPr>
            <w:r>
              <w:rPr>
                <w:rFonts w:ascii="Segoe UI" w:hAnsi="Segoe UI"/>
                <w:color w:val="1A2340"/>
                <w:sz w:val="21"/>
              </w:rPr>
              <w:t>Florida 1001310 · Full-year course</w:t>
            </w:r>
          </w:p>
        </w:tc>
        <w:tc>
          <w:tcPr>
            <w:tcW w:type="dxa" w:w="5040"/>
            <w:shd w:val="clear" w:color="auto" w:fill="EEF1F8"/>
          </w:tcPr>
          <w:p>
            <w:pPr>
              <w:spacing w:after="20"/>
            </w:pPr>
            <w:r>
              <w:rPr>
                <w:rFonts w:ascii="Segoe UI" w:hAnsi="Segoe UI"/>
                <w:b/>
                <w:color w:val="0E1C42"/>
                <w:sz w:val="17"/>
              </w:rPr>
              <w:t>OFFICE HOURS</w:t>
            </w:r>
          </w:p>
          <w:p>
            <w:pPr>
              <w:spacing w:after="40"/>
            </w:pPr>
            <w:r>
              <w:rPr>
                <w:rFonts w:ascii="Segoe UI" w:hAnsi="Segoe UI"/>
                <w:color w:val="1A2340"/>
                <w:sz w:val="21"/>
              </w:rPr>
              <w:t>[Office hours day/time — posted in Canvas]</w:t>
            </w:r>
          </w:p>
        </w:tc>
      </w:tr>
      <w:tr>
        <w:tc>
          <w:tcPr>
            <w:tcW w:type="dxa" w:w="5040"/>
            <w:shd w:val="clear" w:color="auto" w:fill="EEF1F8"/>
          </w:tcPr>
          <w:p>
            <w:pPr>
              <w:spacing w:after="20"/>
            </w:pPr>
            <w:r>
              <w:rPr>
                <w:rFonts w:ascii="Segoe UI" w:hAnsi="Segoe UI"/>
                <w:b/>
                <w:color w:val="0E1C42"/>
                <w:sz w:val="17"/>
              </w:rPr>
              <w:t>GRADE LEVEL</w:t>
            </w:r>
          </w:p>
          <w:p>
            <w:pPr>
              <w:spacing w:after="40"/>
            </w:pPr>
            <w:r>
              <w:rPr>
                <w:rFonts w:ascii="Segoe UI" w:hAnsi="Segoe UI"/>
                <w:color w:val="1A2340"/>
                <w:sz w:val="21"/>
              </w:rPr>
              <w:t>Grade 9 (High School)</w:t>
            </w:r>
          </w:p>
        </w:tc>
        <w:tc>
          <w:tcPr>
            <w:tcW w:type="dxa" w:w="5040"/>
            <w:shd w:val="clear" w:color="auto" w:fill="EEF1F8"/>
          </w:tcPr>
          <w:p>
            <w:pPr>
              <w:spacing w:after="20"/>
            </w:pPr>
            <w:r>
              <w:rPr>
                <w:rFonts w:ascii="Segoe UI" w:hAnsi="Segoe UI"/>
                <w:b/>
                <w:color w:val="0E1C42"/>
                <w:sz w:val="17"/>
              </w:rPr>
              <w:t>FORMAT</w:t>
            </w:r>
          </w:p>
          <w:p>
            <w:pPr>
              <w:spacing w:after="40"/>
            </w:pPr>
            <w:r>
              <w:rPr>
                <w:rFonts w:ascii="Segoe UI" w:hAnsi="Segoe UI"/>
                <w:color w:val="1A2340"/>
                <w:sz w:val="21"/>
              </w:rPr>
              <w:t>On-Demand (also offered live on the VR campus)</w:t>
            </w:r>
          </w:p>
        </w:tc>
      </w:tr>
    </w:tbl>
    <w:p>
      <w:pPr>
        <w:spacing w:after="40"/>
      </w:pPr>
    </w:p>
    <w:tbl>
      <w:tblPr>
        <w:tblW w:type="auto" w:w="0"/>
        <w:tblLook w:firstColumn="1" w:firstRow="1" w:lastColumn="0" w:lastRow="0" w:noHBand="0" w:noVBand="1" w:val="04A0"/>
      </w:tblPr>
      <w:tblGrid>
        <w:gridCol w:w="10224"/>
      </w:tblGrid>
      <w:tr>
        <w:tc>
          <w:tcPr>
            <w:tcW w:type="dxa" w:w="10224"/>
            <w:shd w:val="clear" w:color="auto" w:fill="FDF3E3"/>
            <w:tcBorders>
              <w:top w:val="single" w:sz="4" w:color="C7922C"/>
              <w:left w:val="single" w:sz="24" w:color="C7922C"/>
              <w:bottom w:val="single" w:sz="4" w:color="C7922C"/>
              <w:right w:val="single" w:sz="4" w:color="C7922C"/>
            </w:tcBorders>
          </w:tcPr>
          <w:p>
            <w:pPr>
              <w:spacing w:after="80"/>
            </w:pPr>
            <w:r/>
            <w:r>
              <w:rPr>
                <w:rFonts w:ascii="Segoe UI" w:hAnsi="Segoe UI"/>
                <w:b/>
                <w:color w:val="0E1C42"/>
                <w:sz w:val="21"/>
              </w:rPr>
              <w:t>About this syllabus.</w:t>
            </w:r>
          </w:p>
          <w:p>
            <w:pPr>
              <w:spacing w:after="80"/>
            </w:pPr>
            <w:r>
              <w:rPr>
                <w:rFonts w:ascii="Segoe UI" w:hAnsi="Segoe UI"/>
                <w:b w:val="0"/>
                <w:color w:val="0E1C42"/>
                <w:sz w:val="20"/>
              </w:rPr>
              <w:t>This is the plan for the course as designed. On-Demand and live-school sections share the same content and expectations; exact pacing, scheduled dates, and a few activities may vary from section to section and term to term. Your facilitator will confirm the specifics for your section. It is a full-year, high-school English course; On-Demand scholars pace through the seven modules across the two semesters of their enrolled year.</w:t>
            </w:r>
          </w:p>
        </w:tc>
      </w:tr>
    </w:tbl>
    <w:p>
      <w:pPr>
        <w:spacing w:after="40"/>
      </w:pPr>
    </w:p>
    <w:tbl>
      <w:tblPr>
        <w:tblW w:type="auto" w:w="0"/>
        <w:jc w:val="center"/>
        <w:tblLook w:firstColumn="1" w:firstRow="1" w:lastColumn="0" w:lastRow="0" w:noHBand="0" w:noVBand="1" w:val="04A0"/>
      </w:tblPr>
      <w:tblGrid>
        <w:gridCol w:w="10224"/>
      </w:tblGrid>
      <w:tr>
        <w:tc>
          <w:tcPr>
            <w:tcW w:type="dxa" w:w="10224"/>
            <w:shd w:val="clear" w:color="auto" w:fill="0E1C42"/>
          </w:tcPr>
          <w:p>
            <w:pPr>
              <w:spacing w:after="40" w:before="40"/>
            </w:pPr>
            <w:r>
              <w:rPr>
                <w:rFonts w:ascii="Segoe UI" w:hAnsi="Segoe UI"/>
                <w:b/>
                <w:color w:val="FFFFFF"/>
                <w:sz w:val="24"/>
              </w:rPr>
              <w:t>COURSE OVERVIEW</w:t>
            </w:r>
          </w:p>
        </w:tc>
      </w:tr>
    </w:tbl>
    <w:p>
      <w:pPr>
        <w:spacing w:after="40"/>
      </w:pPr>
    </w:p>
    <w:p>
      <w:pPr>
        <w:spacing w:after="80" w:before="0"/>
      </w:pPr>
      <w:r>
        <w:rPr>
          <w:rFonts w:ascii="Segoe UI" w:hAnsi="Segoe UI"/>
          <w:b w:val="0"/>
          <w:i w:val="0"/>
          <w:color w:val="1A2340"/>
          <w:sz w:val="21"/>
        </w:rPr>
        <w:t>English 1 follows a single question through seven works of literature spanning twenty-five centuries: what is owed, to others and to ourselves? In Semester 1, scholars read Sophocles' Electra, the medieval romance Sir Gawain and the Green Knight, Chaucer's Canterbury Tales, and a set of Shakespeare's sonnets, tracing how duty, honor, and love take shape across the classical, medieval, and Renaissance worlds. In Semester 2, scholars turn to a set of classic short stories, Hawthorne's The Scarlet Letter, and Miller's The Crucible, following the same question of justice and duty into Puritan New England and, through The Crucible, into an American reckoning with conscience under pressure.</w:t>
      </w:r>
    </w:p>
    <w:p>
      <w:pPr>
        <w:spacing w:after="80" w:before="0"/>
      </w:pPr>
      <w:r>
        <w:rPr>
          <w:rFonts w:ascii="Segoe UI" w:hAnsi="Segoe UI"/>
          <w:b w:val="0"/>
          <w:i w:val="0"/>
          <w:color w:val="1A2340"/>
          <w:sz w:val="21"/>
        </w:rPr>
        <w:t>Each module pairs close reading with two weekly grammar lessons, a Word Study vocabulary program grounded in that module's text, a weekly Quick Write, and a scaffolded module project that builds toward one substantial piece of writing or performance. A short solo activity on Optima's VR campus extends the reading each week, and a biweekly grammar-and-vocabulary quiz keeps skills cumulative.</w:t>
      </w:r>
    </w:p>
    <w:p>
      <w:pPr>
        <w:spacing w:after="80" w:before="160"/>
      </w:pPr>
      <w:r>
        <w:rPr>
          <w:rFonts w:ascii="Segoe UI" w:hAnsi="Segoe UI"/>
          <w:b/>
          <w:color w:val="C7922C"/>
          <w:sz w:val="21"/>
        </w:rPr>
        <w:t>WHAT SCHOLARS WILL LEARN TO DO</w:t>
      </w:r>
    </w:p>
    <w:p>
      <w:pPr>
        <w:pStyle w:val="ListBullet"/>
        <w:spacing w:after="60"/>
      </w:pPr>
      <w:r>
        <w:rPr>
          <w:rFonts w:ascii="Segoe UI" w:hAnsi="Segoe UI"/>
          <w:color w:val="1A2340"/>
          <w:sz w:val="21"/>
        </w:rPr>
        <w:t>Read and analyze classical, medieval, Renaissance, and American literature for theme, structure, and craft</w:t>
      </w:r>
    </w:p>
    <w:p>
      <w:pPr>
        <w:pStyle w:val="ListBullet"/>
        <w:spacing w:after="60"/>
      </w:pPr>
      <w:r>
        <w:rPr>
          <w:rFonts w:ascii="Segoe UI" w:hAnsi="Segoe UI"/>
          <w:color w:val="1A2340"/>
          <w:sz w:val="21"/>
        </w:rPr>
        <w:t>Compare how different eras and authors treat universal questions of justice, duty, and conscience</w:t>
      </w:r>
    </w:p>
    <w:p>
      <w:pPr>
        <w:pStyle w:val="ListBullet"/>
        <w:spacing w:after="60"/>
      </w:pPr>
      <w:r>
        <w:rPr>
          <w:rFonts w:ascii="Segoe UI" w:hAnsi="Segoe UI"/>
          <w:color w:val="1A2340"/>
          <w:sz w:val="21"/>
        </w:rPr>
        <w:t>Write expository, argumentative, and narrative pieces developed through drafting and revision</w:t>
      </w:r>
    </w:p>
    <w:p>
      <w:pPr>
        <w:pStyle w:val="ListBullet"/>
        <w:spacing w:after="60"/>
      </w:pPr>
      <w:r>
        <w:rPr>
          <w:rFonts w:ascii="Segoe UI" w:hAnsi="Segoe UI"/>
          <w:color w:val="1A2340"/>
          <w:sz w:val="21"/>
        </w:rPr>
        <w:t>Build and defend a claim with textual evidence, and address an opposing view</w:t>
      </w:r>
    </w:p>
    <w:p>
      <w:pPr>
        <w:pStyle w:val="ListBullet"/>
        <w:spacing w:after="60"/>
      </w:pPr>
      <w:r>
        <w:rPr>
          <w:rFonts w:ascii="Segoe UI" w:hAnsi="Segoe UI"/>
          <w:color w:val="1A2340"/>
          <w:sz w:val="21"/>
        </w:rPr>
        <w:t>Expand academic vocabulary in context, including word origins, connotation, and denotation</w:t>
      </w:r>
    </w:p>
    <w:p>
      <w:pPr>
        <w:pStyle w:val="ListBullet"/>
        <w:spacing w:after="60"/>
      </w:pPr>
      <w:r>
        <w:rPr>
          <w:rFonts w:ascii="Segoe UI" w:hAnsi="Segoe UI"/>
          <w:color w:val="1A2340"/>
          <w:sz w:val="21"/>
        </w:rPr>
        <w:t>Apply grammar and sentence-level craft learned each week to their own writing</w:t>
      </w:r>
    </w:p>
    <w:p>
      <w:pPr>
        <w:pStyle w:val="ListBullet"/>
        <w:spacing w:after="60"/>
      </w:pPr>
      <w:r>
        <w:rPr>
          <w:rFonts w:ascii="Segoe UI" w:hAnsi="Segoe UI"/>
          <w:color w:val="1A2340"/>
          <w:sz w:val="21"/>
        </w:rPr>
        <w:t>Deliver an oral or digital presentation of their own work</w:t>
      </w:r>
    </w:p>
    <w:p>
      <w:pPr>
        <w:pStyle w:val="ListBullet"/>
        <w:spacing w:after="60"/>
      </w:pPr>
      <w:r>
        <w:rPr>
          <w:rFonts w:ascii="Segoe UI" w:hAnsi="Segoe UI"/>
          <w:color w:val="1A2340"/>
          <w:sz w:val="21"/>
        </w:rPr>
        <w:t>Read and discuss literature in conversation with classmates</w:t>
      </w:r>
    </w:p>
    <w:p>
      <w:pPr>
        <w:spacing w:after="40"/>
      </w:pPr>
    </w:p>
    <w:tbl>
      <w:tblPr>
        <w:tblW w:type="auto" w:w="0"/>
        <w:jc w:val="center"/>
        <w:tblLook w:firstColumn="1" w:firstRow="1" w:lastColumn="0" w:lastRow="0" w:noHBand="0" w:noVBand="1" w:val="04A0"/>
      </w:tblPr>
      <w:tblGrid>
        <w:gridCol w:w="10224"/>
      </w:tblGrid>
      <w:tr>
        <w:tc>
          <w:tcPr>
            <w:tcW w:type="dxa" w:w="10224"/>
            <w:shd w:val="clear" w:color="auto" w:fill="0E1C42"/>
          </w:tcPr>
          <w:p>
            <w:pPr>
              <w:spacing w:after="40" w:before="40"/>
            </w:pPr>
            <w:r>
              <w:rPr>
                <w:rFonts w:ascii="Segoe UI" w:hAnsi="Segoe UI"/>
                <w:b/>
                <w:color w:val="FFFFFF"/>
                <w:sz w:val="24"/>
              </w:rPr>
              <w:t>BIG PROJECTS &amp; MILESTONES</w:t>
            </w:r>
          </w:p>
        </w:tc>
      </w:tr>
    </w:tbl>
    <w:p>
      <w:pPr>
        <w:spacing w:after="40"/>
      </w:pPr>
    </w:p>
    <w:p>
      <w:pPr>
        <w:spacing w:after="80" w:before="0"/>
      </w:pPr>
      <w:r>
        <w:rPr>
          <w:rFonts w:ascii="Segoe UI" w:hAnsi="Segoe UI"/>
          <w:b w:val="0"/>
          <w:i w:val="0"/>
          <w:color w:val="1A2340"/>
          <w:sz w:val="20"/>
        </w:rPr>
        <w:t>The course builds toward one substantial piece of writing or performance in every module. Target dates below follow a sample full-year pacing; On-Demand scholars pace to their own enrolled term and Live sections follow the class schedule, keeping each milestone roughly in order.</w:t>
      </w:r>
    </w:p>
    <w:tbl>
      <w:tblPr>
        <w:tblW w:type="auto" w:w="0"/>
        <w:tblLayout w:type="fixed"/>
        <w:tblLook w:firstColumn="1" w:firstRow="1" w:lastColumn="0" w:lastRow="0" w:noHBand="0" w:noVBand="1" w:val="04A0"/>
      </w:tblPr>
      <w:tblGrid>
        <w:gridCol w:w="2556"/>
        <w:gridCol w:w="2556"/>
        <w:gridCol w:w="2556"/>
        <w:gridCol w:w="2556"/>
      </w:tblGrid>
      <w:tr>
        <w:tc>
          <w:tcPr>
            <w:tcW w:type="dxa" w:w="2448"/>
            <w:shd w:val="clear" w:color="auto" w:fill="0E1C42"/>
          </w:tcPr>
          <w:p>
            <w:r>
              <w:rPr>
                <w:rFonts w:ascii="Segoe UI" w:hAnsi="Segoe UI"/>
                <w:b/>
                <w:color w:val="FFFFFF"/>
                <w:sz w:val="18"/>
              </w:rPr>
              <w:t>PROJECT / MILESTONE</w:t>
            </w:r>
          </w:p>
        </w:tc>
        <w:tc>
          <w:tcPr>
            <w:tcW w:type="dxa" w:w="1872"/>
            <w:shd w:val="clear" w:color="auto" w:fill="0E1C42"/>
          </w:tcPr>
          <w:p>
            <w:r>
              <w:rPr>
                <w:rFonts w:ascii="Segoe UI" w:hAnsi="Segoe UI"/>
                <w:b/>
                <w:color w:val="FFFFFF"/>
                <w:sz w:val="18"/>
              </w:rPr>
              <w:t>COURSE PLACE</w:t>
            </w:r>
          </w:p>
        </w:tc>
        <w:tc>
          <w:tcPr>
            <w:tcW w:type="dxa" w:w="1440"/>
            <w:shd w:val="clear" w:color="auto" w:fill="0E1C42"/>
          </w:tcPr>
          <w:p>
            <w:r>
              <w:rPr>
                <w:rFonts w:ascii="Segoe UI" w:hAnsi="Segoe UI"/>
                <w:b/>
                <w:color w:val="FFFFFF"/>
                <w:sz w:val="18"/>
              </w:rPr>
              <w:t>SAMPLE TARGET</w:t>
            </w:r>
          </w:p>
        </w:tc>
        <w:tc>
          <w:tcPr>
            <w:tcW w:type="dxa" w:w="3456"/>
            <w:shd w:val="clear" w:color="auto" w:fill="0E1C42"/>
          </w:tcPr>
          <w:p>
            <w:r>
              <w:rPr>
                <w:rFonts w:ascii="Segoe UI" w:hAnsi="Segoe UI"/>
                <w:b/>
                <w:color w:val="FFFFFF"/>
                <w:sz w:val="18"/>
              </w:rPr>
              <w:t>WHAT YOU TURN IN</w:t>
            </w:r>
          </w:p>
        </w:tc>
      </w:tr>
      <w:tr>
        <w:tc>
          <w:tcPr>
            <w:tcW w:type="dxa" w:w="2556"/>
            <w:shd w:val="clear" w:color="auto" w:fill="FFFFFF"/>
          </w:tcPr>
          <w:p>
            <w:r>
              <w:rPr>
                <w:rFonts w:ascii="Segoe UI" w:hAnsi="Segoe UI"/>
                <w:b/>
                <w:color w:val="0E1C42"/>
                <w:sz w:val="18"/>
              </w:rPr>
              <w:t>Electra — Justice Essay</w:t>
            </w:r>
          </w:p>
        </w:tc>
        <w:tc>
          <w:tcPr>
            <w:tcW w:type="dxa" w:w="2556"/>
            <w:shd w:val="clear" w:color="auto" w:fill="FFFFFF"/>
          </w:tcPr>
          <w:p>
            <w:r>
              <w:rPr>
                <w:rFonts w:ascii="Segoe UI" w:hAnsi="Segoe UI"/>
                <w:color w:val="1A2340"/>
                <w:sz w:val="18"/>
              </w:rPr>
              <w:t>Module 1 · Weeks 1–5</w:t>
            </w:r>
          </w:p>
        </w:tc>
        <w:tc>
          <w:tcPr>
            <w:tcW w:type="dxa" w:w="2556"/>
            <w:shd w:val="clear" w:color="auto" w:fill="FFFFFF"/>
          </w:tcPr>
          <w:p>
            <w:r>
              <w:rPr>
                <w:rFonts w:ascii="Segoe UI" w:hAnsi="Segoe UI"/>
                <w:color w:val="1A2340"/>
                <w:sz w:val="18"/>
              </w:rPr>
              <w:t>Sem. 1, Wk 5</w:t>
            </w:r>
          </w:p>
        </w:tc>
        <w:tc>
          <w:tcPr>
            <w:tcW w:type="dxa" w:w="2556"/>
            <w:shd w:val="clear" w:color="auto" w:fill="FFFFFF"/>
          </w:tcPr>
          <w:p>
            <w:r>
              <w:rPr>
                <w:rFonts w:ascii="Segoe UI" w:hAnsi="Segoe UI"/>
                <w:color w:val="1A2340"/>
                <w:sz w:val="18"/>
              </w:rPr>
              <w:t>An evidence-based essay answering the module's central question — what is justice when the law and the family disagree? — built through a position tracker, thesis and evidence chart, and outline before the final draft.</w:t>
            </w:r>
          </w:p>
        </w:tc>
      </w:tr>
      <w:tr>
        <w:tc>
          <w:tcPr>
            <w:tcW w:type="dxa" w:w="2556"/>
            <w:shd w:val="clear" w:color="auto" w:fill="F4F6FB"/>
          </w:tcPr>
          <w:p>
            <w:r>
              <w:rPr>
                <w:rFonts w:ascii="Segoe UI" w:hAnsi="Segoe UI"/>
                <w:b/>
                <w:color w:val="0E1C42"/>
                <w:sz w:val="18"/>
              </w:rPr>
              <w:t>Sir Gawain — Disputatio Essay</w:t>
            </w:r>
          </w:p>
        </w:tc>
        <w:tc>
          <w:tcPr>
            <w:tcW w:type="dxa" w:w="2556"/>
            <w:shd w:val="clear" w:color="auto" w:fill="F4F6FB"/>
          </w:tcPr>
          <w:p>
            <w:r>
              <w:rPr>
                <w:rFonts w:ascii="Segoe UI" w:hAnsi="Segoe UI"/>
                <w:color w:val="1A2340"/>
                <w:sz w:val="18"/>
              </w:rPr>
              <w:t>Module 2 · Weeks 6–10</w:t>
            </w:r>
          </w:p>
        </w:tc>
        <w:tc>
          <w:tcPr>
            <w:tcW w:type="dxa" w:w="2556"/>
            <w:shd w:val="clear" w:color="auto" w:fill="F4F6FB"/>
          </w:tcPr>
          <w:p>
            <w:r>
              <w:rPr>
                <w:rFonts w:ascii="Segoe UI" w:hAnsi="Segoe UI"/>
                <w:color w:val="1A2340"/>
                <w:sz w:val="18"/>
              </w:rPr>
              <w:t>Sem. 1, Wk 10</w:t>
            </w:r>
          </w:p>
        </w:tc>
        <w:tc>
          <w:tcPr>
            <w:tcW w:type="dxa" w:w="2556"/>
            <w:shd w:val="clear" w:color="auto" w:fill="F4F6FB"/>
          </w:tcPr>
          <w:p>
            <w:r>
              <w:rPr>
                <w:rFonts w:ascii="Segoe UI" w:hAnsi="Segoe UI"/>
                <w:color w:val="1A2340"/>
                <w:sz w:val="18"/>
              </w:rPr>
              <w:t>An argumentative essay on honor and the keeping of one's word, built through the classical disputatio method (claim, objections, replies).</w:t>
            </w:r>
          </w:p>
        </w:tc>
      </w:tr>
      <w:tr>
        <w:tc>
          <w:tcPr>
            <w:tcW w:type="dxa" w:w="2556"/>
            <w:shd w:val="clear" w:color="auto" w:fill="FFFFFF"/>
          </w:tcPr>
          <w:p>
            <w:r>
              <w:rPr>
                <w:rFonts w:ascii="Segoe UI" w:hAnsi="Segoe UI"/>
                <w:b/>
                <w:color w:val="0E1C42"/>
                <w:sz w:val="18"/>
              </w:rPr>
              <w:t>Canterbury Tales — The Pilgrim's Portrait</w:t>
            </w:r>
          </w:p>
        </w:tc>
        <w:tc>
          <w:tcPr>
            <w:tcW w:type="dxa" w:w="2556"/>
            <w:shd w:val="clear" w:color="auto" w:fill="FFFFFF"/>
          </w:tcPr>
          <w:p>
            <w:r>
              <w:rPr>
                <w:rFonts w:ascii="Segoe UI" w:hAnsi="Segoe UI"/>
                <w:color w:val="1A2340"/>
                <w:sz w:val="18"/>
              </w:rPr>
              <w:t>Module 3 · Weeks 11–15</w:t>
            </w:r>
          </w:p>
        </w:tc>
        <w:tc>
          <w:tcPr>
            <w:tcW w:type="dxa" w:w="2556"/>
            <w:shd w:val="clear" w:color="auto" w:fill="FFFFFF"/>
          </w:tcPr>
          <w:p>
            <w:r>
              <w:rPr>
                <w:rFonts w:ascii="Segoe UI" w:hAnsi="Segoe UI"/>
                <w:color w:val="1A2340"/>
                <w:sz w:val="18"/>
              </w:rPr>
              <w:t>Sem. 1, Wk 15</w:t>
            </w:r>
          </w:p>
        </w:tc>
        <w:tc>
          <w:tcPr>
            <w:tcW w:type="dxa" w:w="2556"/>
            <w:shd w:val="clear" w:color="auto" w:fill="FFFFFF"/>
          </w:tcPr>
          <w:p>
            <w:r>
              <w:rPr>
                <w:rFonts w:ascii="Segoe UI" w:hAnsi="Segoe UI"/>
                <w:color w:val="1A2340"/>
                <w:sz w:val="18"/>
              </w:rPr>
              <w:t>An original character portrait written in Chaucer's satirical style, applying the General Prologue's methods of social portraiture to a modern setting.</w:t>
            </w:r>
          </w:p>
        </w:tc>
      </w:tr>
      <w:tr>
        <w:tc>
          <w:tcPr>
            <w:tcW w:type="dxa" w:w="2556"/>
            <w:shd w:val="clear" w:color="auto" w:fill="F4F6FB"/>
          </w:tcPr>
          <w:p>
            <w:r>
              <w:rPr>
                <w:rFonts w:ascii="Segoe UI" w:hAnsi="Segoe UI"/>
                <w:b/>
                <w:color w:val="0E1C42"/>
                <w:sz w:val="18"/>
              </w:rPr>
              <w:t>Sonnets — Original Sonnet</w:t>
            </w:r>
          </w:p>
        </w:tc>
        <w:tc>
          <w:tcPr>
            <w:tcW w:type="dxa" w:w="2556"/>
            <w:shd w:val="clear" w:color="auto" w:fill="F4F6FB"/>
          </w:tcPr>
          <w:p>
            <w:r>
              <w:rPr>
                <w:rFonts w:ascii="Segoe UI" w:hAnsi="Segoe UI"/>
                <w:color w:val="1A2340"/>
                <w:sz w:val="18"/>
              </w:rPr>
              <w:t>Module 4 · Weeks 16–18</w:t>
            </w:r>
          </w:p>
        </w:tc>
        <w:tc>
          <w:tcPr>
            <w:tcW w:type="dxa" w:w="2556"/>
            <w:shd w:val="clear" w:color="auto" w:fill="F4F6FB"/>
          </w:tcPr>
          <w:p>
            <w:r>
              <w:rPr>
                <w:rFonts w:ascii="Segoe UI" w:hAnsi="Segoe UI"/>
                <w:color w:val="1A2340"/>
                <w:sz w:val="18"/>
              </w:rPr>
              <w:t>Sem. 1, Wk 18</w:t>
            </w:r>
          </w:p>
        </w:tc>
        <w:tc>
          <w:tcPr>
            <w:tcW w:type="dxa" w:w="2556"/>
            <w:shd w:val="clear" w:color="auto" w:fill="F4F6FB"/>
          </w:tcPr>
          <w:p>
            <w:r>
              <w:rPr>
                <w:rFonts w:ascii="Segoe UI" w:hAnsi="Segoe UI"/>
                <w:color w:val="1A2340"/>
                <w:sz w:val="18"/>
              </w:rPr>
              <w:t>An original sonnet written to the form, with a short reflection on the poetic choices made, recorded or presented as an oral reading.</w:t>
            </w:r>
          </w:p>
        </w:tc>
      </w:tr>
      <w:tr>
        <w:tc>
          <w:tcPr>
            <w:tcW w:type="dxa" w:w="2556"/>
            <w:shd w:val="clear" w:color="auto" w:fill="FFFFFF"/>
          </w:tcPr>
          <w:p>
            <w:r>
              <w:rPr>
                <w:rFonts w:ascii="Segoe UI" w:hAnsi="Segoe UI"/>
                <w:b/>
                <w:color w:val="0E1C42"/>
                <w:sz w:val="18"/>
              </w:rPr>
              <w:t>Short Stories — Craft Project*</w:t>
            </w:r>
          </w:p>
        </w:tc>
        <w:tc>
          <w:tcPr>
            <w:tcW w:type="dxa" w:w="2556"/>
            <w:shd w:val="clear" w:color="auto" w:fill="FFFFFF"/>
          </w:tcPr>
          <w:p>
            <w:r>
              <w:rPr>
                <w:rFonts w:ascii="Segoe UI" w:hAnsi="Segoe UI"/>
                <w:color w:val="1A2340"/>
                <w:sz w:val="18"/>
              </w:rPr>
              <w:t>Module 5 · Weeks 19–26</w:t>
            </w:r>
          </w:p>
        </w:tc>
        <w:tc>
          <w:tcPr>
            <w:tcW w:type="dxa" w:w="2556"/>
            <w:shd w:val="clear" w:color="auto" w:fill="FFFFFF"/>
          </w:tcPr>
          <w:p>
            <w:r>
              <w:rPr>
                <w:rFonts w:ascii="Segoe UI" w:hAnsi="Segoe UI"/>
                <w:color w:val="1A2340"/>
                <w:sz w:val="18"/>
              </w:rPr>
              <w:t>Sem. 2, Wk 26</w:t>
            </w:r>
          </w:p>
        </w:tc>
        <w:tc>
          <w:tcPr>
            <w:tcW w:type="dxa" w:w="2556"/>
            <w:shd w:val="clear" w:color="auto" w:fill="FFFFFF"/>
          </w:tcPr>
          <w:p>
            <w:r>
              <w:rPr>
                <w:rFonts w:ascii="Segoe UI" w:hAnsi="Segoe UI"/>
                <w:color w:val="1A2340"/>
                <w:sz w:val="18"/>
              </w:rPr>
              <w:t>An original short story that deliberately uses one of the module's literary techniques (irony, foreshadowing, or ambiguity), with a short craft reflection.</w:t>
            </w:r>
          </w:p>
        </w:tc>
      </w:tr>
      <w:tr>
        <w:tc>
          <w:tcPr>
            <w:tcW w:type="dxa" w:w="2556"/>
            <w:shd w:val="clear" w:color="auto" w:fill="F4F6FB"/>
          </w:tcPr>
          <w:p>
            <w:r>
              <w:rPr>
                <w:rFonts w:ascii="Segoe UI" w:hAnsi="Segoe UI"/>
                <w:b/>
                <w:color w:val="0E1C42"/>
                <w:sz w:val="18"/>
              </w:rPr>
              <w:t>The Scarlet Letter — Essay*</w:t>
            </w:r>
          </w:p>
        </w:tc>
        <w:tc>
          <w:tcPr>
            <w:tcW w:type="dxa" w:w="2556"/>
            <w:shd w:val="clear" w:color="auto" w:fill="F4F6FB"/>
          </w:tcPr>
          <w:p>
            <w:r>
              <w:rPr>
                <w:rFonts w:ascii="Segoe UI" w:hAnsi="Segoe UI"/>
                <w:color w:val="1A2340"/>
                <w:sz w:val="18"/>
              </w:rPr>
              <w:t>Module 6 · Weeks 27–31</w:t>
            </w:r>
          </w:p>
        </w:tc>
        <w:tc>
          <w:tcPr>
            <w:tcW w:type="dxa" w:w="2556"/>
            <w:shd w:val="clear" w:color="auto" w:fill="F4F6FB"/>
          </w:tcPr>
          <w:p>
            <w:r>
              <w:rPr>
                <w:rFonts w:ascii="Segoe UI" w:hAnsi="Segoe UI"/>
                <w:color w:val="1A2340"/>
                <w:sz w:val="18"/>
              </w:rPr>
              <w:t>Sem. 2, Wk 31</w:t>
            </w:r>
          </w:p>
        </w:tc>
        <w:tc>
          <w:tcPr>
            <w:tcW w:type="dxa" w:w="2556"/>
            <w:shd w:val="clear" w:color="auto" w:fill="F4F6FB"/>
          </w:tcPr>
          <w:p>
            <w:r>
              <w:rPr>
                <w:rFonts w:ascii="Segoe UI" w:hAnsi="Segoe UI"/>
                <w:color w:val="1A2340"/>
                <w:sz w:val="18"/>
              </w:rPr>
              <w:t>An essay on sin, guilt, and redemption in Hawthorne's Puritan Boston.</w:t>
            </w:r>
          </w:p>
        </w:tc>
      </w:tr>
      <w:tr>
        <w:tc>
          <w:tcPr>
            <w:tcW w:type="dxa" w:w="2556"/>
            <w:shd w:val="clear" w:color="auto" w:fill="FFFFFF"/>
          </w:tcPr>
          <w:p>
            <w:r>
              <w:rPr>
                <w:rFonts w:ascii="Segoe UI" w:hAnsi="Segoe UI"/>
                <w:b/>
                <w:color w:val="0E1C42"/>
                <w:sz w:val="18"/>
              </w:rPr>
              <w:t>The Crucible — Culminating Essay*</w:t>
            </w:r>
          </w:p>
        </w:tc>
        <w:tc>
          <w:tcPr>
            <w:tcW w:type="dxa" w:w="2556"/>
            <w:shd w:val="clear" w:color="auto" w:fill="FFFFFF"/>
          </w:tcPr>
          <w:p>
            <w:r>
              <w:rPr>
                <w:rFonts w:ascii="Segoe UI" w:hAnsi="Segoe UI"/>
                <w:color w:val="1A2340"/>
                <w:sz w:val="18"/>
              </w:rPr>
              <w:t>Module 7 · Weeks 32–35</w:t>
            </w:r>
          </w:p>
        </w:tc>
        <w:tc>
          <w:tcPr>
            <w:tcW w:type="dxa" w:w="2556"/>
            <w:shd w:val="clear" w:color="auto" w:fill="FFFFFF"/>
          </w:tcPr>
          <w:p>
            <w:r>
              <w:rPr>
                <w:rFonts w:ascii="Segoe UI" w:hAnsi="Segoe UI"/>
                <w:color w:val="1A2340"/>
                <w:sz w:val="18"/>
              </w:rPr>
              <w:t>Sem. 2, Wk 35</w:t>
            </w:r>
          </w:p>
        </w:tc>
        <w:tc>
          <w:tcPr>
            <w:tcW w:type="dxa" w:w="2556"/>
            <w:shd w:val="clear" w:color="auto" w:fill="FFFFFF"/>
          </w:tcPr>
          <w:p>
            <w:r>
              <w:rPr>
                <w:rFonts w:ascii="Segoe UI" w:hAnsi="Segoe UI"/>
                <w:color w:val="1A2340"/>
                <w:sz w:val="18"/>
              </w:rPr>
              <w:t>A culminating essay connecting The Crucible's Salem to a modern instance of public accusation and conscience under pressure.</w:t>
            </w:r>
          </w:p>
        </w:tc>
      </w:tr>
    </w:tbl>
    <w:p>
      <w:pPr>
        <w:spacing w:after="80" w:before="0"/>
      </w:pPr>
      <w:r>
        <w:rPr>
          <w:rFonts w:ascii="Segoe UI" w:hAnsi="Segoe UI"/>
          <w:b w:val="0"/>
          <w:i/>
          <w:color w:val="6B7A99"/>
          <w:sz w:val="17"/>
        </w:rPr>
        <w:t>*Semester 2 project details above reflect the course's current design; your facilitator will confirm exact requirements when Semester 2 opens.</w:t>
      </w:r>
    </w:p>
    <w:p>
      <w:r>
        <w:br w:type="page"/>
      </w:r>
    </w:p>
    <w:tbl>
      <w:tblPr>
        <w:tblW w:type="auto" w:w="0"/>
        <w:jc w:val="center"/>
        <w:tblLook w:firstColumn="1" w:firstRow="1" w:lastColumn="0" w:lastRow="0" w:noHBand="0" w:noVBand="1" w:val="04A0"/>
      </w:tblPr>
      <w:tblGrid>
        <w:gridCol w:w="10224"/>
      </w:tblGrid>
      <w:tr>
        <w:tc>
          <w:tcPr>
            <w:tcW w:type="dxa" w:w="10224"/>
            <w:shd w:val="clear" w:color="auto" w:fill="0E1C42"/>
          </w:tcPr>
          <w:p>
            <w:pPr>
              <w:spacing w:after="40" w:before="40"/>
            </w:pPr>
            <w:r>
              <w:rPr>
                <w:rFonts w:ascii="Segoe UI" w:hAnsi="Segoe UI"/>
                <w:b/>
                <w:color w:val="FFFFFF"/>
                <w:sz w:val="24"/>
              </w:rPr>
              <w:t>IMPORTANT DATES — 2026–2027</w:t>
            </w:r>
          </w:p>
        </w:tc>
      </w:tr>
    </w:tbl>
    <w:p>
      <w:pPr>
        <w:spacing w:after="40"/>
      </w:pPr>
    </w:p>
    <w:tbl>
      <w:tblPr>
        <w:tblW w:type="auto" w:w="0"/>
        <w:tblLayout w:type="fixed"/>
        <w:tblLook w:firstColumn="1" w:firstRow="1" w:lastColumn="0" w:lastRow="0" w:noHBand="0" w:noVBand="1" w:val="04A0"/>
      </w:tblPr>
      <w:tblGrid>
        <w:gridCol w:w="5112"/>
        <w:gridCol w:w="5112"/>
      </w:tblGrid>
      <w:tr>
        <w:tc>
          <w:tcPr>
            <w:tcW w:type="dxa" w:w="4536"/>
          </w:tcPr>
          <w:p>
            <w:pPr>
              <w:spacing w:after="20"/>
            </w:pPr>
            <w:r>
              <w:rPr>
                <w:rFonts w:ascii="Segoe UI" w:hAnsi="Segoe UI"/>
                <w:b/>
                <w:color w:val="0E1C42"/>
                <w:sz w:val="19"/>
              </w:rPr>
              <w:t xml:space="preserve">Aug 12, 2026  </w:t>
            </w:r>
            <w:r>
              <w:rPr>
                <w:rFonts w:ascii="Segoe UI" w:hAnsi="Segoe UI"/>
                <w:color w:val="1A2340"/>
                <w:sz w:val="19"/>
              </w:rPr>
              <w:t>First day of school</w:t>
            </w:r>
          </w:p>
        </w:tc>
        <w:tc>
          <w:tcPr>
            <w:tcW w:type="dxa" w:w="4536"/>
          </w:tcPr>
          <w:p>
            <w:pPr>
              <w:spacing w:after="20"/>
            </w:pPr>
            <w:r>
              <w:rPr>
                <w:rFonts w:ascii="Segoe UI" w:hAnsi="Segoe UI"/>
                <w:b/>
                <w:color w:val="0E1C42"/>
                <w:sz w:val="19"/>
              </w:rPr>
              <w:t xml:space="preserve">Sep 7  </w:t>
            </w:r>
            <w:r>
              <w:rPr>
                <w:rFonts w:ascii="Segoe UI" w:hAnsi="Segoe UI"/>
                <w:color w:val="1A2340"/>
                <w:sz w:val="19"/>
              </w:rPr>
              <w:t>Holiday — Labor Day</w:t>
            </w:r>
          </w:p>
        </w:tc>
      </w:tr>
      <w:tr>
        <w:tc>
          <w:tcPr>
            <w:tcW w:type="dxa" w:w="4536"/>
          </w:tcPr>
          <w:p>
            <w:pPr>
              <w:spacing w:after="20"/>
            </w:pPr>
            <w:r>
              <w:rPr>
                <w:rFonts w:ascii="Segoe UI" w:hAnsi="Segoe UI"/>
                <w:b/>
                <w:color w:val="0E1C42"/>
                <w:sz w:val="19"/>
              </w:rPr>
              <w:t xml:space="preserve">Oct 9  </w:t>
            </w:r>
            <w:r>
              <w:rPr>
                <w:rFonts w:ascii="Segoe UI" w:hAnsi="Segoe UI"/>
                <w:color w:val="1A2340"/>
                <w:sz w:val="19"/>
              </w:rPr>
              <w:t>Quarter 1 ends</w:t>
            </w:r>
          </w:p>
        </w:tc>
        <w:tc>
          <w:tcPr>
            <w:tcW w:type="dxa" w:w="4536"/>
          </w:tcPr>
          <w:p>
            <w:pPr>
              <w:spacing w:after="20"/>
            </w:pPr>
            <w:r>
              <w:rPr>
                <w:rFonts w:ascii="Segoe UI" w:hAnsi="Segoe UI"/>
                <w:b/>
                <w:color w:val="0E1C42"/>
                <w:sz w:val="19"/>
              </w:rPr>
              <w:t xml:space="preserve">Oct 12  </w:t>
            </w:r>
            <w:r>
              <w:rPr>
                <w:rFonts w:ascii="Segoe UI" w:hAnsi="Segoe UI"/>
                <w:color w:val="1A2340"/>
                <w:sz w:val="19"/>
              </w:rPr>
              <w:t>Holiday — Columbus Day</w:t>
            </w:r>
          </w:p>
        </w:tc>
      </w:tr>
      <w:tr>
        <w:tc>
          <w:tcPr>
            <w:tcW w:type="dxa" w:w="4536"/>
          </w:tcPr>
          <w:p>
            <w:pPr>
              <w:spacing w:after="20"/>
            </w:pPr>
            <w:r>
              <w:rPr>
                <w:rFonts w:ascii="Segoe UI" w:hAnsi="Segoe UI"/>
                <w:b/>
                <w:color w:val="0E1C42"/>
                <w:sz w:val="19"/>
              </w:rPr>
              <w:t xml:space="preserve">Nov 11  </w:t>
            </w:r>
            <w:r>
              <w:rPr>
                <w:rFonts w:ascii="Segoe UI" w:hAnsi="Segoe UI"/>
                <w:color w:val="1A2340"/>
                <w:sz w:val="19"/>
              </w:rPr>
              <w:t>Holiday — Veterans' Day</w:t>
            </w:r>
          </w:p>
        </w:tc>
        <w:tc>
          <w:tcPr>
            <w:tcW w:type="dxa" w:w="4536"/>
          </w:tcPr>
          <w:p>
            <w:pPr>
              <w:spacing w:after="20"/>
            </w:pPr>
            <w:r>
              <w:rPr>
                <w:rFonts w:ascii="Segoe UI" w:hAnsi="Segoe UI"/>
                <w:b/>
                <w:color w:val="0E1C42"/>
                <w:sz w:val="19"/>
              </w:rPr>
              <w:t xml:space="preserve">Nov 23–27  </w:t>
            </w:r>
            <w:r>
              <w:rPr>
                <w:rFonts w:ascii="Segoe UI" w:hAnsi="Segoe UI"/>
                <w:color w:val="1A2340"/>
                <w:sz w:val="19"/>
              </w:rPr>
              <w:t>Thanksgiving break</w:t>
            </w:r>
          </w:p>
        </w:tc>
      </w:tr>
      <w:tr>
        <w:tc>
          <w:tcPr>
            <w:tcW w:type="dxa" w:w="4536"/>
          </w:tcPr>
          <w:p>
            <w:pPr>
              <w:spacing w:after="20"/>
            </w:pPr>
            <w:r>
              <w:rPr>
                <w:rFonts w:ascii="Segoe UI" w:hAnsi="Segoe UI"/>
                <w:b/>
                <w:color w:val="0E1C42"/>
                <w:sz w:val="19"/>
              </w:rPr>
              <w:t xml:space="preserve">Dec 18  </w:t>
            </w:r>
            <w:r>
              <w:rPr>
                <w:rFonts w:ascii="Segoe UI" w:hAnsi="Segoe UI"/>
                <w:color w:val="1A2340"/>
                <w:sz w:val="19"/>
              </w:rPr>
              <w:t>Quarter 2 ends · fall semester ends</w:t>
            </w:r>
          </w:p>
        </w:tc>
        <w:tc>
          <w:tcPr>
            <w:tcW w:type="dxa" w:w="4536"/>
          </w:tcPr>
          <w:p>
            <w:pPr>
              <w:spacing w:after="20"/>
            </w:pPr>
            <w:r>
              <w:rPr>
                <w:rFonts w:ascii="Segoe UI" w:hAnsi="Segoe UI"/>
                <w:b/>
                <w:color w:val="0E1C42"/>
                <w:sz w:val="19"/>
              </w:rPr>
              <w:t xml:space="preserve">Dec 21–Jan 1  </w:t>
            </w:r>
            <w:r>
              <w:rPr>
                <w:rFonts w:ascii="Segoe UI" w:hAnsi="Segoe UI"/>
                <w:color w:val="1A2340"/>
                <w:sz w:val="19"/>
              </w:rPr>
              <w:t>Winter break</w:t>
            </w:r>
          </w:p>
        </w:tc>
      </w:tr>
      <w:tr>
        <w:tc>
          <w:tcPr>
            <w:tcW w:type="dxa" w:w="4536"/>
          </w:tcPr>
          <w:p>
            <w:pPr>
              <w:spacing w:after="20"/>
            </w:pPr>
            <w:r>
              <w:rPr>
                <w:rFonts w:ascii="Segoe UI" w:hAnsi="Segoe UI"/>
                <w:b/>
                <w:color w:val="0E1C42"/>
                <w:sz w:val="19"/>
              </w:rPr>
              <w:t xml:space="preserve">Jan 5, 2027  </w:t>
            </w:r>
            <w:r>
              <w:rPr>
                <w:rFonts w:ascii="Segoe UI" w:hAnsi="Segoe UI"/>
                <w:color w:val="1A2340"/>
                <w:sz w:val="19"/>
              </w:rPr>
              <w:t>Classes resume</w:t>
            </w:r>
          </w:p>
        </w:tc>
        <w:tc>
          <w:tcPr>
            <w:tcW w:type="dxa" w:w="4536"/>
          </w:tcPr>
          <w:p>
            <w:pPr>
              <w:spacing w:after="20"/>
            </w:pPr>
            <w:r>
              <w:rPr>
                <w:rFonts w:ascii="Segoe UI" w:hAnsi="Segoe UI"/>
                <w:b/>
                <w:color w:val="0E1C42"/>
                <w:sz w:val="19"/>
              </w:rPr>
              <w:t xml:space="preserve">Jan 18  </w:t>
            </w:r>
            <w:r>
              <w:rPr>
                <w:rFonts w:ascii="Segoe UI" w:hAnsi="Segoe UI"/>
                <w:color w:val="1A2340"/>
                <w:sz w:val="19"/>
              </w:rPr>
              <w:t>Holiday — MLK Day</w:t>
            </w:r>
          </w:p>
        </w:tc>
      </w:tr>
      <w:tr>
        <w:tc>
          <w:tcPr>
            <w:tcW w:type="dxa" w:w="4536"/>
          </w:tcPr>
          <w:p>
            <w:pPr>
              <w:spacing w:after="20"/>
            </w:pPr>
            <w:r>
              <w:rPr>
                <w:rFonts w:ascii="Segoe UI" w:hAnsi="Segoe UI"/>
                <w:b/>
                <w:color w:val="0E1C42"/>
                <w:sz w:val="19"/>
              </w:rPr>
              <w:t xml:space="preserve">Feb 15  </w:t>
            </w:r>
            <w:r>
              <w:rPr>
                <w:rFonts w:ascii="Segoe UI" w:hAnsi="Segoe UI"/>
                <w:color w:val="1A2340"/>
                <w:sz w:val="19"/>
              </w:rPr>
              <w:t>Holiday — Presidents' Day</w:t>
            </w:r>
          </w:p>
        </w:tc>
        <w:tc>
          <w:tcPr>
            <w:tcW w:type="dxa" w:w="4536"/>
          </w:tcPr>
          <w:p>
            <w:pPr>
              <w:spacing w:after="20"/>
            </w:pPr>
            <w:r>
              <w:rPr>
                <w:rFonts w:ascii="Segoe UI" w:hAnsi="Segoe UI"/>
                <w:b/>
                <w:color w:val="0E1C42"/>
                <w:sz w:val="19"/>
              </w:rPr>
              <w:t xml:space="preserve">Mar 5  </w:t>
            </w:r>
            <w:r>
              <w:rPr>
                <w:rFonts w:ascii="Segoe UI" w:hAnsi="Segoe UI"/>
                <w:color w:val="1A2340"/>
                <w:sz w:val="19"/>
              </w:rPr>
              <w:t>Quarter 3 ends</w:t>
            </w:r>
          </w:p>
        </w:tc>
      </w:tr>
      <w:tr>
        <w:tc>
          <w:tcPr>
            <w:tcW w:type="dxa" w:w="4536"/>
          </w:tcPr>
          <w:p>
            <w:pPr>
              <w:spacing w:after="20"/>
            </w:pPr>
            <w:r>
              <w:rPr>
                <w:rFonts w:ascii="Segoe UI" w:hAnsi="Segoe UI"/>
                <w:b/>
                <w:color w:val="0E1C42"/>
                <w:sz w:val="19"/>
              </w:rPr>
              <w:t xml:space="preserve">Mar 26–Apr 5  </w:t>
            </w:r>
            <w:r>
              <w:rPr>
                <w:rFonts w:ascii="Segoe UI" w:hAnsi="Segoe UI"/>
                <w:color w:val="1A2340"/>
                <w:sz w:val="19"/>
              </w:rPr>
              <w:t>Spring break</w:t>
            </w:r>
          </w:p>
        </w:tc>
        <w:tc>
          <w:tcPr>
            <w:tcW w:type="dxa" w:w="4536"/>
          </w:tcPr>
          <w:p>
            <w:pPr>
              <w:spacing w:after="20"/>
            </w:pPr>
            <w:r>
              <w:rPr>
                <w:rFonts w:ascii="Segoe UI" w:hAnsi="Segoe UI"/>
                <w:b/>
                <w:color w:val="0E1C42"/>
                <w:sz w:val="19"/>
              </w:rPr>
              <w:t xml:space="preserve">Apr 6  </w:t>
            </w:r>
            <w:r>
              <w:rPr>
                <w:rFonts w:ascii="Segoe UI" w:hAnsi="Segoe UI"/>
                <w:color w:val="1A2340"/>
                <w:sz w:val="19"/>
              </w:rPr>
              <w:t>Classes resume</w:t>
            </w:r>
          </w:p>
        </w:tc>
      </w:tr>
      <w:tr>
        <w:tc>
          <w:tcPr>
            <w:tcW w:type="dxa" w:w="4536"/>
          </w:tcPr>
          <w:p>
            <w:pPr>
              <w:spacing w:after="20"/>
            </w:pPr>
            <w:r>
              <w:rPr>
                <w:rFonts w:ascii="Segoe UI" w:hAnsi="Segoe UI"/>
                <w:b/>
                <w:color w:val="0E1C42"/>
                <w:sz w:val="19"/>
              </w:rPr>
              <w:t xml:space="preserve">May 28, 2027  </w:t>
            </w:r>
            <w:r>
              <w:rPr>
                <w:rFonts w:ascii="Segoe UI" w:hAnsi="Segoe UI"/>
                <w:color w:val="1A2340"/>
                <w:sz w:val="19"/>
              </w:rPr>
              <w:t>Quarter 4 ends · last day of school</w:t>
            </w:r>
          </w:p>
        </w:tc>
        <w:tc>
          <w:tcPr>
            <w:tcW w:type="dxa" w:w="4536"/>
          </w:tcPr>
          <w:p>
            <w:pPr>
              <w:spacing w:after="20"/>
            </w:pPr>
            <w:r>
              <w:rPr>
                <w:rFonts w:ascii="Segoe UI" w:hAnsi="Segoe UI"/>
                <w:b/>
                <w:color w:val="0E1C42"/>
                <w:sz w:val="19"/>
              </w:rPr>
              <w:t xml:space="preserve">May 31  </w:t>
            </w:r>
            <w:r>
              <w:rPr>
                <w:rFonts w:ascii="Segoe UI" w:hAnsi="Segoe UI"/>
                <w:color w:val="1A2340"/>
                <w:sz w:val="19"/>
              </w:rPr>
              <w:t>Holiday — Memorial Day</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0E1C42"/>
          </w:tcPr>
          <w:p>
            <w:pPr>
              <w:spacing w:after="40" w:before="40"/>
            </w:pPr>
            <w:r>
              <w:rPr>
                <w:rFonts w:ascii="Segoe UI" w:hAnsi="Segoe UI"/>
                <w:b/>
                <w:color w:val="FFFFFF"/>
                <w:sz w:val="24"/>
              </w:rPr>
              <w:t>ASSESSMENT &amp; GRADING</w:t>
            </w:r>
          </w:p>
        </w:tc>
      </w:tr>
    </w:tbl>
    <w:p>
      <w:pPr>
        <w:spacing w:after="40"/>
      </w:pPr>
    </w:p>
    <w:tbl>
      <w:tblPr>
        <w:tblW w:type="auto" w:w="0"/>
        <w:tblLayout w:type="fixed"/>
        <w:tblLook w:firstColumn="1" w:firstRow="1" w:lastColumn="0" w:lastRow="0" w:noHBand="0" w:noVBand="1" w:val="04A0"/>
      </w:tblPr>
      <w:tblGrid>
        <w:gridCol w:w="3408"/>
        <w:gridCol w:w="3408"/>
        <w:gridCol w:w="3408"/>
      </w:tblGrid>
      <w:tr>
        <w:tc>
          <w:tcPr>
            <w:tcW w:type="dxa" w:w="3024"/>
            <w:shd w:val="clear" w:color="auto" w:fill="FDF3E3"/>
          </w:tcPr>
          <w:p>
            <w:pPr>
              <w:jc w:val="center"/>
            </w:pPr>
            <w:r>
              <w:rPr>
                <w:rFonts w:ascii="Segoe UI" w:hAnsi="Segoe UI"/>
                <w:b/>
                <w:color w:val="C7922C"/>
                <w:sz w:val="40"/>
              </w:rPr>
              <w:t>50%</w:t>
            </w:r>
          </w:p>
        </w:tc>
        <w:tc>
          <w:tcPr>
            <w:tcW w:type="dxa" w:w="3024"/>
            <w:shd w:val="clear" w:color="auto" w:fill="FDF3E3"/>
          </w:tcPr>
          <w:p>
            <w:pPr>
              <w:jc w:val="center"/>
            </w:pPr>
            <w:r>
              <w:rPr>
                <w:rFonts w:ascii="Segoe UI" w:hAnsi="Segoe UI"/>
                <w:b/>
                <w:color w:val="C7922C"/>
                <w:sz w:val="40"/>
              </w:rPr>
              <w:t>30%</w:t>
            </w:r>
          </w:p>
        </w:tc>
        <w:tc>
          <w:tcPr>
            <w:tcW w:type="dxa" w:w="3024"/>
            <w:shd w:val="clear" w:color="auto" w:fill="FDF3E3"/>
          </w:tcPr>
          <w:p>
            <w:pPr>
              <w:jc w:val="center"/>
            </w:pPr>
            <w:r>
              <w:rPr>
                <w:rFonts w:ascii="Segoe UI" w:hAnsi="Segoe UI"/>
                <w:b/>
                <w:color w:val="C7922C"/>
                <w:sz w:val="40"/>
              </w:rPr>
              <w:t>20%</w:t>
            </w:r>
          </w:p>
        </w:tc>
      </w:tr>
      <w:tr>
        <w:tc>
          <w:tcPr>
            <w:tcW w:type="dxa" w:w="3024"/>
          </w:tcPr>
          <w:p>
            <w:pPr>
              <w:jc w:val="center"/>
            </w:pPr>
            <w:r>
              <w:rPr>
                <w:rFonts w:ascii="Segoe UI" w:hAnsi="Segoe UI"/>
                <w:color w:val="1A2340"/>
                <w:sz w:val="18"/>
              </w:rPr>
              <w:t>Weekly assignments — grammar, vocabulary, Quick Writes &amp; comprehension quizzes</w:t>
            </w:r>
          </w:p>
        </w:tc>
        <w:tc>
          <w:tcPr>
            <w:tcW w:type="dxa" w:w="3024"/>
          </w:tcPr>
          <w:p>
            <w:pPr>
              <w:jc w:val="center"/>
            </w:pPr>
            <w:r>
              <w:rPr>
                <w:rFonts w:ascii="Segoe UI" w:hAnsi="Segoe UI"/>
                <w:color w:val="1A2340"/>
                <w:sz w:val="18"/>
              </w:rPr>
              <w:t>Module projects &amp; essays</w:t>
            </w:r>
          </w:p>
        </w:tc>
        <w:tc>
          <w:tcPr>
            <w:tcW w:type="dxa" w:w="3024"/>
          </w:tcPr>
          <w:p>
            <w:pPr>
              <w:jc w:val="center"/>
            </w:pPr>
            <w:r>
              <w:rPr>
                <w:rFonts w:ascii="Segoe UI" w:hAnsi="Segoe UI"/>
                <w:color w:val="1A2340"/>
                <w:sz w:val="18"/>
              </w:rPr>
              <w:t>Discussions, VR activities &amp; module reflections</w:t>
            </w:r>
          </w:p>
        </w:tc>
      </w:tr>
    </w:tbl>
    <w:p>
      <w:pPr>
        <w:spacing w:after="120"/>
      </w:pPr>
    </w:p>
    <w:tbl>
      <w:tblPr>
        <w:tblW w:type="auto" w:w="0"/>
        <w:jc w:val="center"/>
        <w:tblLook w:firstColumn="1" w:firstRow="1" w:lastColumn="0" w:lastRow="0" w:noHBand="0" w:noVBand="1" w:val="04A0"/>
      </w:tblPr>
      <w:tblGrid>
        <w:gridCol w:w="10224"/>
      </w:tblGrid>
      <w:tr>
        <w:tc>
          <w:tcPr>
            <w:tcW w:type="dxa" w:w="10224"/>
            <w:shd w:val="clear" w:color="auto" w:fill="0E1C42"/>
          </w:tcPr>
          <w:p>
            <w:pPr>
              <w:spacing w:after="40" w:before="40"/>
            </w:pPr>
            <w:r>
              <w:rPr>
                <w:rFonts w:ascii="Segoe UI" w:hAnsi="Segoe UI"/>
                <w:b/>
                <w:color w:val="FFFFFF"/>
                <w:sz w:val="24"/>
              </w:rPr>
              <w:t>HOW THIS COURSE IS DELIVERED</w:t>
            </w:r>
          </w:p>
        </w:tc>
      </w:tr>
    </w:tbl>
    <w:p>
      <w:pPr>
        <w:spacing w:after="40"/>
      </w:pPr>
    </w:p>
    <w:p>
      <w:pPr>
        <w:spacing w:after="80" w:before="160"/>
      </w:pPr>
      <w:r>
        <w:rPr>
          <w:rFonts w:ascii="Segoe UI" w:hAnsi="Segoe UI"/>
          <w:b/>
          <w:color w:val="C7922C"/>
          <w:sz w:val="21"/>
        </w:rPr>
        <w:t>ON-DEMAND (ASYNCHRONOUS) LEARNING</w:t>
      </w:r>
    </w:p>
    <w:tbl>
      <w:tblPr>
        <w:tblW w:type="auto" w:w="0"/>
        <w:tblLook w:firstColumn="1" w:firstRow="1" w:lastColumn="0" w:lastRow="0" w:noHBand="0" w:noVBand="1" w:val="04A0"/>
      </w:tblPr>
      <w:tblGrid>
        <w:gridCol w:w="10224"/>
      </w:tblGrid>
      <w:tr>
        <w:tc>
          <w:tcPr>
            <w:tcW w:type="dxa" w:w="10224"/>
            <w:shd w:val="clear" w:color="auto" w:fill="EEF1F8"/>
            <w:tcBorders>
              <w:top w:val="single" w:sz="4" w:color="55C8E8"/>
              <w:left w:val="single" w:sz="24" w:color="55C8E8"/>
              <w:bottom w:val="single" w:sz="4" w:color="55C8E8"/>
              <w:right w:val="single" w:sz="4" w:color="55C8E8"/>
            </w:tcBorders>
          </w:tcPr>
          <w:p>
            <w:pPr>
              <w:spacing w:after="80"/>
            </w:pPr>
            <w:r/>
            <w:r>
              <w:rPr>
                <w:rFonts w:ascii="Segoe UI" w:hAnsi="Segoe UI"/>
                <w:b/>
                <w:color w:val="0E1C42"/>
                <w:sz w:val="20"/>
              </w:rPr>
              <w:t>You are never on your own.</w:t>
            </w:r>
          </w:p>
          <w:p>
            <w:pPr>
              <w:spacing w:after="80"/>
            </w:pPr>
            <w:r>
              <w:rPr>
                <w:rFonts w:ascii="Segoe UI" w:hAnsi="Segoe UI"/>
                <w:b w:val="0"/>
                <w:color w:val="0E1C42"/>
                <w:sz w:val="19"/>
              </w:rPr>
              <w:t>In the On-Demand section you move through the course at your own pace within each quarter, guided by due dates that keep you on track. All assignments for a quarter open at its start and close at its end. Because the course is On-Demand, there is no grade penalty for missing an individual due date — but any assignment not completed by the end of the quarter receives a zero, and assignments submitted in the final 14 days of a quarter receive a 10% deduction, so steady pacing matters.</w:t>
            </w:r>
          </w:p>
          <w:p>
            <w:pPr>
              <w:spacing w:after="80"/>
            </w:pPr>
            <w:r>
              <w:rPr>
                <w:rFonts w:ascii="Segoe UI" w:hAnsi="Segoe UI"/>
                <w:b w:val="0"/>
                <w:color w:val="0E1C42"/>
                <w:sz w:val="19"/>
              </w:rPr>
              <w:t>Attendance is measured by assignment completion. Per school policy, a scholar who completes no assignment for ten consecutive school days, without notifying the school of an absence in advance, may be dropped from the course. Completion means a sincere attempt — real effort on real work. Rushed work, wrong or corrupted files, irrelevant or nonsense submissions, AI-generated filler, and word-salad responses do not count.</w:t>
            </w:r>
          </w:p>
          <w:p>
            <w:pPr>
              <w:spacing w:after="80"/>
            </w:pPr>
            <w:r>
              <w:rPr>
                <w:rFonts w:ascii="Segoe UI" w:hAnsi="Segoe UI"/>
                <w:b w:val="0"/>
                <w:color w:val="0E1C42"/>
                <w:sz w:val="19"/>
              </w:rPr>
              <w:t>A live facilitator grades your work, gives feedback, and hosts a weekly study hall and VR workshops.</w:t>
            </w:r>
          </w:p>
        </w:tc>
      </w:tr>
    </w:tbl>
    <w:p>
      <w:pPr>
        <w:spacing w:after="80" w:before="160"/>
      </w:pPr>
      <w:r>
        <w:rPr>
          <w:rFonts w:ascii="Segoe UI" w:hAnsi="Segoe UI"/>
          <w:b/>
          <w:color w:val="C7922C"/>
          <w:sz w:val="21"/>
        </w:rPr>
        <w:t>LIVE (SYNCHRONOUS) LEARNING</w:t>
      </w:r>
    </w:p>
    <w:tbl>
      <w:tblPr>
        <w:tblW w:type="auto" w:w="0"/>
        <w:tblLook w:firstColumn="1" w:firstRow="1" w:lastColumn="0" w:lastRow="0" w:noHBand="0" w:noVBand="1" w:val="04A0"/>
      </w:tblPr>
      <w:tblGrid>
        <w:gridCol w:w="10224"/>
      </w:tblGrid>
      <w:tr>
        <w:tc>
          <w:tcPr>
            <w:tcW w:type="dxa" w:w="10224"/>
            <w:shd w:val="clear" w:color="auto" w:fill="EEF1F8"/>
            <w:tcBorders>
              <w:top w:val="single" w:sz="4" w:color="55C8E8"/>
              <w:left w:val="single" w:sz="24" w:color="55C8E8"/>
              <w:bottom w:val="single" w:sz="4" w:color="55C8E8"/>
              <w:right w:val="single" w:sz="4" w:color="55C8E8"/>
            </w:tcBorders>
          </w:tcPr>
          <w:p>
            <w:pPr>
              <w:spacing w:after="80"/>
            </w:pPr>
            <w:r/>
            <w:r>
              <w:rPr>
                <w:rFonts w:ascii="Segoe UI" w:hAnsi="Segoe UI"/>
                <w:b/>
                <w:color w:val="0E1C42"/>
                <w:sz w:val="20"/>
              </w:rPr>
              <w:t>You meet regularly with a teacher.</w:t>
            </w:r>
          </w:p>
          <w:p>
            <w:pPr>
              <w:spacing w:after="80"/>
            </w:pPr>
            <w:r>
              <w:rPr>
                <w:rFonts w:ascii="Segoe UI" w:hAnsi="Segoe UI"/>
                <w:b w:val="0"/>
                <w:color w:val="0E1C42"/>
                <w:sz w:val="19"/>
              </w:rPr>
              <w:t>In the Live section you join scheduled class meetings on Optima's VR campus, where your teacher leads instruction in real time and you learn alongside classmates. The readings, assignments, and projects are the same as the On-Demand course; what differs is the pacing — a Live section moves through the material together on the class schedule rather than at each scholar's own pace, and class time is also used for discussion, questions, and guided practice.</w:t>
            </w:r>
          </w:p>
          <w:p>
            <w:pPr>
              <w:spacing w:after="80"/>
            </w:pPr>
            <w:r>
              <w:rPr>
                <w:rFonts w:ascii="Segoe UI" w:hAnsi="Segoe UI"/>
                <w:b w:val="0"/>
                <w:color w:val="0E1C42"/>
                <w:sz w:val="19"/>
              </w:rPr>
              <w:t>Attendance is measured by presence and participation. You are expected to attend the scheduled live sessions, on time and ready to take part. If you must miss a class, notify the school in advance; your teacher will let you know how to make up the work and any material you missed. As in every Optima course, completing your work means a sincere attempt — real effort on real work — and assignments still open and close with each quarter.</w:t>
            </w:r>
          </w:p>
          <w:p>
            <w:pPr>
              <w:spacing w:after="80"/>
            </w:pPr>
            <w:r>
              <w:rPr>
                <w:rFonts w:ascii="Segoe UI" w:hAnsi="Segoe UI"/>
                <w:b w:val="0"/>
                <w:color w:val="0E1C42"/>
                <w:sz w:val="19"/>
              </w:rPr>
              <w:t>The class gathers throughout the week in VR and on Microsoft Teams for live instruction and discussion.</w:t>
            </w:r>
          </w:p>
        </w:tc>
      </w:tr>
    </w:tbl>
    <w:p>
      <w:r>
        <w:br w:type="page"/>
      </w:r>
    </w:p>
    <w:tbl>
      <w:tblPr>
        <w:tblW w:type="auto" w:w="0"/>
        <w:jc w:val="center"/>
        <w:tblLook w:firstColumn="1" w:firstRow="1" w:lastColumn="0" w:lastRow="0" w:noHBand="0" w:noVBand="1" w:val="04A0"/>
      </w:tblPr>
      <w:tblGrid>
        <w:gridCol w:w="10224"/>
      </w:tblGrid>
      <w:tr>
        <w:tc>
          <w:tcPr>
            <w:tcW w:type="dxa" w:w="10224"/>
            <w:shd w:val="clear" w:color="auto" w:fill="0E1C42"/>
          </w:tcPr>
          <w:p>
            <w:pPr>
              <w:spacing w:after="40" w:before="40"/>
            </w:pPr>
            <w:r>
              <w:rPr>
                <w:rFonts w:ascii="Segoe UI" w:hAnsi="Segoe UI"/>
                <w:b/>
                <w:color w:val="FFFFFF"/>
                <w:sz w:val="24"/>
              </w:rPr>
              <w:t>APPROPRIATE USE OF AI</w:t>
            </w:r>
          </w:p>
        </w:tc>
      </w:tr>
    </w:tbl>
    <w:p>
      <w:pPr>
        <w:spacing w:after="40"/>
      </w:pPr>
    </w:p>
    <w:p>
      <w:pPr>
        <w:spacing w:after="80" w:before="0"/>
      </w:pPr>
      <w:r>
        <w:rPr>
          <w:rFonts w:ascii="Segoe UI" w:hAnsi="Segoe UI"/>
          <w:b w:val="0"/>
          <w:i w:val="0"/>
          <w:color w:val="1A2340"/>
          <w:sz w:val="21"/>
        </w:rPr>
        <w:t>Optima scholars are preparing for a world shaped by artificial intelligence, and learning to use these tools with good judgment is part of that preparation. You are welcome to use AI tools to support your learning — to explain a concept a different way, check your understanding, or brainstorm — unless a particular assignment says otherwise. What AI may never do is the thinking or the work an assignment asks of you: a reflection, a self-assessment, an essay, or a discussion post must be genuinely your own. Submitting AI-generated text as if it were your own work is dishonest and, as noted above, counts as an insincere attempt. When you do use an AI tool on an assignment, say so briefly. Above all, build the underlying skill yourself — the goal is for you to be able to judge whether an AI's answer is any good, which you can only do if you can do the work without it.</w:t>
      </w:r>
    </w:p>
    <w:tbl>
      <w:tblPr>
        <w:tblW w:type="auto" w:w="0"/>
        <w:jc w:val="center"/>
        <w:tblLook w:firstColumn="1" w:firstRow="1" w:lastColumn="0" w:lastRow="0" w:noHBand="0" w:noVBand="1" w:val="04A0"/>
      </w:tblPr>
      <w:tblGrid>
        <w:gridCol w:w="10224"/>
      </w:tblGrid>
      <w:tr>
        <w:tc>
          <w:tcPr>
            <w:tcW w:type="dxa" w:w="10224"/>
            <w:shd w:val="clear" w:color="auto" w:fill="0E1C42"/>
          </w:tcPr>
          <w:p>
            <w:pPr>
              <w:spacing w:after="40" w:before="40"/>
            </w:pPr>
            <w:r>
              <w:rPr>
                <w:rFonts w:ascii="Segoe UI" w:hAnsi="Segoe UI"/>
                <w:b/>
                <w:color w:val="FFFFFF"/>
                <w:sz w:val="24"/>
              </w:rPr>
              <w:t>A NOTE ON TEXTS</w:t>
            </w:r>
          </w:p>
        </w:tc>
      </w:tr>
    </w:tbl>
    <w:p>
      <w:pPr>
        <w:spacing w:after="40"/>
      </w:pPr>
    </w:p>
    <w:tbl>
      <w:tblPr>
        <w:tblW w:type="auto" w:w="0"/>
        <w:tblLook w:firstColumn="1" w:firstRow="1" w:lastColumn="0" w:lastRow="0" w:noHBand="0" w:noVBand="1" w:val="04A0"/>
      </w:tblPr>
      <w:tblGrid>
        <w:gridCol w:w="10224"/>
      </w:tblGrid>
      <w:tr>
        <w:tc>
          <w:tcPr>
            <w:tcW w:type="dxa" w:w="10224"/>
            <w:shd w:val="clear" w:color="auto" w:fill="FDF3E3"/>
            <w:tcBorders>
              <w:top w:val="single" w:sz="4" w:color="C7922C"/>
              <w:left w:val="single" w:sz="24" w:color="C7922C"/>
              <w:bottom w:val="single" w:sz="4" w:color="C7922C"/>
              <w:right w:val="single" w:sz="4" w:color="C7922C"/>
            </w:tcBorders>
          </w:tcPr>
          <w:p>
            <w:pPr>
              <w:spacing w:after="80"/>
            </w:pPr>
            <w:r/>
            <w:r>
              <w:rPr>
                <w:rFonts w:ascii="Segoe UI" w:hAnsi="Segoe UI"/>
                <w:b/>
                <w:color w:val="0E1C42"/>
                <w:sz w:val="20"/>
              </w:rPr>
              <w:t>Students must obtain lawful access to each assigned literary work separately.</w:t>
            </w:r>
          </w:p>
          <w:p>
            <w:pPr>
              <w:spacing w:after="80"/>
            </w:pPr>
            <w:r>
              <w:rPr>
                <w:rFonts w:ascii="Segoe UI" w:hAnsi="Segoe UI"/>
                <w:b w:val="0"/>
                <w:color w:val="0E1C42"/>
                <w:sz w:val="19"/>
              </w:rPr>
              <w:t>Optima course materials are original instructional materials designed to support analysis, discussion, and assessment of the work. Copyrighted text, images, audio, or other protected materials are not reproduced in Canvas, VR, or downloadable files, except where expressly licensed, in the public domain, or included as a limited fair-use excerpt for instructional analysis. Most texts in this course (Electra, Sir Gawain and the Green Knight, The Canterbury Tales, Shakespeare's sonnets, The Scarlet Letter, and most Module 5 short stories) are in the public domain and are linked to a free, reputable source in each module. The Crucible (Module 7) is still under copyright: you will need your own copy, and the module uses short excerpts for analysis rather than the full text.</w:t>
            </w:r>
          </w:p>
        </w:tc>
      </w:tr>
    </w:tbl>
    <w:tbl>
      <w:tblPr>
        <w:tblW w:type="auto" w:w="0"/>
        <w:jc w:val="center"/>
        <w:tblLook w:firstColumn="1" w:firstRow="1" w:lastColumn="0" w:lastRow="0" w:noHBand="0" w:noVBand="1" w:val="04A0"/>
      </w:tblPr>
      <w:tblGrid>
        <w:gridCol w:w="10224"/>
      </w:tblGrid>
      <w:tr>
        <w:tc>
          <w:tcPr>
            <w:tcW w:type="dxa" w:w="10224"/>
            <w:shd w:val="clear" w:color="auto" w:fill="0E1C42"/>
          </w:tcPr>
          <w:p>
            <w:pPr>
              <w:spacing w:after="40" w:before="40"/>
            </w:pPr>
            <w:r>
              <w:rPr>
                <w:rFonts w:ascii="Segoe UI" w:hAnsi="Segoe UI"/>
                <w:b/>
                <w:color w:val="FFFFFF"/>
                <w:sz w:val="24"/>
              </w:rPr>
              <w:t>LEARNING IN VIRTUAL REALITY</w:t>
            </w:r>
          </w:p>
        </w:tc>
      </w:tr>
    </w:tbl>
    <w:p>
      <w:pPr>
        <w:spacing w:after="40"/>
      </w:pPr>
    </w:p>
    <w:p>
      <w:pPr>
        <w:spacing w:after="80" w:before="0"/>
      </w:pPr>
      <w:r>
        <w:rPr>
          <w:rFonts w:ascii="Segoe UI" w:hAnsi="Segoe UI"/>
          <w:b w:val="0"/>
          <w:i w:val="0"/>
          <w:color w:val="1A2340"/>
          <w:sz w:val="21"/>
        </w:rPr>
        <w:t>Optima is a virtual-reality school. Alongside your Canvas coursework, you will join immersive sessions on Optima's VR campus, where you meet teachers and fellow scholars, take part in live activities, and explore places and ideas you could not visit in an ordinary classroom. Keep your headset charged and ready for any scheduled VR sessions, and treat the VR campus with the same courtesy and seriousness you would a physical one. If you ever cannot get into VR for a session, tell your facilitator — there is an alternative way to take part so you do not fall behind.</w:t>
      </w:r>
    </w:p>
    <w:tbl>
      <w:tblPr>
        <w:tblW w:type="auto" w:w="0"/>
        <w:jc w:val="center"/>
        <w:tblLook w:firstColumn="1" w:firstRow="1" w:lastColumn="0" w:lastRow="0" w:noHBand="0" w:noVBand="1" w:val="04A0"/>
      </w:tblPr>
      <w:tblGrid>
        <w:gridCol w:w="10224"/>
      </w:tblGrid>
      <w:tr>
        <w:tc>
          <w:tcPr>
            <w:tcW w:type="dxa" w:w="10224"/>
            <w:shd w:val="clear" w:color="auto" w:fill="0E1C42"/>
          </w:tcPr>
          <w:p>
            <w:pPr>
              <w:spacing w:after="40" w:before="40"/>
            </w:pPr>
            <w:r>
              <w:rPr>
                <w:rFonts w:ascii="Segoe UI" w:hAnsi="Segoe UI"/>
                <w:b/>
                <w:color w:val="FFFFFF"/>
                <w:sz w:val="24"/>
              </w:rPr>
              <w:t>BEING AN OPTIMA SCHOLAR</w:t>
            </w:r>
          </w:p>
        </w:tc>
      </w:tr>
    </w:tbl>
    <w:p>
      <w:pPr>
        <w:spacing w:after="40"/>
      </w:pPr>
    </w:p>
    <w:p>
      <w:pPr>
        <w:spacing w:after="80" w:before="0"/>
      </w:pPr>
      <w:r>
        <w:rPr>
          <w:rFonts w:ascii="Segoe UI" w:hAnsi="Segoe UI"/>
          <w:b w:val="0"/>
          <w:i w:val="0"/>
          <w:color w:val="1A2340"/>
          <w:sz w:val="21"/>
        </w:rPr>
        <w:t>Optima's mission is an excellent, virtue-centered education, and virtue is at the center of this course as much as any other. Every scholar is expected to practice the seven virtues that shape life at Optima — courage, courtesy, honesty, perseverance, self-government, service, and responsibility. In practice that means: do your own honest work; treat everyone you meet in, through, or because of this course with respect, in writing, in discussion, and in VR; engage actively rather than passively; come to office hours to get help, meet other scholars, and get to know your facilitator; and take responsibility for your own pacing and progress. You belong to a house and a community of scholars, not only to a course.</w:t>
      </w:r>
    </w:p>
    <w:tbl>
      <w:tblPr>
        <w:tblW w:type="auto" w:w="0"/>
        <w:jc w:val="center"/>
        <w:tblLook w:firstColumn="1" w:firstRow="1" w:lastColumn="0" w:lastRow="0" w:noHBand="0" w:noVBand="1" w:val="04A0"/>
      </w:tblPr>
      <w:tblGrid>
        <w:gridCol w:w="10224"/>
      </w:tblGrid>
      <w:tr>
        <w:tc>
          <w:tcPr>
            <w:tcW w:type="dxa" w:w="10224"/>
            <w:shd w:val="clear" w:color="auto" w:fill="0E1C42"/>
          </w:tcPr>
          <w:p>
            <w:pPr>
              <w:spacing w:after="40" w:before="40"/>
            </w:pPr>
            <w:r>
              <w:rPr>
                <w:rFonts w:ascii="Segoe UI" w:hAnsi="Segoe UI"/>
                <w:b/>
                <w:color w:val="FFFFFF"/>
                <w:sz w:val="24"/>
              </w:rPr>
              <w:t>WHAT YOU NEED &amp; STAYING CONNECTED</w:t>
            </w:r>
          </w:p>
        </w:tc>
      </w:tr>
    </w:tbl>
    <w:p>
      <w:pPr>
        <w:spacing w:after="40"/>
      </w:pPr>
    </w:p>
    <w:p>
      <w:pPr>
        <w:pStyle w:val="ListBullet"/>
        <w:spacing w:after="60"/>
      </w:pPr>
      <w:r>
        <w:rPr>
          <w:rFonts w:ascii="Segoe UI" w:hAnsi="Segoe UI"/>
          <w:color w:val="1A2340"/>
          <w:sz w:val="21"/>
        </w:rPr>
        <w:t>A computer with internet access and your Canvas login</w:t>
      </w:r>
    </w:p>
    <w:p>
      <w:pPr>
        <w:pStyle w:val="ListBullet"/>
        <w:spacing w:after="60"/>
      </w:pPr>
      <w:r>
        <w:rPr>
          <w:rFonts w:ascii="Segoe UI" w:hAnsi="Segoe UI"/>
          <w:color w:val="1A2340"/>
          <w:sz w:val="21"/>
        </w:rPr>
        <w:t>A Microsoft 365 account (provided by Optima) for weekly writing and projects</w:t>
      </w:r>
    </w:p>
    <w:p>
      <w:pPr>
        <w:pStyle w:val="ListBullet"/>
        <w:spacing w:after="60"/>
      </w:pPr>
      <w:r>
        <w:rPr>
          <w:rFonts w:ascii="Segoe UI" w:hAnsi="Segoe UI"/>
          <w:color w:val="1A2340"/>
          <w:sz w:val="21"/>
        </w:rPr>
        <w:t>A VR headset for weekly solo VR activities (an alternative path is available if you cannot access a headset for a session — tell your facilitator)</w:t>
      </w:r>
    </w:p>
    <w:p>
      <w:pPr>
        <w:pStyle w:val="ListBullet"/>
        <w:spacing w:after="60"/>
      </w:pPr>
      <w:r>
        <w:rPr>
          <w:rFonts w:ascii="Segoe UI" w:hAnsi="Segoe UI"/>
          <w:color w:val="1A2340"/>
          <w:sz w:val="21"/>
        </w:rPr>
        <w:t>A notebook or writing folder for reading annotations and drafts</w:t>
      </w:r>
    </w:p>
    <w:p>
      <w:pPr>
        <w:pStyle w:val="ListBullet"/>
        <w:spacing w:after="60"/>
      </w:pPr>
      <w:r>
        <w:rPr>
          <w:rFonts w:ascii="Segoe UI" w:hAnsi="Segoe UI"/>
          <w:color w:val="1A2340"/>
          <w:sz w:val="21"/>
        </w:rPr>
        <w:t>Your own copy of The Crucible by Arthur Miller, required for Module 7 (Semester 2). All other assigned texts are provided as free public-domain readings linked in each module.</w:t>
      </w:r>
    </w:p>
    <w:p>
      <w:pPr>
        <w:spacing w:after="80" w:before="120"/>
      </w:pPr>
      <w:r>
        <w:rPr>
          <w:rFonts w:ascii="Segoe UI" w:hAnsi="Segoe UI"/>
          <w:b w:val="0"/>
          <w:i w:val="0"/>
          <w:color w:val="1A2340"/>
          <w:sz w:val="21"/>
        </w:rPr>
        <w:t>Staying connected. Canvas is the hub for this course; check it regularly for announcements, due dates, and feedback. Your facilitator's contact information and posted office hours are always available there. If you are ever unsure where to find something, ask — the weekly study hall and your facilitator's office hours exist for exactly that.</w:t>
      </w:r>
    </w:p>
    <w:p>
      <w:pPr>
        <w:spacing w:after="40"/>
      </w:pPr>
    </w:p>
    <w:tbl>
      <w:tblPr>
        <w:tblW w:type="auto" w:w="0"/>
        <w:tblLook w:firstColumn="1" w:firstRow="1" w:lastColumn="0" w:lastRow="0" w:noHBand="0" w:noVBand="1" w:val="04A0"/>
      </w:tblPr>
      <w:tblGrid>
        <w:gridCol w:w="10224"/>
      </w:tblGrid>
      <w:tr>
        <w:tc>
          <w:tcPr>
            <w:tcW w:type="dxa" w:w="10224"/>
            <w:shd w:val="clear" w:color="auto" w:fill="0E1C42"/>
          </w:tcPr>
          <w:p>
            <w:pPr>
              <w:jc w:val="center"/>
            </w:pPr>
            <w:r>
              <w:rPr>
                <w:rFonts w:ascii="Segoe UI" w:hAnsi="Segoe UI"/>
                <w:color w:val="FFFFFF"/>
                <w:sz w:val="17"/>
              </w:rPr>
              <w:t>English 1 (9th Grade ELA) · Florida course 1001310 · Full-year high-school course · Optima Academy Online, 2026–2027</w:t>
            </w:r>
          </w:p>
          <w:p>
            <w:pPr>
              <w:spacing w:before="40"/>
              <w:jc w:val="center"/>
            </w:pPr>
            <w:r>
              <w:rPr>
                <w:rFonts w:ascii="Segoe UI" w:hAnsi="Segoe UI"/>
                <w:color w:val="C9D4EA"/>
                <w:sz w:val="15"/>
              </w:rPr>
              <w:t>Built from the course content (7 modules across two semesters) and the board-approved 2026–2027 academic calendar. Project target dates reflect a sample full-year pacing; On-Demand scholars pace to their own enrolled term. School calendar dates may be adjusted by the school.</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